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23" w:rsidRPr="00F1016F" w:rsidRDefault="00555E23" w:rsidP="00555E23">
      <w:pPr>
        <w:pBdr>
          <w:top w:val="single" w:sz="4" w:space="1" w:color="auto"/>
          <w:left w:val="single" w:sz="4" w:space="0" w:color="auto"/>
          <w:bottom w:val="single" w:sz="4" w:space="1" w:color="auto"/>
          <w:right w:val="single" w:sz="4" w:space="4" w:color="auto"/>
        </w:pBdr>
        <w:tabs>
          <w:tab w:val="left" w:pos="4183"/>
        </w:tabs>
        <w:jc w:val="center"/>
        <w:rPr>
          <w:rFonts w:ascii="Arial Black" w:hAnsi="Arial Black" w:cs="Arial"/>
          <w:b/>
          <w:sz w:val="32"/>
          <w:szCs w:val="32"/>
        </w:rPr>
      </w:pPr>
      <w:r w:rsidRPr="00F1016F">
        <w:rPr>
          <w:rFonts w:ascii="Arial Black" w:hAnsi="Arial Black" w:cs="Arial"/>
          <w:b/>
          <w:sz w:val="32"/>
          <w:szCs w:val="32"/>
        </w:rPr>
        <w:t xml:space="preserve">Appendix </w:t>
      </w:r>
      <w:r>
        <w:rPr>
          <w:rFonts w:ascii="Arial Black" w:hAnsi="Arial Black" w:cs="Arial"/>
          <w:b/>
          <w:sz w:val="32"/>
          <w:szCs w:val="32"/>
        </w:rPr>
        <w:t>C</w:t>
      </w:r>
      <w:r w:rsidRPr="00F1016F">
        <w:rPr>
          <w:rFonts w:ascii="Arial Black" w:hAnsi="Arial Black" w:cs="Arial"/>
          <w:b/>
          <w:sz w:val="32"/>
          <w:szCs w:val="32"/>
        </w:rPr>
        <w:t xml:space="preserve"> </w:t>
      </w:r>
    </w:p>
    <w:p w:rsidR="00555E23" w:rsidRDefault="00555E23" w:rsidP="00555E23">
      <w:pPr>
        <w:pBdr>
          <w:top w:val="single" w:sz="4" w:space="1" w:color="auto"/>
          <w:left w:val="single" w:sz="4" w:space="0" w:color="auto"/>
          <w:bottom w:val="single" w:sz="4" w:space="1" w:color="auto"/>
          <w:right w:val="single" w:sz="4" w:space="4" w:color="auto"/>
        </w:pBdr>
        <w:tabs>
          <w:tab w:val="left" w:pos="4183"/>
        </w:tabs>
        <w:jc w:val="center"/>
        <w:rPr>
          <w:rFonts w:ascii="Arial Black" w:hAnsi="Arial Black" w:cs="Arial"/>
          <w:b/>
          <w:sz w:val="32"/>
          <w:szCs w:val="32"/>
        </w:rPr>
      </w:pPr>
      <w:r w:rsidRPr="00F1016F">
        <w:rPr>
          <w:rFonts w:ascii="Arial Black" w:hAnsi="Arial Black" w:cs="Arial"/>
          <w:b/>
          <w:sz w:val="32"/>
          <w:szCs w:val="32"/>
        </w:rPr>
        <w:t>E</w:t>
      </w:r>
      <w:r>
        <w:rPr>
          <w:rFonts w:ascii="Arial Black" w:hAnsi="Arial Black" w:cs="Arial"/>
          <w:b/>
          <w:sz w:val="32"/>
          <w:szCs w:val="32"/>
        </w:rPr>
        <w:t>SG Written Standards</w:t>
      </w:r>
      <w:r w:rsidR="009C4EE4">
        <w:rPr>
          <w:rFonts w:ascii="Arial Black" w:hAnsi="Arial Black" w:cs="Arial"/>
          <w:b/>
          <w:sz w:val="32"/>
          <w:szCs w:val="32"/>
        </w:rPr>
        <w:t xml:space="preserve"> Checklist</w:t>
      </w:r>
      <w:bookmarkStart w:id="0" w:name="_GoBack"/>
      <w:bookmarkEnd w:id="0"/>
    </w:p>
    <w:p w:rsidR="00555E23" w:rsidRPr="00AC6141" w:rsidRDefault="00555E23" w:rsidP="00555E23">
      <w:pPr>
        <w:tabs>
          <w:tab w:val="left" w:pos="90"/>
        </w:tabs>
        <w:overflowPunct/>
        <w:autoSpaceDE/>
        <w:autoSpaceDN/>
        <w:adjustRightInd/>
        <w:spacing w:before="100" w:beforeAutospacing="1" w:after="100" w:afterAutospacing="1"/>
        <w:textAlignment w:val="auto"/>
        <w:rPr>
          <w:rFonts w:ascii="Arial" w:hAnsi="Arial" w:cs="Arial"/>
          <w:sz w:val="22"/>
          <w:szCs w:val="22"/>
        </w:rPr>
      </w:pPr>
      <w:r>
        <w:rPr>
          <w:rFonts w:ascii="Arial" w:hAnsi="Arial" w:cs="Arial"/>
          <w:sz w:val="22"/>
          <w:szCs w:val="22"/>
        </w:rPr>
        <w:t xml:space="preserve">The following </w:t>
      </w:r>
      <w:r w:rsidRPr="00AC6141">
        <w:rPr>
          <w:rFonts w:ascii="Arial" w:hAnsi="Arial" w:cs="Arial"/>
          <w:b/>
          <w:sz w:val="22"/>
          <w:szCs w:val="22"/>
          <w:u w:val="single"/>
        </w:rPr>
        <w:t>ESG Written Standards Checklist</w:t>
      </w:r>
      <w:r>
        <w:rPr>
          <w:rFonts w:ascii="Arial" w:hAnsi="Arial" w:cs="Arial"/>
          <w:sz w:val="22"/>
          <w:szCs w:val="22"/>
        </w:rPr>
        <w:t xml:space="preserve"> is required to be part of every application to HCD for ESG funds.  </w:t>
      </w:r>
      <w:r w:rsidRPr="00AC6141">
        <w:rPr>
          <w:rFonts w:ascii="Arial" w:hAnsi="Arial" w:cs="Arial"/>
          <w:sz w:val="22"/>
          <w:szCs w:val="22"/>
        </w:rPr>
        <w:t>The written standards required in ESG must be established for each area  covered by a Continuum of Care or area over which the services are coordinated</w:t>
      </w:r>
      <w:r w:rsidR="0025207D">
        <w:rPr>
          <w:rFonts w:ascii="Arial" w:hAnsi="Arial" w:cs="Arial"/>
          <w:sz w:val="22"/>
          <w:szCs w:val="22"/>
        </w:rPr>
        <w:t>,</w:t>
      </w:r>
      <w:r w:rsidRPr="00AC6141">
        <w:rPr>
          <w:rFonts w:ascii="Arial" w:hAnsi="Arial" w:cs="Arial"/>
          <w:sz w:val="22"/>
          <w:szCs w:val="22"/>
        </w:rPr>
        <w:t xml:space="preserve"> and followed by each </w:t>
      </w:r>
      <w:proofErr w:type="spellStart"/>
      <w:r w:rsidRPr="00AC6141">
        <w:rPr>
          <w:rFonts w:ascii="Arial" w:hAnsi="Arial" w:cs="Arial"/>
          <w:sz w:val="22"/>
          <w:szCs w:val="22"/>
        </w:rPr>
        <w:t>subrecipient</w:t>
      </w:r>
      <w:proofErr w:type="spellEnd"/>
      <w:r w:rsidRPr="00AC6141">
        <w:rPr>
          <w:rFonts w:ascii="Arial" w:hAnsi="Arial" w:cs="Arial"/>
          <w:sz w:val="22"/>
          <w:szCs w:val="22"/>
        </w:rPr>
        <w:t xml:space="preserve"> providing assistance in that area; or by each </w:t>
      </w:r>
      <w:proofErr w:type="spellStart"/>
      <w:r w:rsidRPr="00AC6141">
        <w:rPr>
          <w:rFonts w:ascii="Arial" w:hAnsi="Arial" w:cs="Arial"/>
          <w:sz w:val="22"/>
          <w:szCs w:val="22"/>
        </w:rPr>
        <w:t>subrecipient</w:t>
      </w:r>
      <w:proofErr w:type="spellEnd"/>
      <w:r w:rsidRPr="00AC6141">
        <w:rPr>
          <w:rFonts w:ascii="Arial" w:hAnsi="Arial" w:cs="Arial"/>
          <w:sz w:val="22"/>
          <w:szCs w:val="22"/>
        </w:rPr>
        <w:t xml:space="preserve"> and applied consistently within the </w:t>
      </w:r>
      <w:proofErr w:type="spellStart"/>
      <w:r w:rsidRPr="00AC6141">
        <w:rPr>
          <w:rFonts w:ascii="Arial" w:hAnsi="Arial" w:cs="Arial"/>
          <w:sz w:val="22"/>
          <w:szCs w:val="22"/>
        </w:rPr>
        <w:t>subrecipient's</w:t>
      </w:r>
      <w:proofErr w:type="spellEnd"/>
      <w:r w:rsidRPr="00AC6141">
        <w:rPr>
          <w:rFonts w:ascii="Arial" w:hAnsi="Arial" w:cs="Arial"/>
          <w:sz w:val="22"/>
          <w:szCs w:val="22"/>
        </w:rPr>
        <w:t xml:space="preserve"> program.  </w:t>
      </w:r>
      <w:r>
        <w:rPr>
          <w:rFonts w:ascii="Arial" w:hAnsi="Arial" w:cs="Arial"/>
          <w:sz w:val="22"/>
          <w:szCs w:val="22"/>
        </w:rPr>
        <w:t xml:space="preserve"> </w:t>
      </w:r>
    </w:p>
    <w:p w:rsidR="00555E23" w:rsidRPr="00AC6141" w:rsidRDefault="00555E23" w:rsidP="00555E23">
      <w:pPr>
        <w:tabs>
          <w:tab w:val="left" w:pos="90"/>
        </w:tabs>
        <w:overflowPunct/>
        <w:autoSpaceDE/>
        <w:autoSpaceDN/>
        <w:adjustRightInd/>
        <w:spacing w:before="100" w:beforeAutospacing="1" w:after="100" w:afterAutospacing="1"/>
        <w:textAlignment w:val="auto"/>
        <w:rPr>
          <w:rFonts w:ascii="Arial" w:hAnsi="Arial" w:cs="Arial"/>
          <w:b/>
          <w:sz w:val="22"/>
          <w:szCs w:val="22"/>
        </w:rPr>
      </w:pPr>
      <w:r w:rsidRPr="00AC6141">
        <w:rPr>
          <w:rFonts w:ascii="Arial" w:hAnsi="Arial" w:cs="Arial"/>
          <w:b/>
          <w:sz w:val="22"/>
          <w:szCs w:val="22"/>
        </w:rPr>
        <w:t xml:space="preserve">Please certify below that you </w:t>
      </w:r>
      <w:r>
        <w:rPr>
          <w:rFonts w:ascii="Arial" w:hAnsi="Arial" w:cs="Arial"/>
          <w:b/>
          <w:sz w:val="22"/>
          <w:szCs w:val="22"/>
        </w:rPr>
        <w:t>have</w:t>
      </w:r>
      <w:r w:rsidRPr="00AC6141">
        <w:rPr>
          <w:rFonts w:ascii="Arial" w:hAnsi="Arial" w:cs="Arial"/>
          <w:b/>
          <w:sz w:val="22"/>
          <w:szCs w:val="22"/>
        </w:rPr>
        <w:t xml:space="preserve"> established Written Standards for this program.  (Do not attach a copy of your Written Standards)</w:t>
      </w:r>
      <w:r>
        <w:rPr>
          <w:rFonts w:ascii="Arial" w:hAnsi="Arial" w:cs="Arial"/>
          <w:b/>
          <w:sz w:val="22"/>
          <w:szCs w:val="22"/>
        </w:rPr>
        <w:t>.</w:t>
      </w:r>
    </w:p>
    <w:tbl>
      <w:tblPr>
        <w:tblStyle w:val="TableGrid3"/>
        <w:tblpPr w:leftFromText="180" w:rightFromText="180" w:vertAnchor="text" w:horzAnchor="margin" w:tblpY="401"/>
        <w:tblW w:w="4803" w:type="pct"/>
        <w:tblLook w:val="04A0" w:firstRow="1" w:lastRow="0" w:firstColumn="1" w:lastColumn="0" w:noHBand="0" w:noVBand="1"/>
      </w:tblPr>
      <w:tblGrid>
        <w:gridCol w:w="649"/>
        <w:gridCol w:w="8550"/>
      </w:tblGrid>
      <w:tr w:rsidR="00555E23" w:rsidRPr="00FC2276" w:rsidTr="0010495D">
        <w:trPr>
          <w:trHeight w:val="968"/>
        </w:trPr>
        <w:tc>
          <w:tcPr>
            <w:tcW w:w="353" w:type="pct"/>
            <w:vAlign w:val="center"/>
          </w:tcPr>
          <w:p w:rsidR="00555E23" w:rsidRPr="00FC2276" w:rsidRDefault="00555E23" w:rsidP="0010495D">
            <w:pPr>
              <w:overflowPunct/>
              <w:autoSpaceDE/>
              <w:autoSpaceDN/>
              <w:adjustRightInd/>
              <w:spacing w:before="100" w:beforeAutospacing="1" w:after="100" w:afterAutospacing="1"/>
              <w:jc w:val="center"/>
              <w:textAlignment w:val="auto"/>
              <w:rPr>
                <w:rFonts w:ascii="Arial" w:hAnsi="Arial" w:cs="Arial"/>
              </w:rPr>
            </w:pPr>
            <w:r w:rsidRPr="00FC2276">
              <w:rPr>
                <w:rFonts w:ascii="Arial" w:hAnsi="Arial" w:cs="Arial"/>
              </w:rPr>
              <w:fldChar w:fldCharType="begin">
                <w:ffData>
                  <w:name w:val="Check1"/>
                  <w:enabled/>
                  <w:calcOnExit w:val="0"/>
                  <w:checkBox>
                    <w:sizeAuto/>
                    <w:default w:val="0"/>
                  </w:checkBox>
                </w:ffData>
              </w:fldChar>
            </w:r>
            <w:bookmarkStart w:id="1" w:name="Check1"/>
            <w:r w:rsidRPr="00FC2276">
              <w:rPr>
                <w:rFonts w:ascii="Arial" w:hAnsi="Arial" w:cs="Arial"/>
              </w:rPr>
              <w:instrText xml:space="preserve"> FORMCHECKBOX </w:instrText>
            </w:r>
            <w:r w:rsidRPr="00FC2276">
              <w:rPr>
                <w:rFonts w:ascii="Arial" w:hAnsi="Arial" w:cs="Arial"/>
              </w:rPr>
            </w:r>
            <w:r w:rsidRPr="00FC2276">
              <w:rPr>
                <w:rFonts w:ascii="Arial" w:hAnsi="Arial" w:cs="Arial"/>
              </w:rPr>
              <w:fldChar w:fldCharType="end"/>
            </w:r>
            <w:bookmarkEnd w:id="1"/>
          </w:p>
        </w:tc>
        <w:tc>
          <w:tcPr>
            <w:tcW w:w="4647" w:type="pct"/>
          </w:tcPr>
          <w:p w:rsidR="00555E23" w:rsidRPr="00FC2276" w:rsidRDefault="00555E23" w:rsidP="00555E23">
            <w:pPr>
              <w:numPr>
                <w:ilvl w:val="0"/>
                <w:numId w:val="1"/>
              </w:numPr>
              <w:overflowPunct/>
              <w:autoSpaceDE/>
              <w:autoSpaceDN/>
              <w:adjustRightInd/>
              <w:spacing w:before="100" w:beforeAutospacing="1"/>
              <w:ind w:left="433" w:hanging="73"/>
              <w:jc w:val="both"/>
              <w:textAlignment w:val="auto"/>
              <w:rPr>
                <w:rFonts w:ascii="Arial" w:hAnsi="Arial" w:cs="Arial"/>
              </w:rPr>
            </w:pPr>
            <w:r w:rsidRPr="00FC2276">
              <w:rPr>
                <w:rFonts w:ascii="Arial" w:hAnsi="Arial" w:cs="Arial"/>
              </w:rPr>
              <w:t xml:space="preserve">Standard policies and procedures for evaluating individuals' and families' eligibility for assistance under Emergency Solutions Grant (ESG). The policies and procedures must be consistent with the recordkeeping requirements and definitions of "homeless" and "at-risk of homelessness" in the federal ESG regulations at: </w:t>
            </w:r>
            <w:r w:rsidRPr="00FC2276">
              <w:rPr>
                <w:rFonts w:ascii="Arial" w:hAnsi="Arial" w:cs="Arial"/>
                <w:u w:val="single"/>
              </w:rPr>
              <w:t>24 CFR 576.2</w:t>
            </w:r>
            <w:r w:rsidRPr="00FC2276">
              <w:rPr>
                <w:rFonts w:ascii="Arial" w:hAnsi="Arial" w:cs="Arial"/>
              </w:rPr>
              <w:t xml:space="preserve"> and </w:t>
            </w:r>
            <w:r w:rsidRPr="00FC2276">
              <w:rPr>
                <w:rFonts w:ascii="Arial" w:hAnsi="Arial" w:cs="Arial"/>
                <w:u w:val="single"/>
              </w:rPr>
              <w:t>24</w:t>
            </w:r>
            <w:r>
              <w:rPr>
                <w:rFonts w:ascii="Arial" w:hAnsi="Arial" w:cs="Arial"/>
                <w:u w:val="single"/>
              </w:rPr>
              <w:t> </w:t>
            </w:r>
            <w:r w:rsidRPr="00FC2276">
              <w:rPr>
                <w:rFonts w:ascii="Arial" w:hAnsi="Arial" w:cs="Arial"/>
                <w:u w:val="single"/>
              </w:rPr>
              <w:t>CFR</w:t>
            </w:r>
            <w:r>
              <w:rPr>
                <w:rFonts w:ascii="Arial" w:hAnsi="Arial" w:cs="Arial"/>
                <w:u w:val="single"/>
              </w:rPr>
              <w:t> </w:t>
            </w:r>
            <w:r w:rsidRPr="00FC2276">
              <w:rPr>
                <w:rFonts w:ascii="Arial" w:hAnsi="Arial" w:cs="Arial"/>
                <w:u w:val="single"/>
              </w:rPr>
              <w:t>576.500 (b-e).</w:t>
            </w:r>
          </w:p>
        </w:tc>
      </w:tr>
      <w:tr w:rsidR="00555E23" w:rsidRPr="00FC2276" w:rsidTr="0010495D">
        <w:trPr>
          <w:trHeight w:val="303"/>
        </w:trPr>
        <w:tc>
          <w:tcPr>
            <w:tcW w:w="353" w:type="pct"/>
            <w:vAlign w:val="center"/>
          </w:tcPr>
          <w:p w:rsidR="00555E23" w:rsidRPr="00FC2276" w:rsidRDefault="00555E23" w:rsidP="0010495D">
            <w:pPr>
              <w:overflowPunct/>
              <w:autoSpaceDE/>
              <w:autoSpaceDN/>
              <w:adjustRightInd/>
              <w:spacing w:before="100" w:beforeAutospacing="1" w:after="100" w:afterAutospacing="1"/>
              <w:jc w:val="center"/>
              <w:textAlignment w:val="auto"/>
              <w:rPr>
                <w:rFonts w:ascii="Arial" w:hAnsi="Arial" w:cs="Arial"/>
              </w:rPr>
            </w:pPr>
            <w:r w:rsidRPr="00FC2276">
              <w:rPr>
                <w:rFonts w:ascii="Arial" w:hAnsi="Arial" w:cs="Arial"/>
              </w:rPr>
              <w:fldChar w:fldCharType="begin">
                <w:ffData>
                  <w:name w:val="Check1"/>
                  <w:enabled/>
                  <w:calcOnExit w:val="0"/>
                  <w:checkBox>
                    <w:sizeAuto/>
                    <w:default w:val="0"/>
                  </w:checkBox>
                </w:ffData>
              </w:fldChar>
            </w:r>
            <w:r w:rsidRPr="00FC2276">
              <w:rPr>
                <w:rFonts w:ascii="Arial" w:hAnsi="Arial" w:cs="Arial"/>
              </w:rPr>
              <w:instrText xml:space="preserve"> FORMCHECKBOX </w:instrText>
            </w:r>
            <w:r w:rsidRPr="00FC2276">
              <w:rPr>
                <w:rFonts w:ascii="Arial" w:hAnsi="Arial" w:cs="Arial"/>
              </w:rPr>
            </w:r>
            <w:r w:rsidRPr="00FC2276">
              <w:rPr>
                <w:rFonts w:ascii="Arial" w:hAnsi="Arial" w:cs="Arial"/>
              </w:rPr>
              <w:fldChar w:fldCharType="end"/>
            </w:r>
          </w:p>
        </w:tc>
        <w:tc>
          <w:tcPr>
            <w:tcW w:w="4647" w:type="pct"/>
          </w:tcPr>
          <w:p w:rsidR="00555E23" w:rsidRPr="00FC2276" w:rsidRDefault="00555E23" w:rsidP="00555E23">
            <w:pPr>
              <w:numPr>
                <w:ilvl w:val="0"/>
                <w:numId w:val="1"/>
              </w:numPr>
              <w:overflowPunct/>
              <w:autoSpaceDE/>
              <w:autoSpaceDN/>
              <w:adjustRightInd/>
              <w:spacing w:before="100" w:beforeAutospacing="1" w:after="100" w:afterAutospacing="1"/>
              <w:ind w:left="433" w:hanging="73"/>
              <w:jc w:val="both"/>
              <w:textAlignment w:val="auto"/>
              <w:rPr>
                <w:rFonts w:ascii="Arial" w:hAnsi="Arial" w:cs="Arial"/>
              </w:rPr>
            </w:pPr>
            <w:r w:rsidRPr="00FC2276">
              <w:rPr>
                <w:rFonts w:ascii="Arial" w:hAnsi="Arial" w:cs="Arial"/>
              </w:rPr>
              <w:t>Standards for targeting and providing essential services related to street outreach.</w:t>
            </w:r>
          </w:p>
        </w:tc>
      </w:tr>
      <w:tr w:rsidR="00555E23" w:rsidRPr="00FC2276" w:rsidTr="0010495D">
        <w:trPr>
          <w:trHeight w:val="1198"/>
        </w:trPr>
        <w:tc>
          <w:tcPr>
            <w:tcW w:w="353" w:type="pct"/>
            <w:vAlign w:val="center"/>
          </w:tcPr>
          <w:p w:rsidR="00555E23" w:rsidRPr="00FC2276" w:rsidRDefault="00555E23" w:rsidP="0010495D">
            <w:pPr>
              <w:overflowPunct/>
              <w:autoSpaceDE/>
              <w:autoSpaceDN/>
              <w:adjustRightInd/>
              <w:spacing w:before="100" w:beforeAutospacing="1" w:after="100" w:afterAutospacing="1"/>
              <w:jc w:val="center"/>
              <w:textAlignment w:val="auto"/>
              <w:rPr>
                <w:rFonts w:ascii="Arial" w:hAnsi="Arial" w:cs="Arial"/>
              </w:rPr>
            </w:pPr>
            <w:r w:rsidRPr="00FC2276">
              <w:rPr>
                <w:rFonts w:ascii="Arial" w:hAnsi="Arial" w:cs="Arial"/>
              </w:rPr>
              <w:fldChar w:fldCharType="begin">
                <w:ffData>
                  <w:name w:val="Check1"/>
                  <w:enabled/>
                  <w:calcOnExit w:val="0"/>
                  <w:checkBox>
                    <w:sizeAuto/>
                    <w:default w:val="0"/>
                  </w:checkBox>
                </w:ffData>
              </w:fldChar>
            </w:r>
            <w:r w:rsidRPr="00FC2276">
              <w:rPr>
                <w:rFonts w:ascii="Arial" w:hAnsi="Arial" w:cs="Arial"/>
              </w:rPr>
              <w:instrText xml:space="preserve"> FORMCHECKBOX </w:instrText>
            </w:r>
            <w:r w:rsidRPr="00FC2276">
              <w:rPr>
                <w:rFonts w:ascii="Arial" w:hAnsi="Arial" w:cs="Arial"/>
              </w:rPr>
            </w:r>
            <w:r w:rsidRPr="00FC2276">
              <w:rPr>
                <w:rFonts w:ascii="Arial" w:hAnsi="Arial" w:cs="Arial"/>
              </w:rPr>
              <w:fldChar w:fldCharType="end"/>
            </w:r>
          </w:p>
        </w:tc>
        <w:tc>
          <w:tcPr>
            <w:tcW w:w="4647" w:type="pct"/>
          </w:tcPr>
          <w:p w:rsidR="00555E23" w:rsidRPr="00FC2276" w:rsidRDefault="00555E23" w:rsidP="00555E23">
            <w:pPr>
              <w:numPr>
                <w:ilvl w:val="0"/>
                <w:numId w:val="1"/>
              </w:numPr>
              <w:overflowPunct/>
              <w:autoSpaceDE/>
              <w:autoSpaceDN/>
              <w:adjustRightInd/>
              <w:spacing w:before="100" w:beforeAutospacing="1" w:after="100" w:afterAutospacing="1"/>
              <w:ind w:left="433" w:hanging="73"/>
              <w:jc w:val="both"/>
              <w:textAlignment w:val="auto"/>
              <w:rPr>
                <w:rFonts w:ascii="Arial" w:hAnsi="Arial" w:cs="Arial"/>
              </w:rPr>
            </w:pPr>
            <w:r w:rsidRPr="00FC2276">
              <w:rPr>
                <w:rFonts w:ascii="Arial" w:hAnsi="Arial" w:cs="Arial"/>
              </w:rPr>
              <w:t xml:space="preserve">Policies and procedures for admission, diversion, referral, and discharge by emergency shelters assisted under ESG, including standards regarding length of stay, if any, and safeguards to meet the safety and shelter needs of special populations, </w:t>
            </w:r>
            <w:r>
              <w:rPr>
                <w:rFonts w:ascii="Arial" w:hAnsi="Arial" w:cs="Arial"/>
              </w:rPr>
              <w:t>(</w:t>
            </w:r>
            <w:r w:rsidRPr="00FC2276">
              <w:rPr>
                <w:rFonts w:ascii="Arial" w:hAnsi="Arial" w:cs="Arial"/>
                <w:i/>
                <w:iCs/>
              </w:rPr>
              <w:t xml:space="preserve">e.g., </w:t>
            </w:r>
            <w:r w:rsidRPr="00FC2276">
              <w:rPr>
                <w:rFonts w:ascii="Arial" w:hAnsi="Arial" w:cs="Arial"/>
              </w:rPr>
              <w:t>victims of domestic violence, dating violence, sexual assault, and stalking; and individuals and families who have the highest barriers to housing and are likely to be homeless the longest</w:t>
            </w:r>
            <w:r>
              <w:rPr>
                <w:rFonts w:ascii="Arial" w:hAnsi="Arial" w:cs="Arial"/>
              </w:rPr>
              <w:t>)</w:t>
            </w:r>
            <w:r w:rsidRPr="00FC2276">
              <w:rPr>
                <w:rFonts w:ascii="Arial" w:hAnsi="Arial" w:cs="Arial"/>
              </w:rPr>
              <w:t>.</w:t>
            </w:r>
          </w:p>
        </w:tc>
      </w:tr>
      <w:tr w:rsidR="00555E23" w:rsidRPr="00FC2276" w:rsidTr="0010495D">
        <w:trPr>
          <w:trHeight w:val="504"/>
        </w:trPr>
        <w:tc>
          <w:tcPr>
            <w:tcW w:w="353" w:type="pct"/>
            <w:vAlign w:val="center"/>
          </w:tcPr>
          <w:p w:rsidR="00555E23" w:rsidRPr="00FC2276" w:rsidRDefault="00555E23" w:rsidP="0010495D">
            <w:pPr>
              <w:overflowPunct/>
              <w:autoSpaceDE/>
              <w:autoSpaceDN/>
              <w:adjustRightInd/>
              <w:spacing w:before="100" w:beforeAutospacing="1" w:after="100" w:afterAutospacing="1"/>
              <w:jc w:val="center"/>
              <w:textAlignment w:val="auto"/>
              <w:rPr>
                <w:rFonts w:ascii="Arial" w:hAnsi="Arial" w:cs="Arial"/>
              </w:rPr>
            </w:pPr>
            <w:r w:rsidRPr="00FC2276">
              <w:rPr>
                <w:rFonts w:ascii="Arial" w:hAnsi="Arial" w:cs="Arial"/>
              </w:rPr>
              <w:fldChar w:fldCharType="begin">
                <w:ffData>
                  <w:name w:val="Check1"/>
                  <w:enabled/>
                  <w:calcOnExit w:val="0"/>
                  <w:checkBox>
                    <w:sizeAuto/>
                    <w:default w:val="0"/>
                  </w:checkBox>
                </w:ffData>
              </w:fldChar>
            </w:r>
            <w:r w:rsidRPr="00FC2276">
              <w:rPr>
                <w:rFonts w:ascii="Arial" w:hAnsi="Arial" w:cs="Arial"/>
              </w:rPr>
              <w:instrText xml:space="preserve"> FORMCHECKBOX </w:instrText>
            </w:r>
            <w:r w:rsidRPr="00FC2276">
              <w:rPr>
                <w:rFonts w:ascii="Arial" w:hAnsi="Arial" w:cs="Arial"/>
              </w:rPr>
            </w:r>
            <w:r w:rsidRPr="00FC2276">
              <w:rPr>
                <w:rFonts w:ascii="Arial" w:hAnsi="Arial" w:cs="Arial"/>
              </w:rPr>
              <w:fldChar w:fldCharType="end"/>
            </w:r>
          </w:p>
        </w:tc>
        <w:tc>
          <w:tcPr>
            <w:tcW w:w="4647" w:type="pct"/>
          </w:tcPr>
          <w:p w:rsidR="00555E23" w:rsidRPr="00FC2276" w:rsidRDefault="00555E23" w:rsidP="00555E23">
            <w:pPr>
              <w:numPr>
                <w:ilvl w:val="0"/>
                <w:numId w:val="1"/>
              </w:numPr>
              <w:overflowPunct/>
              <w:autoSpaceDE/>
              <w:autoSpaceDN/>
              <w:adjustRightInd/>
              <w:spacing w:before="100" w:beforeAutospacing="1" w:after="100" w:afterAutospacing="1"/>
              <w:ind w:left="433" w:hanging="73"/>
              <w:jc w:val="both"/>
              <w:textAlignment w:val="auto"/>
              <w:rPr>
                <w:rFonts w:ascii="Arial" w:hAnsi="Arial" w:cs="Arial"/>
              </w:rPr>
            </w:pPr>
            <w:r w:rsidRPr="00FC2276">
              <w:rPr>
                <w:rFonts w:ascii="Arial" w:hAnsi="Arial" w:cs="Arial"/>
              </w:rPr>
              <w:t>Policies and procedures for assessing, prioritizing, and reassessing individuals' and families' needs for essential services related to emergency shelter.</w:t>
            </w:r>
          </w:p>
        </w:tc>
      </w:tr>
      <w:tr w:rsidR="00555E23" w:rsidRPr="00FC2276" w:rsidTr="0010495D">
        <w:trPr>
          <w:trHeight w:val="1095"/>
        </w:trPr>
        <w:tc>
          <w:tcPr>
            <w:tcW w:w="353" w:type="pct"/>
            <w:vAlign w:val="center"/>
          </w:tcPr>
          <w:p w:rsidR="00555E23" w:rsidRPr="00FC2276" w:rsidRDefault="00555E23" w:rsidP="0010495D">
            <w:pPr>
              <w:overflowPunct/>
              <w:autoSpaceDE/>
              <w:autoSpaceDN/>
              <w:adjustRightInd/>
              <w:spacing w:before="100" w:beforeAutospacing="1" w:after="100" w:afterAutospacing="1"/>
              <w:jc w:val="center"/>
              <w:textAlignment w:val="auto"/>
              <w:rPr>
                <w:rFonts w:ascii="Arial" w:hAnsi="Arial" w:cs="Arial"/>
              </w:rPr>
            </w:pPr>
            <w:r w:rsidRPr="00FC2276">
              <w:rPr>
                <w:rFonts w:ascii="Arial" w:hAnsi="Arial" w:cs="Arial"/>
              </w:rPr>
              <w:fldChar w:fldCharType="begin">
                <w:ffData>
                  <w:name w:val="Check1"/>
                  <w:enabled/>
                  <w:calcOnExit w:val="0"/>
                  <w:checkBox>
                    <w:sizeAuto/>
                    <w:default w:val="0"/>
                  </w:checkBox>
                </w:ffData>
              </w:fldChar>
            </w:r>
            <w:r w:rsidRPr="00FC2276">
              <w:rPr>
                <w:rFonts w:ascii="Arial" w:hAnsi="Arial" w:cs="Arial"/>
              </w:rPr>
              <w:instrText xml:space="preserve"> FORMCHECKBOX </w:instrText>
            </w:r>
            <w:r w:rsidRPr="00FC2276">
              <w:rPr>
                <w:rFonts w:ascii="Arial" w:hAnsi="Arial" w:cs="Arial"/>
              </w:rPr>
            </w:r>
            <w:r w:rsidRPr="00FC2276">
              <w:rPr>
                <w:rFonts w:ascii="Arial" w:hAnsi="Arial" w:cs="Arial"/>
              </w:rPr>
              <w:fldChar w:fldCharType="end"/>
            </w:r>
          </w:p>
        </w:tc>
        <w:tc>
          <w:tcPr>
            <w:tcW w:w="4647" w:type="pct"/>
          </w:tcPr>
          <w:p w:rsidR="00555E23" w:rsidRPr="00FC2276" w:rsidRDefault="00555E23" w:rsidP="00555E23">
            <w:pPr>
              <w:numPr>
                <w:ilvl w:val="0"/>
                <w:numId w:val="1"/>
              </w:numPr>
              <w:overflowPunct/>
              <w:autoSpaceDE/>
              <w:autoSpaceDN/>
              <w:adjustRightInd/>
              <w:spacing w:before="100" w:beforeAutospacing="1" w:after="100" w:afterAutospacing="1"/>
              <w:ind w:left="433" w:hanging="73"/>
              <w:jc w:val="both"/>
              <w:textAlignment w:val="auto"/>
              <w:rPr>
                <w:rFonts w:ascii="Arial" w:hAnsi="Arial" w:cs="Arial"/>
              </w:rPr>
            </w:pPr>
            <w:r w:rsidRPr="00FC2276">
              <w:rPr>
                <w:rFonts w:ascii="Arial" w:hAnsi="Arial" w:cs="Arial"/>
              </w:rPr>
              <w:t>Policies and procedures for coordination among emergency shelter providers, essential services providers, homelessness prevention, and rapid re-housing assistance providers; other homeless assistance providers; and mainstream service and housing providers. The required coordination may be done over an area covered by the Continuum of Care or a larger area.</w:t>
            </w:r>
          </w:p>
        </w:tc>
      </w:tr>
      <w:tr w:rsidR="00555E23" w:rsidRPr="00FC2276" w:rsidTr="0010495D">
        <w:trPr>
          <w:trHeight w:val="1054"/>
        </w:trPr>
        <w:tc>
          <w:tcPr>
            <w:tcW w:w="353" w:type="pct"/>
            <w:vAlign w:val="center"/>
          </w:tcPr>
          <w:p w:rsidR="00555E23" w:rsidRPr="00FC2276" w:rsidRDefault="00555E23" w:rsidP="0010495D">
            <w:pPr>
              <w:overflowPunct/>
              <w:autoSpaceDE/>
              <w:autoSpaceDN/>
              <w:adjustRightInd/>
              <w:spacing w:before="100" w:beforeAutospacing="1" w:after="100" w:afterAutospacing="1"/>
              <w:jc w:val="center"/>
              <w:textAlignment w:val="auto"/>
              <w:rPr>
                <w:rFonts w:ascii="Arial" w:hAnsi="Arial" w:cs="Arial"/>
              </w:rPr>
            </w:pPr>
            <w:r w:rsidRPr="00FC2276">
              <w:rPr>
                <w:rFonts w:ascii="Arial" w:hAnsi="Arial" w:cs="Arial"/>
              </w:rPr>
              <w:fldChar w:fldCharType="begin">
                <w:ffData>
                  <w:name w:val="Check1"/>
                  <w:enabled/>
                  <w:calcOnExit w:val="0"/>
                  <w:checkBox>
                    <w:sizeAuto/>
                    <w:default w:val="0"/>
                  </w:checkBox>
                </w:ffData>
              </w:fldChar>
            </w:r>
            <w:r w:rsidRPr="00FC2276">
              <w:rPr>
                <w:rFonts w:ascii="Arial" w:hAnsi="Arial" w:cs="Arial"/>
              </w:rPr>
              <w:instrText xml:space="preserve"> FORMCHECKBOX </w:instrText>
            </w:r>
            <w:r w:rsidRPr="00FC2276">
              <w:rPr>
                <w:rFonts w:ascii="Arial" w:hAnsi="Arial" w:cs="Arial"/>
              </w:rPr>
            </w:r>
            <w:r w:rsidRPr="00FC2276">
              <w:rPr>
                <w:rFonts w:ascii="Arial" w:hAnsi="Arial" w:cs="Arial"/>
              </w:rPr>
              <w:fldChar w:fldCharType="end"/>
            </w:r>
          </w:p>
        </w:tc>
        <w:tc>
          <w:tcPr>
            <w:tcW w:w="4647" w:type="pct"/>
          </w:tcPr>
          <w:p w:rsidR="00555E23" w:rsidRPr="00FC2276" w:rsidRDefault="00555E23" w:rsidP="00555E23">
            <w:pPr>
              <w:numPr>
                <w:ilvl w:val="0"/>
                <w:numId w:val="1"/>
              </w:numPr>
              <w:overflowPunct/>
              <w:autoSpaceDE/>
              <w:autoSpaceDN/>
              <w:adjustRightInd/>
              <w:spacing w:before="100" w:beforeAutospacing="1" w:after="100" w:afterAutospacing="1"/>
              <w:ind w:left="433" w:hanging="73"/>
              <w:jc w:val="both"/>
              <w:textAlignment w:val="auto"/>
              <w:rPr>
                <w:rFonts w:ascii="Arial" w:hAnsi="Arial" w:cs="Arial"/>
              </w:rPr>
            </w:pPr>
            <w:r w:rsidRPr="00FC2276">
              <w:rPr>
                <w:rFonts w:ascii="Arial" w:hAnsi="Arial" w:cs="Arial"/>
              </w:rPr>
              <w:t>Policies and procedures for determining and prioritizing which eligible families and individuals will receive homelessness prevention assistance and which eligible families and individuals will receive rapid re-housing assistance.</w:t>
            </w:r>
            <w:r>
              <w:rPr>
                <w:rFonts w:ascii="Arial" w:hAnsi="Arial" w:cs="Arial"/>
              </w:rPr>
              <w:t xml:space="preserve"> </w:t>
            </w:r>
            <w:r w:rsidRPr="00FC2276">
              <w:rPr>
                <w:rFonts w:ascii="Arial" w:hAnsi="Arial" w:cs="Arial"/>
              </w:rPr>
              <w:t xml:space="preserve"> For homeless prevention, include the risk factors used to determine who would be most in need of this assistance to avoid becoming homeless.</w:t>
            </w:r>
          </w:p>
        </w:tc>
      </w:tr>
      <w:tr w:rsidR="00555E23" w:rsidRPr="00FC2276" w:rsidTr="0010495D">
        <w:trPr>
          <w:trHeight w:val="921"/>
        </w:trPr>
        <w:tc>
          <w:tcPr>
            <w:tcW w:w="353" w:type="pct"/>
            <w:vAlign w:val="center"/>
          </w:tcPr>
          <w:p w:rsidR="00555E23" w:rsidRPr="00FC2276" w:rsidRDefault="00555E23" w:rsidP="0010495D">
            <w:pPr>
              <w:overflowPunct/>
              <w:autoSpaceDE/>
              <w:autoSpaceDN/>
              <w:adjustRightInd/>
              <w:spacing w:before="100" w:beforeAutospacing="1" w:after="100" w:afterAutospacing="1"/>
              <w:jc w:val="center"/>
              <w:textAlignment w:val="auto"/>
              <w:rPr>
                <w:rFonts w:ascii="Arial" w:hAnsi="Arial" w:cs="Arial"/>
              </w:rPr>
            </w:pPr>
            <w:r w:rsidRPr="00FC2276">
              <w:rPr>
                <w:rFonts w:ascii="Arial" w:hAnsi="Arial" w:cs="Arial"/>
              </w:rPr>
              <w:fldChar w:fldCharType="begin">
                <w:ffData>
                  <w:name w:val="Check1"/>
                  <w:enabled/>
                  <w:calcOnExit w:val="0"/>
                  <w:checkBox>
                    <w:sizeAuto/>
                    <w:default w:val="0"/>
                  </w:checkBox>
                </w:ffData>
              </w:fldChar>
            </w:r>
            <w:r w:rsidRPr="00FC2276">
              <w:rPr>
                <w:rFonts w:ascii="Arial" w:hAnsi="Arial" w:cs="Arial"/>
              </w:rPr>
              <w:instrText xml:space="preserve"> FORMCHECKBOX </w:instrText>
            </w:r>
            <w:r w:rsidRPr="00FC2276">
              <w:rPr>
                <w:rFonts w:ascii="Arial" w:hAnsi="Arial" w:cs="Arial"/>
              </w:rPr>
            </w:r>
            <w:r w:rsidRPr="00FC2276">
              <w:rPr>
                <w:rFonts w:ascii="Arial" w:hAnsi="Arial" w:cs="Arial"/>
              </w:rPr>
              <w:fldChar w:fldCharType="end"/>
            </w:r>
          </w:p>
        </w:tc>
        <w:tc>
          <w:tcPr>
            <w:tcW w:w="4647" w:type="pct"/>
          </w:tcPr>
          <w:p w:rsidR="00555E23" w:rsidRPr="00FC2276" w:rsidRDefault="00555E23" w:rsidP="00555E23">
            <w:pPr>
              <w:numPr>
                <w:ilvl w:val="0"/>
                <w:numId w:val="1"/>
              </w:numPr>
              <w:overflowPunct/>
              <w:autoSpaceDE/>
              <w:autoSpaceDN/>
              <w:adjustRightInd/>
              <w:spacing w:before="100" w:beforeAutospacing="1" w:after="100" w:afterAutospacing="1"/>
              <w:ind w:left="433" w:hanging="73"/>
              <w:jc w:val="both"/>
              <w:textAlignment w:val="auto"/>
              <w:rPr>
                <w:rFonts w:ascii="Arial" w:hAnsi="Arial" w:cs="Arial"/>
              </w:rPr>
            </w:pPr>
            <w:r w:rsidRPr="00FC2276">
              <w:rPr>
                <w:rFonts w:ascii="Arial" w:hAnsi="Arial" w:cs="Arial"/>
              </w:rPr>
              <w:t>Standards for determ</w:t>
            </w:r>
            <w:r>
              <w:rPr>
                <w:rFonts w:ascii="Arial" w:hAnsi="Arial" w:cs="Arial"/>
              </w:rPr>
              <w:t>ining what percentage or amount</w:t>
            </w:r>
            <w:r w:rsidRPr="00FC2276">
              <w:rPr>
                <w:rFonts w:ascii="Arial" w:hAnsi="Arial" w:cs="Arial"/>
              </w:rPr>
              <w:t xml:space="preserve"> (if any) of rent and utilities costs each program participant must pay while receiving homelessness prevention or rapid re-housing assistance. </w:t>
            </w:r>
            <w:r>
              <w:rPr>
                <w:rFonts w:ascii="Arial" w:hAnsi="Arial" w:cs="Arial"/>
              </w:rPr>
              <w:t xml:space="preserve"> </w:t>
            </w:r>
            <w:r w:rsidRPr="00FC2276">
              <w:rPr>
                <w:rFonts w:ascii="Arial" w:hAnsi="Arial" w:cs="Arial"/>
              </w:rPr>
              <w:t>If the assistance will be based on a percentage of the participant's income, specify this percentage, and how income will be calculated.</w:t>
            </w:r>
          </w:p>
        </w:tc>
      </w:tr>
      <w:tr w:rsidR="00555E23" w:rsidRPr="00FC2276" w:rsidTr="0010495D">
        <w:trPr>
          <w:trHeight w:val="1160"/>
        </w:trPr>
        <w:tc>
          <w:tcPr>
            <w:tcW w:w="353" w:type="pct"/>
            <w:vAlign w:val="center"/>
          </w:tcPr>
          <w:p w:rsidR="00555E23" w:rsidRPr="00FC2276" w:rsidRDefault="00555E23" w:rsidP="0010495D">
            <w:pPr>
              <w:overflowPunct/>
              <w:autoSpaceDE/>
              <w:autoSpaceDN/>
              <w:adjustRightInd/>
              <w:spacing w:before="100" w:beforeAutospacing="1" w:after="100" w:afterAutospacing="1"/>
              <w:jc w:val="center"/>
              <w:textAlignment w:val="auto"/>
              <w:rPr>
                <w:rFonts w:ascii="Arial" w:hAnsi="Arial" w:cs="Arial"/>
              </w:rPr>
            </w:pPr>
            <w:r w:rsidRPr="00FC2276">
              <w:rPr>
                <w:rFonts w:ascii="Arial" w:hAnsi="Arial" w:cs="Arial"/>
              </w:rPr>
              <w:lastRenderedPageBreak/>
              <w:fldChar w:fldCharType="begin">
                <w:ffData>
                  <w:name w:val="Check1"/>
                  <w:enabled/>
                  <w:calcOnExit w:val="0"/>
                  <w:checkBox>
                    <w:sizeAuto/>
                    <w:default w:val="0"/>
                  </w:checkBox>
                </w:ffData>
              </w:fldChar>
            </w:r>
            <w:r w:rsidRPr="00FC2276">
              <w:rPr>
                <w:rFonts w:ascii="Arial" w:hAnsi="Arial" w:cs="Arial"/>
              </w:rPr>
              <w:instrText xml:space="preserve"> FORMCHECKBOX </w:instrText>
            </w:r>
            <w:r w:rsidRPr="00FC2276">
              <w:rPr>
                <w:rFonts w:ascii="Arial" w:hAnsi="Arial" w:cs="Arial"/>
              </w:rPr>
            </w:r>
            <w:r w:rsidRPr="00FC2276">
              <w:rPr>
                <w:rFonts w:ascii="Arial" w:hAnsi="Arial" w:cs="Arial"/>
              </w:rPr>
              <w:fldChar w:fldCharType="end"/>
            </w:r>
          </w:p>
        </w:tc>
        <w:tc>
          <w:tcPr>
            <w:tcW w:w="4647" w:type="pct"/>
          </w:tcPr>
          <w:p w:rsidR="00555E23" w:rsidRPr="00FC2276" w:rsidRDefault="00555E23" w:rsidP="00555E23">
            <w:pPr>
              <w:numPr>
                <w:ilvl w:val="0"/>
                <w:numId w:val="1"/>
              </w:numPr>
              <w:overflowPunct/>
              <w:autoSpaceDE/>
              <w:autoSpaceDN/>
              <w:adjustRightInd/>
              <w:spacing w:before="100" w:beforeAutospacing="1" w:after="100" w:afterAutospacing="1"/>
              <w:ind w:left="433" w:hanging="73"/>
              <w:jc w:val="both"/>
              <w:textAlignment w:val="auto"/>
              <w:rPr>
                <w:rFonts w:ascii="Arial" w:hAnsi="Arial" w:cs="Arial"/>
              </w:rPr>
            </w:pPr>
            <w:r w:rsidRPr="00FC2276">
              <w:rPr>
                <w:rFonts w:ascii="Arial" w:hAnsi="Arial" w:cs="Arial"/>
              </w:rPr>
              <w:t xml:space="preserve">Standards for determining how long a particular program participant will be provided with rental assistance and whether and how the amount of that assistance will be adjusted over time. </w:t>
            </w:r>
            <w:r>
              <w:rPr>
                <w:rFonts w:ascii="Arial" w:hAnsi="Arial" w:cs="Arial"/>
              </w:rPr>
              <w:t xml:space="preserve"> </w:t>
            </w:r>
            <w:r w:rsidRPr="00FC2276">
              <w:rPr>
                <w:rFonts w:ascii="Arial" w:hAnsi="Arial" w:cs="Arial"/>
              </w:rPr>
              <w:t xml:space="preserve">One-year lease required for project-based assistance. </w:t>
            </w:r>
            <w:r>
              <w:rPr>
                <w:rFonts w:ascii="Arial" w:hAnsi="Arial" w:cs="Arial"/>
              </w:rPr>
              <w:t xml:space="preserve"> </w:t>
            </w:r>
            <w:r w:rsidRPr="00FC2276">
              <w:rPr>
                <w:rFonts w:ascii="Arial" w:hAnsi="Arial" w:cs="Arial"/>
              </w:rPr>
              <w:t>Annual participant evaluations required with rapid re</w:t>
            </w:r>
            <w:r>
              <w:rPr>
                <w:rFonts w:ascii="Arial" w:hAnsi="Arial" w:cs="Arial"/>
              </w:rPr>
              <w:t>-housing assistance; three</w:t>
            </w:r>
            <w:r w:rsidRPr="00FC2276">
              <w:rPr>
                <w:rFonts w:ascii="Arial" w:hAnsi="Arial" w:cs="Arial"/>
              </w:rPr>
              <w:t xml:space="preserve">-month evaluations required with homeless prevention assistance. </w:t>
            </w:r>
            <w:r>
              <w:rPr>
                <w:rFonts w:ascii="Arial" w:hAnsi="Arial" w:cs="Arial"/>
              </w:rPr>
              <w:t xml:space="preserve"> </w:t>
            </w:r>
            <w:r w:rsidRPr="00FC2276">
              <w:rPr>
                <w:rFonts w:ascii="Arial" w:hAnsi="Arial" w:cs="Arial"/>
              </w:rPr>
              <w:t>Individual assistanc</w:t>
            </w:r>
            <w:r>
              <w:rPr>
                <w:rFonts w:ascii="Arial" w:hAnsi="Arial" w:cs="Arial"/>
              </w:rPr>
              <w:t>e cannot exceed 24 months in a three</w:t>
            </w:r>
            <w:r w:rsidRPr="00FC2276">
              <w:rPr>
                <w:rFonts w:ascii="Arial" w:hAnsi="Arial" w:cs="Arial"/>
              </w:rPr>
              <w:t>-year period.</w:t>
            </w:r>
          </w:p>
        </w:tc>
      </w:tr>
      <w:tr w:rsidR="00555E23" w:rsidRPr="00FC2276" w:rsidTr="0010495D">
        <w:trPr>
          <w:trHeight w:val="1604"/>
        </w:trPr>
        <w:tc>
          <w:tcPr>
            <w:tcW w:w="353" w:type="pct"/>
            <w:vAlign w:val="center"/>
          </w:tcPr>
          <w:p w:rsidR="00555E23" w:rsidRPr="00FC2276" w:rsidRDefault="00555E23" w:rsidP="0010495D">
            <w:pPr>
              <w:overflowPunct/>
              <w:autoSpaceDE/>
              <w:autoSpaceDN/>
              <w:adjustRightInd/>
              <w:spacing w:before="100" w:beforeAutospacing="1" w:after="100" w:afterAutospacing="1"/>
              <w:jc w:val="center"/>
              <w:textAlignment w:val="auto"/>
              <w:rPr>
                <w:rFonts w:ascii="Arial" w:hAnsi="Arial" w:cs="Arial"/>
              </w:rPr>
            </w:pPr>
            <w:r w:rsidRPr="00FC2276">
              <w:rPr>
                <w:rFonts w:ascii="Arial" w:hAnsi="Arial" w:cs="Arial"/>
              </w:rPr>
              <w:fldChar w:fldCharType="begin">
                <w:ffData>
                  <w:name w:val="Check1"/>
                  <w:enabled/>
                  <w:calcOnExit w:val="0"/>
                  <w:checkBox>
                    <w:sizeAuto/>
                    <w:default w:val="0"/>
                  </w:checkBox>
                </w:ffData>
              </w:fldChar>
            </w:r>
            <w:r w:rsidRPr="00FC2276">
              <w:rPr>
                <w:rFonts w:ascii="Arial" w:hAnsi="Arial" w:cs="Arial"/>
              </w:rPr>
              <w:instrText xml:space="preserve"> FORMCHECKBOX </w:instrText>
            </w:r>
            <w:r w:rsidRPr="00FC2276">
              <w:rPr>
                <w:rFonts w:ascii="Arial" w:hAnsi="Arial" w:cs="Arial"/>
              </w:rPr>
            </w:r>
            <w:r w:rsidRPr="00FC2276">
              <w:rPr>
                <w:rFonts w:ascii="Arial" w:hAnsi="Arial" w:cs="Arial"/>
              </w:rPr>
              <w:fldChar w:fldCharType="end"/>
            </w:r>
          </w:p>
        </w:tc>
        <w:tc>
          <w:tcPr>
            <w:tcW w:w="4647" w:type="pct"/>
          </w:tcPr>
          <w:p w:rsidR="00555E23" w:rsidRPr="00FC2276" w:rsidRDefault="00555E23" w:rsidP="00555E23">
            <w:pPr>
              <w:numPr>
                <w:ilvl w:val="0"/>
                <w:numId w:val="1"/>
              </w:numPr>
              <w:overflowPunct/>
              <w:autoSpaceDE/>
              <w:autoSpaceDN/>
              <w:adjustRightInd/>
              <w:spacing w:before="100" w:beforeAutospacing="1"/>
              <w:ind w:left="433" w:hanging="73"/>
              <w:jc w:val="both"/>
              <w:textAlignment w:val="auto"/>
              <w:rPr>
                <w:rFonts w:ascii="Arial" w:hAnsi="Arial" w:cs="Arial"/>
              </w:rPr>
            </w:pPr>
            <w:r w:rsidRPr="00FC2276">
              <w:rPr>
                <w:rFonts w:ascii="Arial" w:hAnsi="Arial" w:cs="Arial"/>
              </w:rPr>
              <w:t xml:space="preserve">Standards for determining the type, amount, and duration of housing stabilization and/or relocation services to provide to a program participant, including the limits, if any, on the homelessness prevention or rapid re-housing assistance that each program participant may receive, such as the maximum amount of assistance, maximum number of months the program participant </w:t>
            </w:r>
            <w:r>
              <w:rPr>
                <w:rFonts w:ascii="Arial" w:hAnsi="Arial" w:cs="Arial"/>
              </w:rPr>
              <w:t>may receive assistance,</w:t>
            </w:r>
            <w:r w:rsidRPr="00FC2276">
              <w:rPr>
                <w:rFonts w:ascii="Arial" w:hAnsi="Arial" w:cs="Arial"/>
              </w:rPr>
              <w:t xml:space="preserve"> or the maximum number of times the program participant may receive assistance.</w:t>
            </w:r>
            <w:r>
              <w:rPr>
                <w:rFonts w:ascii="Arial" w:hAnsi="Arial" w:cs="Arial"/>
              </w:rPr>
              <w:t xml:space="preserve"> </w:t>
            </w:r>
            <w:r w:rsidRPr="00FC2276">
              <w:rPr>
                <w:rFonts w:ascii="Arial" w:hAnsi="Arial" w:cs="Arial"/>
              </w:rPr>
              <w:t xml:space="preserve"> </w:t>
            </w:r>
            <w:r w:rsidRPr="00FC2276">
              <w:rPr>
                <w:rFonts w:ascii="Arial" w:hAnsi="Arial" w:cs="Arial"/>
                <w:u w:val="single"/>
              </w:rPr>
              <w:t>Note</w:t>
            </w:r>
            <w:r w:rsidRPr="00280A45">
              <w:rPr>
                <w:rFonts w:ascii="Arial" w:hAnsi="Arial" w:cs="Arial"/>
              </w:rPr>
              <w:t>:</w:t>
            </w:r>
            <w:r w:rsidRPr="00FC2276">
              <w:rPr>
                <w:rFonts w:ascii="Arial" w:hAnsi="Arial" w:cs="Arial"/>
              </w:rPr>
              <w:t xml:space="preserve"> </w:t>
            </w:r>
            <w:r>
              <w:rPr>
                <w:rFonts w:ascii="Arial" w:hAnsi="Arial" w:cs="Arial"/>
              </w:rPr>
              <w:t xml:space="preserve"> </w:t>
            </w:r>
            <w:r w:rsidRPr="00FC2276">
              <w:rPr>
                <w:rFonts w:ascii="Arial" w:hAnsi="Arial" w:cs="Arial"/>
              </w:rPr>
              <w:t xml:space="preserve">ESG regulations limit this assistance to no more than 24 months in a </w:t>
            </w:r>
            <w:r>
              <w:rPr>
                <w:rFonts w:ascii="Arial" w:hAnsi="Arial" w:cs="Arial"/>
              </w:rPr>
              <w:t>three</w:t>
            </w:r>
            <w:r w:rsidRPr="00FC2276">
              <w:rPr>
                <w:rFonts w:ascii="Arial" w:hAnsi="Arial" w:cs="Arial"/>
              </w:rPr>
              <w:t xml:space="preserve">-year period. </w:t>
            </w:r>
            <w:r>
              <w:rPr>
                <w:rFonts w:ascii="Arial" w:hAnsi="Arial" w:cs="Arial"/>
              </w:rPr>
              <w:t xml:space="preserve"> </w:t>
            </w:r>
            <w:r w:rsidRPr="00FC2276">
              <w:rPr>
                <w:rFonts w:ascii="Arial" w:hAnsi="Arial" w:cs="Arial"/>
              </w:rPr>
              <w:t xml:space="preserve">Housing stability case management is limited as specified on pp. 75979-80 of the </w:t>
            </w:r>
            <w:hyperlink r:id="rId6" w:history="1">
              <w:r w:rsidRPr="00FC2276">
                <w:rPr>
                  <w:rFonts w:ascii="Arial" w:hAnsi="Arial" w:cs="Arial"/>
                  <w:color w:val="0000FF"/>
                  <w:u w:val="single"/>
                </w:rPr>
                <w:t>federal regulations</w:t>
              </w:r>
            </w:hyperlink>
            <w:r w:rsidRPr="00FC2276">
              <w:rPr>
                <w:rFonts w:ascii="Arial" w:hAnsi="Arial" w:cs="Arial"/>
              </w:rPr>
              <w:t>.</w:t>
            </w:r>
            <w:r>
              <w:rPr>
                <w:rFonts w:ascii="Arial" w:hAnsi="Arial" w:cs="Arial"/>
              </w:rPr>
              <w:t xml:space="preserve">  </w:t>
            </w:r>
          </w:p>
        </w:tc>
      </w:tr>
      <w:tr w:rsidR="00555E23" w:rsidRPr="00FC2276" w:rsidTr="0010495D">
        <w:trPr>
          <w:trHeight w:val="901"/>
        </w:trPr>
        <w:tc>
          <w:tcPr>
            <w:tcW w:w="353" w:type="pct"/>
            <w:vAlign w:val="center"/>
          </w:tcPr>
          <w:p w:rsidR="00555E23" w:rsidRPr="00FC2276" w:rsidRDefault="00555E23" w:rsidP="0010495D">
            <w:pPr>
              <w:overflowPunct/>
              <w:autoSpaceDE/>
              <w:autoSpaceDN/>
              <w:adjustRightInd/>
              <w:spacing w:before="100" w:beforeAutospacing="1" w:after="100" w:afterAutospacing="1"/>
              <w:jc w:val="center"/>
              <w:textAlignment w:val="auto"/>
              <w:rPr>
                <w:rFonts w:ascii="Arial" w:hAnsi="Arial" w:cs="Arial"/>
              </w:rPr>
            </w:pPr>
            <w:r w:rsidRPr="00FC2276">
              <w:rPr>
                <w:rFonts w:ascii="Arial" w:hAnsi="Arial" w:cs="Arial"/>
              </w:rPr>
              <w:fldChar w:fldCharType="begin">
                <w:ffData>
                  <w:name w:val="Check1"/>
                  <w:enabled/>
                  <w:calcOnExit w:val="0"/>
                  <w:checkBox>
                    <w:sizeAuto/>
                    <w:default w:val="0"/>
                  </w:checkBox>
                </w:ffData>
              </w:fldChar>
            </w:r>
            <w:r w:rsidRPr="00FC2276">
              <w:rPr>
                <w:rFonts w:ascii="Arial" w:hAnsi="Arial" w:cs="Arial"/>
              </w:rPr>
              <w:instrText xml:space="preserve"> FORMCHECKBOX </w:instrText>
            </w:r>
            <w:r w:rsidRPr="00FC2276">
              <w:rPr>
                <w:rFonts w:ascii="Arial" w:hAnsi="Arial" w:cs="Arial"/>
              </w:rPr>
            </w:r>
            <w:r w:rsidRPr="00FC2276">
              <w:rPr>
                <w:rFonts w:ascii="Arial" w:hAnsi="Arial" w:cs="Arial"/>
              </w:rPr>
              <w:fldChar w:fldCharType="end"/>
            </w:r>
          </w:p>
        </w:tc>
        <w:tc>
          <w:tcPr>
            <w:tcW w:w="4647" w:type="pct"/>
          </w:tcPr>
          <w:p w:rsidR="00555E23" w:rsidRPr="00FC2276" w:rsidRDefault="00555E23" w:rsidP="00555E23">
            <w:pPr>
              <w:numPr>
                <w:ilvl w:val="0"/>
                <w:numId w:val="1"/>
              </w:numPr>
              <w:overflowPunct/>
              <w:autoSpaceDE/>
              <w:autoSpaceDN/>
              <w:adjustRightInd/>
              <w:spacing w:before="100" w:beforeAutospacing="1" w:after="100" w:afterAutospacing="1"/>
              <w:ind w:left="433" w:hanging="73"/>
              <w:jc w:val="both"/>
              <w:textAlignment w:val="auto"/>
              <w:rPr>
                <w:rFonts w:ascii="Arial" w:hAnsi="Arial" w:cs="Arial"/>
              </w:rPr>
            </w:pPr>
            <w:r w:rsidRPr="00FC2276">
              <w:rPr>
                <w:rFonts w:ascii="Arial" w:hAnsi="Arial" w:cs="Arial"/>
                <w:i/>
                <w:iCs/>
              </w:rPr>
              <w:t>Participation in HMIS.</w:t>
            </w:r>
            <w:r>
              <w:rPr>
                <w:rFonts w:ascii="Arial" w:hAnsi="Arial" w:cs="Arial"/>
                <w:i/>
                <w:iCs/>
              </w:rPr>
              <w:t xml:space="preserve"> </w:t>
            </w:r>
            <w:r w:rsidRPr="00FC2276">
              <w:rPr>
                <w:rFonts w:ascii="Arial" w:hAnsi="Arial" w:cs="Arial"/>
                <w:i/>
                <w:iCs/>
              </w:rPr>
              <w:t xml:space="preserve"> </w:t>
            </w:r>
            <w:r w:rsidRPr="00FC2276">
              <w:rPr>
                <w:rFonts w:ascii="Arial" w:hAnsi="Arial" w:cs="Arial"/>
              </w:rPr>
              <w:t>The recipient must ensure that data on all persons served and all activities assisted under ESG are entered into the applicable community-wide HMIS in the area in which those persons and activities are located, or a comparable database, in accordance with HUD's standards on participation, data collection, and reporting under a local HMIS.</w:t>
            </w:r>
          </w:p>
        </w:tc>
      </w:tr>
    </w:tbl>
    <w:p w:rsidR="00555E23" w:rsidRDefault="00555E23" w:rsidP="00555E23">
      <w:pPr>
        <w:tabs>
          <w:tab w:val="left" w:pos="810"/>
          <w:tab w:val="left" w:pos="1260"/>
          <w:tab w:val="left" w:pos="2430"/>
          <w:tab w:val="left" w:pos="4560"/>
          <w:tab w:val="left" w:pos="5580"/>
          <w:tab w:val="left" w:pos="5850"/>
          <w:tab w:val="left" w:pos="6030"/>
          <w:tab w:val="left" w:pos="6750"/>
          <w:tab w:val="left" w:pos="9990"/>
        </w:tabs>
        <w:rPr>
          <w:rFonts w:ascii="Arial" w:hAnsi="Arial" w:cs="Arial"/>
        </w:rPr>
      </w:pPr>
    </w:p>
    <w:tbl>
      <w:tblPr>
        <w:tblpPr w:leftFromText="180" w:rightFromText="180" w:vertAnchor="text" w:horzAnchor="margin" w:tblpXSpec="center" w:tblpY="238"/>
        <w:tblW w:w="6632" w:type="dxa"/>
        <w:tblBorders>
          <w:bottom w:val="single" w:sz="8" w:space="0" w:color="auto"/>
        </w:tblBorders>
        <w:tblLook w:val="01E0" w:firstRow="1" w:lastRow="1" w:firstColumn="1" w:lastColumn="1" w:noHBand="0" w:noVBand="0"/>
      </w:tblPr>
      <w:tblGrid>
        <w:gridCol w:w="6632"/>
      </w:tblGrid>
      <w:tr w:rsidR="00555E23" w:rsidRPr="00280B52" w:rsidTr="0010495D">
        <w:trPr>
          <w:trHeight w:val="432"/>
        </w:trPr>
        <w:tc>
          <w:tcPr>
            <w:tcW w:w="6632" w:type="dxa"/>
            <w:tcBorders>
              <w:top w:val="single" w:sz="12" w:space="0" w:color="auto"/>
              <w:left w:val="single" w:sz="12" w:space="0" w:color="auto"/>
              <w:bottom w:val="single" w:sz="12" w:space="0" w:color="auto"/>
              <w:right w:val="single" w:sz="12" w:space="0" w:color="auto"/>
            </w:tcBorders>
            <w:shd w:val="clear" w:color="auto" w:fill="FFFF99"/>
            <w:vAlign w:val="center"/>
          </w:tcPr>
          <w:p w:rsidR="00555E23" w:rsidRPr="00280B52" w:rsidRDefault="00555E23" w:rsidP="0010495D">
            <w:pPr>
              <w:keepNext/>
              <w:suppressAutoHyphens/>
              <w:jc w:val="center"/>
              <w:outlineLvl w:val="7"/>
              <w:rPr>
                <w:b/>
                <w:i/>
                <w:spacing w:val="44"/>
                <w:sz w:val="28"/>
                <w:szCs w:val="28"/>
              </w:rPr>
            </w:pPr>
            <w:r w:rsidRPr="00280B52">
              <w:rPr>
                <w:rFonts w:ascii="Arial Black" w:hAnsi="Arial Black" w:cs="Arial"/>
                <w:b/>
                <w:caps/>
                <w:spacing w:val="44"/>
                <w:sz w:val="22"/>
                <w:szCs w:val="22"/>
              </w:rPr>
              <w:t xml:space="preserve">certification of </w:t>
            </w:r>
            <w:r>
              <w:rPr>
                <w:rFonts w:ascii="Arial Black" w:hAnsi="Arial Black" w:cs="Arial"/>
                <w:b/>
                <w:caps/>
                <w:spacing w:val="44"/>
                <w:sz w:val="22"/>
                <w:szCs w:val="22"/>
              </w:rPr>
              <w:t>written standards</w:t>
            </w:r>
            <w:r w:rsidRPr="00280B52">
              <w:rPr>
                <w:rFonts w:ascii="Arial Black" w:hAnsi="Arial Black" w:cs="Arial"/>
                <w:b/>
                <w:caps/>
                <w:spacing w:val="44"/>
                <w:sz w:val="22"/>
                <w:szCs w:val="22"/>
              </w:rPr>
              <w:t xml:space="preserve"> </w:t>
            </w:r>
          </w:p>
        </w:tc>
      </w:tr>
      <w:tr w:rsidR="00555E23" w:rsidRPr="00280B52" w:rsidTr="0010495D">
        <w:trPr>
          <w:trHeight w:val="498"/>
        </w:trPr>
        <w:tc>
          <w:tcPr>
            <w:tcW w:w="6632" w:type="dxa"/>
            <w:tcBorders>
              <w:top w:val="single" w:sz="12" w:space="0" w:color="auto"/>
              <w:left w:val="single" w:sz="12" w:space="0" w:color="auto"/>
              <w:bottom w:val="single" w:sz="8" w:space="0" w:color="auto"/>
              <w:right w:val="single" w:sz="12" w:space="0" w:color="auto"/>
            </w:tcBorders>
            <w:vAlign w:val="bottom"/>
          </w:tcPr>
          <w:p w:rsidR="00555E23" w:rsidRPr="00280B52" w:rsidRDefault="00555E23" w:rsidP="0010495D">
            <w:pPr>
              <w:tabs>
                <w:tab w:val="left" w:pos="330"/>
                <w:tab w:val="left" w:pos="900"/>
                <w:tab w:val="left" w:pos="1770"/>
                <w:tab w:val="left" w:pos="2880"/>
                <w:tab w:val="left" w:pos="3255"/>
                <w:tab w:val="left" w:pos="3570"/>
                <w:tab w:val="left" w:pos="3990"/>
                <w:tab w:val="right" w:pos="6416"/>
              </w:tabs>
              <w:rPr>
                <w:rFonts w:ascii="Arial" w:hAnsi="Arial" w:cs="Arial"/>
                <w:b/>
                <w:bCs/>
                <w:sz w:val="22"/>
                <w:szCs w:val="22"/>
              </w:rPr>
            </w:pPr>
            <w:r w:rsidRPr="00280B52">
              <w:rPr>
                <w:rFonts w:ascii="Arial" w:hAnsi="Arial" w:cs="Arial"/>
                <w:b/>
                <w:bCs/>
                <w:sz w:val="22"/>
                <w:szCs w:val="22"/>
              </w:rPr>
              <w:t xml:space="preserve">              </w:t>
            </w:r>
            <w:r w:rsidRPr="00280B52">
              <w:rPr>
                <w:rFonts w:ascii="Arial" w:hAnsi="Arial" w:cs="Arial"/>
                <w:b/>
                <w:bCs/>
                <w:sz w:val="22"/>
                <w:szCs w:val="22"/>
              </w:rPr>
              <w:tab/>
              <w:t xml:space="preserve">           </w:t>
            </w:r>
            <w:r w:rsidRPr="00280B52">
              <w:rPr>
                <w:rFonts w:ascii="Arial" w:hAnsi="Arial" w:cs="Arial"/>
                <w:b/>
                <w:bCs/>
                <w:sz w:val="22"/>
                <w:szCs w:val="22"/>
              </w:rPr>
              <w:fldChar w:fldCharType="begin">
                <w:ffData>
                  <w:name w:val="Text530"/>
                  <w:enabled/>
                  <w:calcOnExit w:val="0"/>
                  <w:textInput/>
                </w:ffData>
              </w:fldChar>
            </w:r>
            <w:r w:rsidRPr="00280B52">
              <w:rPr>
                <w:rFonts w:ascii="Arial" w:hAnsi="Arial" w:cs="Arial"/>
                <w:b/>
                <w:bCs/>
                <w:sz w:val="22"/>
                <w:szCs w:val="22"/>
              </w:rPr>
              <w:instrText xml:space="preserve"> FORMTEXT </w:instrText>
            </w:r>
            <w:r w:rsidRPr="00280B52">
              <w:rPr>
                <w:rFonts w:ascii="Arial" w:hAnsi="Arial" w:cs="Arial"/>
                <w:b/>
                <w:bCs/>
                <w:sz w:val="22"/>
                <w:szCs w:val="22"/>
              </w:rPr>
            </w:r>
            <w:r w:rsidRPr="00280B52">
              <w:rPr>
                <w:rFonts w:ascii="Arial" w:hAnsi="Arial" w:cs="Arial"/>
                <w:b/>
                <w:bCs/>
                <w:sz w:val="22"/>
                <w:szCs w:val="22"/>
              </w:rPr>
              <w:fldChar w:fldCharType="separate"/>
            </w:r>
            <w:r w:rsidRPr="00280B52">
              <w:rPr>
                <w:rFonts w:ascii="Arial" w:hAnsi="Arial" w:cs="Arial"/>
                <w:b/>
                <w:bCs/>
                <w:sz w:val="22"/>
                <w:szCs w:val="22"/>
              </w:rPr>
              <w:t> </w:t>
            </w:r>
            <w:r w:rsidRPr="00280B52">
              <w:rPr>
                <w:rFonts w:ascii="Arial" w:hAnsi="Arial" w:cs="Arial"/>
                <w:b/>
                <w:bCs/>
                <w:sz w:val="22"/>
                <w:szCs w:val="22"/>
              </w:rPr>
              <w:t> </w:t>
            </w:r>
            <w:r w:rsidRPr="00280B52">
              <w:rPr>
                <w:rFonts w:ascii="Arial" w:hAnsi="Arial" w:cs="Arial"/>
                <w:b/>
                <w:bCs/>
                <w:sz w:val="22"/>
                <w:szCs w:val="22"/>
              </w:rPr>
              <w:t> </w:t>
            </w:r>
            <w:r w:rsidRPr="00280B52">
              <w:rPr>
                <w:rFonts w:ascii="Arial" w:hAnsi="Arial" w:cs="Arial"/>
                <w:b/>
                <w:bCs/>
                <w:sz w:val="22"/>
                <w:szCs w:val="22"/>
              </w:rPr>
              <w:t> </w:t>
            </w:r>
            <w:r w:rsidRPr="00280B52">
              <w:rPr>
                <w:rFonts w:ascii="Arial" w:hAnsi="Arial" w:cs="Arial"/>
                <w:b/>
                <w:bCs/>
                <w:sz w:val="22"/>
                <w:szCs w:val="22"/>
              </w:rPr>
              <w:t> </w:t>
            </w:r>
            <w:r w:rsidRPr="00280B52">
              <w:rPr>
                <w:rFonts w:ascii="Arial" w:hAnsi="Arial" w:cs="Arial"/>
                <w:b/>
                <w:bCs/>
                <w:sz w:val="22"/>
                <w:szCs w:val="22"/>
              </w:rPr>
              <w:fldChar w:fldCharType="end"/>
            </w:r>
            <w:r w:rsidRPr="00280B52">
              <w:rPr>
                <w:rFonts w:ascii="Arial" w:hAnsi="Arial" w:cs="Arial"/>
                <w:b/>
                <w:bCs/>
                <w:sz w:val="22"/>
                <w:szCs w:val="22"/>
              </w:rPr>
              <w:tab/>
            </w:r>
            <w:r w:rsidRPr="00280B52">
              <w:rPr>
                <w:rFonts w:ascii="Arial" w:hAnsi="Arial" w:cs="Arial"/>
                <w:b/>
                <w:bCs/>
                <w:sz w:val="22"/>
                <w:szCs w:val="22"/>
              </w:rPr>
              <w:tab/>
            </w:r>
            <w:r w:rsidRPr="00280B52">
              <w:rPr>
                <w:rFonts w:ascii="Arial" w:hAnsi="Arial" w:cs="Arial"/>
                <w:b/>
                <w:bCs/>
                <w:sz w:val="22"/>
                <w:szCs w:val="22"/>
              </w:rPr>
              <w:tab/>
            </w:r>
            <w:r w:rsidRPr="00280B52">
              <w:rPr>
                <w:rFonts w:ascii="Arial" w:hAnsi="Arial" w:cs="Arial"/>
                <w:b/>
                <w:bCs/>
                <w:sz w:val="22"/>
                <w:szCs w:val="22"/>
              </w:rPr>
              <w:tab/>
              <w:t xml:space="preserve">                 </w:t>
            </w:r>
            <w:r w:rsidRPr="00280B52">
              <w:rPr>
                <w:rFonts w:ascii="Arial" w:hAnsi="Arial" w:cs="Arial"/>
                <w:b/>
                <w:bCs/>
                <w:sz w:val="22"/>
                <w:szCs w:val="22"/>
              </w:rPr>
              <w:fldChar w:fldCharType="begin">
                <w:ffData>
                  <w:name w:val="Text530"/>
                  <w:enabled/>
                  <w:calcOnExit w:val="0"/>
                  <w:textInput/>
                </w:ffData>
              </w:fldChar>
            </w:r>
            <w:r w:rsidRPr="00280B52">
              <w:rPr>
                <w:rFonts w:ascii="Arial" w:hAnsi="Arial" w:cs="Arial"/>
                <w:b/>
                <w:bCs/>
                <w:sz w:val="22"/>
                <w:szCs w:val="22"/>
              </w:rPr>
              <w:instrText xml:space="preserve"> FORMTEXT </w:instrText>
            </w:r>
            <w:r w:rsidRPr="00280B52">
              <w:rPr>
                <w:rFonts w:ascii="Arial" w:hAnsi="Arial" w:cs="Arial"/>
                <w:b/>
                <w:bCs/>
                <w:sz w:val="22"/>
                <w:szCs w:val="22"/>
              </w:rPr>
            </w:r>
            <w:r w:rsidRPr="00280B52">
              <w:rPr>
                <w:rFonts w:ascii="Arial" w:hAnsi="Arial" w:cs="Arial"/>
                <w:b/>
                <w:bCs/>
                <w:sz w:val="22"/>
                <w:szCs w:val="22"/>
              </w:rPr>
              <w:fldChar w:fldCharType="separate"/>
            </w:r>
            <w:r w:rsidRPr="00280B52">
              <w:rPr>
                <w:rFonts w:ascii="Arial" w:hAnsi="Arial" w:cs="Arial"/>
                <w:b/>
                <w:bCs/>
                <w:sz w:val="22"/>
                <w:szCs w:val="22"/>
              </w:rPr>
              <w:t> </w:t>
            </w:r>
            <w:r w:rsidRPr="00280B52">
              <w:rPr>
                <w:rFonts w:ascii="Arial" w:hAnsi="Arial" w:cs="Arial"/>
                <w:b/>
                <w:bCs/>
                <w:sz w:val="22"/>
                <w:szCs w:val="22"/>
              </w:rPr>
              <w:t> </w:t>
            </w:r>
            <w:r w:rsidRPr="00280B52">
              <w:rPr>
                <w:rFonts w:ascii="Arial" w:hAnsi="Arial" w:cs="Arial"/>
                <w:b/>
                <w:bCs/>
                <w:sz w:val="22"/>
                <w:szCs w:val="22"/>
              </w:rPr>
              <w:t> </w:t>
            </w:r>
            <w:r w:rsidRPr="00280B52">
              <w:rPr>
                <w:rFonts w:ascii="Arial" w:hAnsi="Arial" w:cs="Arial"/>
                <w:b/>
                <w:bCs/>
                <w:sz w:val="22"/>
                <w:szCs w:val="22"/>
              </w:rPr>
              <w:t> </w:t>
            </w:r>
            <w:r w:rsidRPr="00280B52">
              <w:rPr>
                <w:rFonts w:ascii="Arial" w:hAnsi="Arial" w:cs="Arial"/>
                <w:b/>
                <w:bCs/>
                <w:sz w:val="22"/>
                <w:szCs w:val="22"/>
              </w:rPr>
              <w:t> </w:t>
            </w:r>
            <w:r w:rsidRPr="00280B52">
              <w:rPr>
                <w:rFonts w:ascii="Arial" w:hAnsi="Arial" w:cs="Arial"/>
                <w:b/>
                <w:bCs/>
                <w:sz w:val="22"/>
                <w:szCs w:val="22"/>
              </w:rPr>
              <w:fldChar w:fldCharType="end"/>
            </w:r>
          </w:p>
        </w:tc>
      </w:tr>
      <w:tr w:rsidR="00555E23" w:rsidRPr="00280B52" w:rsidTr="0010495D">
        <w:trPr>
          <w:trHeight w:val="152"/>
        </w:trPr>
        <w:tc>
          <w:tcPr>
            <w:tcW w:w="6632" w:type="dxa"/>
            <w:tcBorders>
              <w:top w:val="single" w:sz="8" w:space="0" w:color="auto"/>
              <w:left w:val="single" w:sz="12" w:space="0" w:color="auto"/>
              <w:bottom w:val="nil"/>
              <w:right w:val="single" w:sz="12" w:space="0" w:color="auto"/>
            </w:tcBorders>
          </w:tcPr>
          <w:p w:rsidR="00555E23" w:rsidRPr="00280B52" w:rsidRDefault="00555E23" w:rsidP="0010495D">
            <w:pPr>
              <w:tabs>
                <w:tab w:val="left" w:pos="1530"/>
                <w:tab w:val="left" w:pos="5220"/>
                <w:tab w:val="right" w:pos="9900"/>
              </w:tabs>
              <w:rPr>
                <w:bCs/>
                <w:i/>
                <w:position w:val="4"/>
                <w:sz w:val="14"/>
                <w:szCs w:val="14"/>
              </w:rPr>
            </w:pPr>
            <w:r w:rsidRPr="00280B52">
              <w:rPr>
                <w:bCs/>
                <w:i/>
                <w:position w:val="4"/>
                <w:sz w:val="12"/>
                <w:szCs w:val="12"/>
              </w:rPr>
              <w:tab/>
            </w:r>
            <w:r w:rsidRPr="00280B52">
              <w:rPr>
                <w:bCs/>
                <w:i/>
                <w:position w:val="2"/>
                <w:sz w:val="12"/>
                <w:szCs w:val="12"/>
              </w:rPr>
              <w:t xml:space="preserve">Printed Name </w:t>
            </w:r>
            <w:r w:rsidRPr="00280B52">
              <w:rPr>
                <w:bCs/>
                <w:i/>
                <w:position w:val="2"/>
                <w:sz w:val="12"/>
                <w:szCs w:val="12"/>
              </w:rPr>
              <w:tab/>
              <w:t>Title</w:t>
            </w:r>
          </w:p>
        </w:tc>
      </w:tr>
      <w:tr w:rsidR="00555E23" w:rsidRPr="00280B52" w:rsidTr="0010495D">
        <w:trPr>
          <w:trHeight w:val="537"/>
        </w:trPr>
        <w:tc>
          <w:tcPr>
            <w:tcW w:w="6632" w:type="dxa"/>
            <w:tcBorders>
              <w:top w:val="nil"/>
              <w:left w:val="single" w:sz="12" w:space="0" w:color="auto"/>
              <w:bottom w:val="single" w:sz="8" w:space="0" w:color="auto"/>
              <w:right w:val="single" w:sz="12" w:space="0" w:color="auto"/>
            </w:tcBorders>
            <w:vAlign w:val="bottom"/>
          </w:tcPr>
          <w:p w:rsidR="00555E23" w:rsidRPr="00280B52" w:rsidRDefault="00555E23" w:rsidP="0010495D">
            <w:pPr>
              <w:tabs>
                <w:tab w:val="left" w:pos="330"/>
                <w:tab w:val="left" w:pos="900"/>
                <w:tab w:val="left" w:pos="3255"/>
                <w:tab w:val="left" w:pos="3570"/>
                <w:tab w:val="left" w:pos="3990"/>
                <w:tab w:val="right" w:pos="6416"/>
              </w:tabs>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sidRPr="00280B52">
              <w:rPr>
                <w:rFonts w:ascii="Arial" w:hAnsi="Arial" w:cs="Arial"/>
                <w:b/>
                <w:bCs/>
                <w:sz w:val="22"/>
                <w:szCs w:val="22"/>
              </w:rPr>
              <w:tab/>
            </w:r>
            <w:r w:rsidRPr="00280B52">
              <w:rPr>
                <w:rFonts w:ascii="Arial" w:hAnsi="Arial" w:cs="Arial"/>
                <w:b/>
                <w:bCs/>
                <w:sz w:val="22"/>
                <w:szCs w:val="22"/>
              </w:rPr>
              <w:tab/>
            </w:r>
          </w:p>
        </w:tc>
      </w:tr>
      <w:tr w:rsidR="00555E23" w:rsidRPr="00280B52" w:rsidTr="0010495D">
        <w:trPr>
          <w:trHeight w:val="152"/>
        </w:trPr>
        <w:tc>
          <w:tcPr>
            <w:tcW w:w="6632" w:type="dxa"/>
            <w:tcBorders>
              <w:top w:val="single" w:sz="8" w:space="0" w:color="auto"/>
              <w:left w:val="single" w:sz="12" w:space="0" w:color="auto"/>
              <w:bottom w:val="single" w:sz="12" w:space="0" w:color="auto"/>
              <w:right w:val="single" w:sz="12" w:space="0" w:color="auto"/>
            </w:tcBorders>
          </w:tcPr>
          <w:p w:rsidR="00555E23" w:rsidRPr="00280B52" w:rsidRDefault="00555E23" w:rsidP="0010495D">
            <w:pPr>
              <w:tabs>
                <w:tab w:val="left" w:pos="360"/>
                <w:tab w:val="left" w:pos="5490"/>
                <w:tab w:val="right" w:pos="9900"/>
              </w:tabs>
              <w:rPr>
                <w:bCs/>
                <w:i/>
                <w:position w:val="2"/>
                <w:sz w:val="12"/>
                <w:szCs w:val="12"/>
              </w:rPr>
            </w:pPr>
            <w:r w:rsidRPr="00280B52">
              <w:rPr>
                <w:bCs/>
                <w:i/>
                <w:position w:val="2"/>
                <w:sz w:val="12"/>
                <w:szCs w:val="12"/>
              </w:rPr>
              <w:t xml:space="preserve">         Authorized Signature for Applicant</w:t>
            </w:r>
            <w:r w:rsidRPr="00280B52">
              <w:rPr>
                <w:b/>
                <w:bCs/>
                <w:i/>
                <w:position w:val="2"/>
                <w:sz w:val="12"/>
                <w:szCs w:val="12"/>
              </w:rPr>
              <w:t xml:space="preserve">  </w:t>
            </w:r>
            <w:r w:rsidRPr="00280B52">
              <w:rPr>
                <w:i/>
                <w:iCs/>
                <w:position w:val="2"/>
                <w:sz w:val="12"/>
                <w:szCs w:val="12"/>
              </w:rPr>
              <w:t xml:space="preserve"> (Authorized by Resolution)                                                              Date</w:t>
            </w:r>
          </w:p>
        </w:tc>
      </w:tr>
    </w:tbl>
    <w:p w:rsidR="00555E23" w:rsidRDefault="00555E23" w:rsidP="00555E23">
      <w:pPr>
        <w:tabs>
          <w:tab w:val="left" w:pos="810"/>
          <w:tab w:val="left" w:pos="1260"/>
          <w:tab w:val="left" w:pos="2430"/>
          <w:tab w:val="left" w:pos="4560"/>
          <w:tab w:val="left" w:pos="5580"/>
          <w:tab w:val="left" w:pos="5850"/>
          <w:tab w:val="left" w:pos="6030"/>
          <w:tab w:val="left" w:pos="6750"/>
          <w:tab w:val="left" w:pos="9990"/>
        </w:tabs>
        <w:rPr>
          <w:rFonts w:ascii="Arial" w:hAnsi="Arial" w:cs="Arial"/>
        </w:rPr>
      </w:pPr>
    </w:p>
    <w:p w:rsidR="00555E23" w:rsidRDefault="00555E23" w:rsidP="00555E23">
      <w:pPr>
        <w:tabs>
          <w:tab w:val="left" w:pos="810"/>
          <w:tab w:val="left" w:pos="1260"/>
          <w:tab w:val="left" w:pos="2430"/>
          <w:tab w:val="left" w:pos="4560"/>
          <w:tab w:val="left" w:pos="5580"/>
          <w:tab w:val="left" w:pos="5850"/>
          <w:tab w:val="left" w:pos="6030"/>
          <w:tab w:val="left" w:pos="6750"/>
          <w:tab w:val="left" w:pos="9990"/>
        </w:tabs>
        <w:rPr>
          <w:rFonts w:ascii="Arial" w:hAnsi="Arial" w:cs="Arial"/>
        </w:rPr>
      </w:pPr>
    </w:p>
    <w:p w:rsidR="00555E23" w:rsidRDefault="00555E23" w:rsidP="00555E23">
      <w:pPr>
        <w:tabs>
          <w:tab w:val="left" w:pos="810"/>
          <w:tab w:val="left" w:pos="1260"/>
          <w:tab w:val="left" w:pos="2430"/>
          <w:tab w:val="left" w:pos="4560"/>
          <w:tab w:val="left" w:pos="5580"/>
          <w:tab w:val="left" w:pos="5850"/>
          <w:tab w:val="left" w:pos="6030"/>
          <w:tab w:val="left" w:pos="6750"/>
          <w:tab w:val="left" w:pos="9990"/>
        </w:tabs>
        <w:rPr>
          <w:rFonts w:ascii="Arial" w:hAnsi="Arial" w:cs="Arial"/>
        </w:rPr>
      </w:pPr>
    </w:p>
    <w:p w:rsidR="00555E23" w:rsidRDefault="00555E23" w:rsidP="00555E23">
      <w:pPr>
        <w:tabs>
          <w:tab w:val="left" w:pos="810"/>
          <w:tab w:val="left" w:pos="1260"/>
          <w:tab w:val="left" w:pos="2430"/>
          <w:tab w:val="left" w:pos="4560"/>
          <w:tab w:val="left" w:pos="5580"/>
          <w:tab w:val="left" w:pos="5850"/>
          <w:tab w:val="left" w:pos="6030"/>
          <w:tab w:val="left" w:pos="6750"/>
          <w:tab w:val="left" w:pos="9990"/>
        </w:tabs>
        <w:rPr>
          <w:rFonts w:ascii="Arial" w:hAnsi="Arial" w:cs="Arial"/>
        </w:rPr>
      </w:pPr>
    </w:p>
    <w:p w:rsidR="00555E23" w:rsidRDefault="00555E23" w:rsidP="00555E23">
      <w:pPr>
        <w:tabs>
          <w:tab w:val="left" w:pos="810"/>
          <w:tab w:val="left" w:pos="1260"/>
          <w:tab w:val="left" w:pos="2430"/>
          <w:tab w:val="left" w:pos="4560"/>
          <w:tab w:val="left" w:pos="5580"/>
          <w:tab w:val="left" w:pos="5850"/>
          <w:tab w:val="left" w:pos="6030"/>
          <w:tab w:val="left" w:pos="6750"/>
          <w:tab w:val="left" w:pos="9990"/>
        </w:tabs>
        <w:rPr>
          <w:rFonts w:ascii="Arial" w:hAnsi="Arial" w:cs="Arial"/>
        </w:rPr>
      </w:pPr>
    </w:p>
    <w:p w:rsidR="00555E23" w:rsidRDefault="00555E23" w:rsidP="00555E23">
      <w:pPr>
        <w:tabs>
          <w:tab w:val="left" w:pos="810"/>
          <w:tab w:val="left" w:pos="1260"/>
          <w:tab w:val="left" w:pos="2430"/>
          <w:tab w:val="left" w:pos="4560"/>
          <w:tab w:val="left" w:pos="5580"/>
          <w:tab w:val="left" w:pos="5850"/>
          <w:tab w:val="left" w:pos="6030"/>
          <w:tab w:val="left" w:pos="6750"/>
          <w:tab w:val="left" w:pos="9990"/>
        </w:tabs>
        <w:rPr>
          <w:rFonts w:ascii="Arial" w:hAnsi="Arial" w:cs="Arial"/>
        </w:rPr>
      </w:pPr>
    </w:p>
    <w:p w:rsidR="00555E23" w:rsidRDefault="00555E23" w:rsidP="00555E23">
      <w:pPr>
        <w:tabs>
          <w:tab w:val="left" w:pos="810"/>
          <w:tab w:val="left" w:pos="1260"/>
          <w:tab w:val="left" w:pos="2430"/>
          <w:tab w:val="left" w:pos="4560"/>
          <w:tab w:val="left" w:pos="5580"/>
          <w:tab w:val="left" w:pos="5850"/>
          <w:tab w:val="left" w:pos="6030"/>
          <w:tab w:val="left" w:pos="6750"/>
          <w:tab w:val="left" w:pos="9990"/>
        </w:tabs>
        <w:rPr>
          <w:rFonts w:ascii="Arial" w:hAnsi="Arial" w:cs="Arial"/>
        </w:rPr>
      </w:pPr>
    </w:p>
    <w:p w:rsidR="00555E23" w:rsidRDefault="00555E23" w:rsidP="00555E23">
      <w:pPr>
        <w:tabs>
          <w:tab w:val="left" w:pos="810"/>
          <w:tab w:val="left" w:pos="1260"/>
          <w:tab w:val="left" w:pos="2430"/>
          <w:tab w:val="left" w:pos="4560"/>
          <w:tab w:val="left" w:pos="5580"/>
          <w:tab w:val="left" w:pos="5850"/>
          <w:tab w:val="left" w:pos="6030"/>
          <w:tab w:val="left" w:pos="6750"/>
          <w:tab w:val="left" w:pos="9990"/>
        </w:tabs>
        <w:rPr>
          <w:rFonts w:ascii="Arial" w:hAnsi="Arial" w:cs="Arial"/>
        </w:rPr>
      </w:pPr>
    </w:p>
    <w:p w:rsidR="00555E23" w:rsidRDefault="00555E23" w:rsidP="00555E23">
      <w:pPr>
        <w:tabs>
          <w:tab w:val="left" w:pos="810"/>
          <w:tab w:val="left" w:pos="1260"/>
          <w:tab w:val="left" w:pos="2430"/>
          <w:tab w:val="left" w:pos="4560"/>
          <w:tab w:val="left" w:pos="5580"/>
          <w:tab w:val="left" w:pos="5850"/>
          <w:tab w:val="left" w:pos="6030"/>
          <w:tab w:val="left" w:pos="6750"/>
          <w:tab w:val="left" w:pos="9990"/>
        </w:tabs>
        <w:rPr>
          <w:rFonts w:ascii="Arial" w:hAnsi="Arial" w:cs="Arial"/>
        </w:rPr>
      </w:pPr>
    </w:p>
    <w:p w:rsidR="00555E23" w:rsidRDefault="00555E23" w:rsidP="00555E23">
      <w:pPr>
        <w:tabs>
          <w:tab w:val="left" w:pos="810"/>
          <w:tab w:val="left" w:pos="1260"/>
          <w:tab w:val="left" w:pos="2430"/>
          <w:tab w:val="left" w:pos="4560"/>
          <w:tab w:val="left" w:pos="5580"/>
          <w:tab w:val="left" w:pos="5850"/>
          <w:tab w:val="left" w:pos="6030"/>
          <w:tab w:val="left" w:pos="6750"/>
          <w:tab w:val="left" w:pos="9990"/>
        </w:tabs>
        <w:rPr>
          <w:rFonts w:ascii="Arial" w:hAnsi="Arial" w:cs="Arial"/>
        </w:rPr>
      </w:pPr>
    </w:p>
    <w:p w:rsidR="00555E23" w:rsidRDefault="00555E23" w:rsidP="00555E23">
      <w:pPr>
        <w:tabs>
          <w:tab w:val="left" w:pos="810"/>
          <w:tab w:val="left" w:pos="1260"/>
          <w:tab w:val="left" w:pos="2430"/>
          <w:tab w:val="left" w:pos="4560"/>
          <w:tab w:val="left" w:pos="5580"/>
          <w:tab w:val="left" w:pos="5850"/>
          <w:tab w:val="left" w:pos="6030"/>
          <w:tab w:val="left" w:pos="6750"/>
          <w:tab w:val="left" w:pos="9990"/>
        </w:tabs>
        <w:rPr>
          <w:rFonts w:ascii="Arial" w:hAnsi="Arial" w:cs="Arial"/>
        </w:rPr>
      </w:pPr>
    </w:p>
    <w:p w:rsidR="00555E23" w:rsidRDefault="00555E23" w:rsidP="00555E23">
      <w:pPr>
        <w:tabs>
          <w:tab w:val="left" w:pos="810"/>
          <w:tab w:val="left" w:pos="1260"/>
          <w:tab w:val="left" w:pos="2430"/>
          <w:tab w:val="left" w:pos="4560"/>
          <w:tab w:val="left" w:pos="5580"/>
          <w:tab w:val="left" w:pos="5850"/>
          <w:tab w:val="left" w:pos="6030"/>
          <w:tab w:val="left" w:pos="6750"/>
          <w:tab w:val="left" w:pos="9990"/>
        </w:tabs>
        <w:rPr>
          <w:rFonts w:ascii="Arial" w:hAnsi="Arial" w:cs="Arial"/>
        </w:rPr>
      </w:pPr>
    </w:p>
    <w:p w:rsidR="00555E23" w:rsidRDefault="00555E23"/>
    <w:sectPr w:rsidR="00555E23" w:rsidSect="00E91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4427D"/>
    <w:multiLevelType w:val="hybridMultilevel"/>
    <w:tmpl w:val="BD12115C"/>
    <w:lvl w:ilvl="0" w:tplc="336AED30">
      <w:start w:val="1"/>
      <w:numFmt w:val="low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2"/>
  </w:compat>
  <w:rsids>
    <w:rsidRoot w:val="00555E23"/>
    <w:rsid w:val="0025207D"/>
    <w:rsid w:val="00555E23"/>
    <w:rsid w:val="009C4EE4"/>
    <w:rsid w:val="00BF5D1E"/>
    <w:rsid w:val="00E9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2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555E2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55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dhre.info/documents/HEARTH_ESGInterimRule&amp;ConPlanConformingAmendment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bmurphy</dc:creator>
  <cp:lastModifiedBy>cdifranc</cp:lastModifiedBy>
  <cp:revision>3</cp:revision>
  <dcterms:created xsi:type="dcterms:W3CDTF">2013-03-06T17:12:00Z</dcterms:created>
  <dcterms:modified xsi:type="dcterms:W3CDTF">2013-03-27T02:20:00Z</dcterms:modified>
</cp:coreProperties>
</file>