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2544B5" w14:textId="5EF6B14B" w:rsidR="00321199" w:rsidRPr="00B33A7B" w:rsidRDefault="00321199" w:rsidP="00243007">
      <w:pPr>
        <w:spacing w:before="119"/>
        <w:jc w:val="center"/>
        <w:rPr>
          <w:b/>
          <w:bCs/>
          <w:sz w:val="56"/>
          <w:szCs w:val="56"/>
        </w:rPr>
      </w:pPr>
      <w:r w:rsidRPr="00B33A7B">
        <w:rPr>
          <w:b/>
          <w:bCs/>
          <w:sz w:val="56"/>
          <w:szCs w:val="56"/>
        </w:rPr>
        <w:t>I</w:t>
      </w:r>
      <w:r w:rsidR="009A102D" w:rsidRPr="00B33A7B">
        <w:rPr>
          <w:b/>
          <w:bCs/>
          <w:sz w:val="56"/>
          <w:szCs w:val="56"/>
        </w:rPr>
        <w:t>nfill</w:t>
      </w:r>
      <w:r w:rsidRPr="00B33A7B">
        <w:rPr>
          <w:b/>
          <w:bCs/>
          <w:sz w:val="56"/>
          <w:szCs w:val="56"/>
        </w:rPr>
        <w:t xml:space="preserve"> I</w:t>
      </w:r>
      <w:r w:rsidR="009A102D" w:rsidRPr="00B33A7B">
        <w:rPr>
          <w:b/>
          <w:bCs/>
          <w:sz w:val="56"/>
          <w:szCs w:val="56"/>
        </w:rPr>
        <w:t>nfras</w:t>
      </w:r>
      <w:r w:rsidRPr="00B33A7B">
        <w:rPr>
          <w:b/>
          <w:bCs/>
          <w:sz w:val="56"/>
          <w:szCs w:val="56"/>
        </w:rPr>
        <w:t>tr</w:t>
      </w:r>
      <w:r w:rsidR="009A102D" w:rsidRPr="00B33A7B">
        <w:rPr>
          <w:b/>
          <w:bCs/>
          <w:sz w:val="56"/>
          <w:szCs w:val="56"/>
        </w:rPr>
        <w:t xml:space="preserve">ucture </w:t>
      </w:r>
      <w:r w:rsidRPr="00B33A7B">
        <w:rPr>
          <w:b/>
          <w:bCs/>
          <w:sz w:val="56"/>
          <w:szCs w:val="56"/>
        </w:rPr>
        <w:t>G</w:t>
      </w:r>
      <w:r w:rsidR="009A102D" w:rsidRPr="00B33A7B">
        <w:rPr>
          <w:b/>
          <w:bCs/>
          <w:sz w:val="56"/>
          <w:szCs w:val="56"/>
        </w:rPr>
        <w:t>rant</w:t>
      </w:r>
      <w:r w:rsidRPr="00B33A7B">
        <w:rPr>
          <w:b/>
          <w:bCs/>
          <w:sz w:val="56"/>
          <w:szCs w:val="56"/>
        </w:rPr>
        <w:t xml:space="preserve"> P</w:t>
      </w:r>
      <w:r w:rsidR="009A102D" w:rsidRPr="00B33A7B">
        <w:rPr>
          <w:b/>
          <w:bCs/>
          <w:sz w:val="56"/>
          <w:szCs w:val="56"/>
        </w:rPr>
        <w:t>rogram</w:t>
      </w:r>
    </w:p>
    <w:p w14:paraId="0E9AFAC5" w14:textId="77777777" w:rsidR="00640083" w:rsidRPr="00B33A7B" w:rsidRDefault="00640083" w:rsidP="00243007">
      <w:pPr>
        <w:spacing w:before="119"/>
        <w:jc w:val="center"/>
        <w:rPr>
          <w:b/>
          <w:bCs/>
          <w:sz w:val="56"/>
          <w:szCs w:val="56"/>
        </w:rPr>
      </w:pPr>
      <w:r w:rsidRPr="00B33A7B">
        <w:rPr>
          <w:b/>
          <w:bCs/>
          <w:sz w:val="56"/>
          <w:szCs w:val="56"/>
        </w:rPr>
        <w:t>Small Jurisdiction Set Aside and Qualifying Infill Areas</w:t>
      </w:r>
    </w:p>
    <w:p w14:paraId="325358B6" w14:textId="6C213CF0" w:rsidR="00582D57" w:rsidRPr="00B33A7B" w:rsidRDefault="00BC1085" w:rsidP="00004DE9">
      <w:pPr>
        <w:spacing w:before="119"/>
        <w:jc w:val="center"/>
        <w:rPr>
          <w:sz w:val="56"/>
          <w:szCs w:val="56"/>
        </w:rPr>
      </w:pPr>
      <w:r w:rsidRPr="00B33A7B">
        <w:rPr>
          <w:sz w:val="56"/>
          <w:szCs w:val="56"/>
        </w:rPr>
        <w:t xml:space="preserve">Final </w:t>
      </w:r>
      <w:r w:rsidR="009A102D" w:rsidRPr="00B33A7B">
        <w:rPr>
          <w:sz w:val="56"/>
          <w:szCs w:val="56"/>
        </w:rPr>
        <w:t>Guidelines</w:t>
      </w:r>
      <w:r w:rsidR="00122A80" w:rsidRPr="00B33A7B">
        <w:rPr>
          <w:sz w:val="56"/>
          <w:szCs w:val="56"/>
        </w:rPr>
        <w:t xml:space="preserve"> </w:t>
      </w:r>
    </w:p>
    <w:p w14:paraId="18D6BF04" w14:textId="77777777" w:rsidR="00E057DF" w:rsidRPr="00B33A7B" w:rsidRDefault="00E057DF" w:rsidP="00004DE9">
      <w:pPr>
        <w:spacing w:before="119"/>
        <w:jc w:val="center"/>
      </w:pPr>
    </w:p>
    <w:p w14:paraId="6E57EFF4" w14:textId="1E3D0540" w:rsidR="00E722DA" w:rsidRPr="007D6227" w:rsidRDefault="00E057DF" w:rsidP="00004DE9">
      <w:pPr>
        <w:spacing w:before="119"/>
        <w:jc w:val="center"/>
        <w:rPr>
          <w:color w:val="C00000"/>
          <w:sz w:val="56"/>
          <w:szCs w:val="56"/>
        </w:rPr>
      </w:pPr>
      <w:r w:rsidRPr="007D6227">
        <w:rPr>
          <w:color w:val="C00000"/>
        </w:rPr>
        <w:t>To ease in review, language identified in red text throughout this document represents text that is consistent across all multifamily funding programs.</w:t>
      </w:r>
    </w:p>
    <w:p w14:paraId="711D06D4" w14:textId="039BC48A" w:rsidR="0074410D" w:rsidRPr="00B33A7B" w:rsidRDefault="0074410D">
      <w:pPr>
        <w:jc w:val="center"/>
        <w:rPr>
          <w:rFonts w:cs="Arial"/>
          <w:b/>
          <w:sz w:val="40"/>
          <w:szCs w:val="40"/>
        </w:rPr>
      </w:pPr>
    </w:p>
    <w:p w14:paraId="09CF9683" w14:textId="7B44CA27" w:rsidR="005B0D13" w:rsidRPr="00B33A7B" w:rsidRDefault="005B0D13">
      <w:pPr>
        <w:jc w:val="center"/>
        <w:rPr>
          <w:rFonts w:cs="Arial"/>
          <w:b/>
          <w:sz w:val="40"/>
          <w:szCs w:val="40"/>
        </w:rPr>
      </w:pPr>
    </w:p>
    <w:p w14:paraId="1B4376CA" w14:textId="4CC14EFB" w:rsidR="00F45907" w:rsidRPr="00B33A7B" w:rsidRDefault="009A102D">
      <w:pPr>
        <w:jc w:val="center"/>
        <w:rPr>
          <w:rFonts w:cs="Arial"/>
        </w:rPr>
      </w:pPr>
      <w:r w:rsidRPr="00B33A7B">
        <w:rPr>
          <w:noProof/>
        </w:rPr>
        <w:drawing>
          <wp:inline distT="0" distB="0" distL="0" distR="0" wp14:anchorId="0E4F7350" wp14:editId="409F7750">
            <wp:extent cx="2819151" cy="2687541"/>
            <wp:effectExtent l="0" t="0" r="635" b="0"/>
            <wp:docPr id="2" name="image1.jpg" descr="Department of Housing and Community Development logo in color"/>
            <wp:cNvGraphicFramePr/>
            <a:graphic xmlns:a="http://schemas.openxmlformats.org/drawingml/2006/main">
              <a:graphicData uri="http://schemas.openxmlformats.org/drawingml/2006/picture">
                <pic:pic xmlns:pic="http://schemas.openxmlformats.org/drawingml/2006/picture">
                  <pic:nvPicPr>
                    <pic:cNvPr id="2" name="image1.jpg" descr="Department of Housing and Community Development logo in color"/>
                    <pic:cNvPicPr preferRelativeResize="0"/>
                  </pic:nvPicPr>
                  <pic:blipFill>
                    <a:blip r:embed="rId11"/>
                    <a:srcRect/>
                    <a:stretch>
                      <a:fillRect/>
                    </a:stretch>
                  </pic:blipFill>
                  <pic:spPr>
                    <a:xfrm>
                      <a:off x="0" y="0"/>
                      <a:ext cx="2826023" cy="2694092"/>
                    </a:xfrm>
                    <a:prstGeom prst="rect">
                      <a:avLst/>
                    </a:prstGeom>
                    <a:ln/>
                  </pic:spPr>
                </pic:pic>
              </a:graphicData>
            </a:graphic>
          </wp:inline>
        </w:drawing>
      </w:r>
    </w:p>
    <w:p w14:paraId="4E1CF468" w14:textId="77777777" w:rsidR="00F45907" w:rsidRPr="00B33A7B" w:rsidRDefault="00F45907">
      <w:pPr>
        <w:jc w:val="center"/>
        <w:rPr>
          <w:rFonts w:cs="Arial"/>
        </w:rPr>
      </w:pPr>
    </w:p>
    <w:p w14:paraId="24A5C525" w14:textId="77777777" w:rsidR="00F45907" w:rsidRPr="00B33A7B" w:rsidRDefault="00F45907" w:rsidP="009A102D">
      <w:pPr>
        <w:widowControl w:val="0"/>
        <w:numPr>
          <w:ilvl w:val="12"/>
          <w:numId w:val="0"/>
        </w:numPr>
        <w:rPr>
          <w:rFonts w:cs="Arial"/>
          <w:sz w:val="28"/>
          <w:szCs w:val="28"/>
        </w:rPr>
      </w:pPr>
    </w:p>
    <w:p w14:paraId="22644B06" w14:textId="77777777" w:rsidR="00791314" w:rsidRPr="00B33A7B" w:rsidRDefault="00791314" w:rsidP="00791314">
      <w:pPr>
        <w:jc w:val="center"/>
        <w:rPr>
          <w:b/>
          <w:bCs/>
          <w:sz w:val="28"/>
        </w:rPr>
      </w:pPr>
      <w:r w:rsidRPr="00B33A7B">
        <w:rPr>
          <w:b/>
          <w:bCs/>
          <w:sz w:val="28"/>
        </w:rPr>
        <w:t xml:space="preserve">California Department of Housing and Community Development </w:t>
      </w:r>
    </w:p>
    <w:p w14:paraId="7C9ED907" w14:textId="77777777" w:rsidR="00791314" w:rsidRPr="00B33A7B" w:rsidRDefault="00791314" w:rsidP="00791314">
      <w:pPr>
        <w:jc w:val="center"/>
        <w:rPr>
          <w:sz w:val="28"/>
        </w:rPr>
      </w:pPr>
      <w:r w:rsidRPr="00B33A7B">
        <w:rPr>
          <w:sz w:val="28"/>
        </w:rPr>
        <w:t>2020</w:t>
      </w:r>
      <w:r w:rsidRPr="00B33A7B">
        <w:rPr>
          <w:spacing w:val="-5"/>
          <w:sz w:val="28"/>
        </w:rPr>
        <w:t xml:space="preserve"> </w:t>
      </w:r>
      <w:r w:rsidRPr="00B33A7B">
        <w:rPr>
          <w:sz w:val="28"/>
        </w:rPr>
        <w:t>West</w:t>
      </w:r>
      <w:r w:rsidRPr="00B33A7B">
        <w:rPr>
          <w:spacing w:val="-2"/>
          <w:sz w:val="28"/>
        </w:rPr>
        <w:t xml:space="preserve"> </w:t>
      </w:r>
      <w:r w:rsidRPr="00B33A7B">
        <w:rPr>
          <w:sz w:val="28"/>
        </w:rPr>
        <w:t>El</w:t>
      </w:r>
      <w:r w:rsidRPr="00B33A7B">
        <w:rPr>
          <w:spacing w:val="-3"/>
          <w:sz w:val="28"/>
        </w:rPr>
        <w:t xml:space="preserve"> </w:t>
      </w:r>
      <w:r w:rsidRPr="00B33A7B">
        <w:rPr>
          <w:sz w:val="28"/>
        </w:rPr>
        <w:t>Camino</w:t>
      </w:r>
      <w:r w:rsidRPr="00B33A7B">
        <w:rPr>
          <w:spacing w:val="-1"/>
          <w:sz w:val="28"/>
        </w:rPr>
        <w:t xml:space="preserve"> </w:t>
      </w:r>
      <w:r w:rsidRPr="00B33A7B">
        <w:rPr>
          <w:sz w:val="28"/>
        </w:rPr>
        <w:t>Avenue, Suite</w:t>
      </w:r>
      <w:r w:rsidRPr="00B33A7B">
        <w:rPr>
          <w:spacing w:val="-10"/>
          <w:sz w:val="28"/>
        </w:rPr>
        <w:t xml:space="preserve"> </w:t>
      </w:r>
      <w:r w:rsidRPr="00B33A7B">
        <w:rPr>
          <w:sz w:val="28"/>
        </w:rPr>
        <w:t>500 Sacramento,</w:t>
      </w:r>
      <w:r w:rsidRPr="00B33A7B">
        <w:rPr>
          <w:spacing w:val="-1"/>
          <w:sz w:val="28"/>
        </w:rPr>
        <w:t xml:space="preserve"> </w:t>
      </w:r>
      <w:r w:rsidRPr="00B33A7B">
        <w:rPr>
          <w:sz w:val="28"/>
        </w:rPr>
        <w:t>CA</w:t>
      </w:r>
      <w:r w:rsidRPr="00B33A7B">
        <w:rPr>
          <w:spacing w:val="-9"/>
          <w:sz w:val="28"/>
        </w:rPr>
        <w:t xml:space="preserve">  </w:t>
      </w:r>
      <w:r w:rsidRPr="00B33A7B">
        <w:rPr>
          <w:sz w:val="28"/>
        </w:rPr>
        <w:t>95833</w:t>
      </w:r>
    </w:p>
    <w:p w14:paraId="74F8D60E" w14:textId="77777777" w:rsidR="00791314" w:rsidRPr="00B33A7B" w:rsidRDefault="00791314" w:rsidP="00791314">
      <w:pPr>
        <w:pStyle w:val="BodyText"/>
        <w:spacing w:before="4"/>
      </w:pPr>
    </w:p>
    <w:p w14:paraId="0938C250" w14:textId="77777777" w:rsidR="00791314" w:rsidRPr="00071A96" w:rsidRDefault="00791314" w:rsidP="00791314">
      <w:pPr>
        <w:pStyle w:val="BodyText"/>
        <w:ind w:firstLine="1"/>
        <w:jc w:val="center"/>
        <w:rPr>
          <w:color w:val="0000FF"/>
          <w:spacing w:val="-64"/>
        </w:rPr>
      </w:pPr>
      <w:r w:rsidRPr="00071A96">
        <w:t xml:space="preserve">Website: </w:t>
      </w:r>
      <w:hyperlink r:id="rId12" w:history="1">
        <w:r w:rsidRPr="00071A96">
          <w:rPr>
            <w:rStyle w:val="Hyperlink"/>
          </w:rPr>
          <w:t>Infill Infrastructure Grant Program (IIG) (ca.gov)</w:t>
        </w:r>
      </w:hyperlink>
    </w:p>
    <w:p w14:paraId="618327D7" w14:textId="77777777" w:rsidR="00791314" w:rsidRPr="00071A96" w:rsidRDefault="00791314" w:rsidP="00791314">
      <w:pPr>
        <w:pStyle w:val="BodyText"/>
        <w:ind w:firstLine="1"/>
        <w:jc w:val="center"/>
        <w:rPr>
          <w:rStyle w:val="Hyperlink"/>
          <w:rFonts w:cs="Arial"/>
          <w:color w:val="auto"/>
        </w:rPr>
      </w:pPr>
      <w:r w:rsidRPr="00071A96">
        <w:t>Email:</w:t>
      </w:r>
      <w:r w:rsidRPr="00071A96">
        <w:rPr>
          <w:spacing w:val="-3"/>
        </w:rPr>
        <w:t xml:space="preserve"> </w:t>
      </w:r>
      <w:hyperlink r:id="rId13" w:history="1">
        <w:r w:rsidRPr="00071A96">
          <w:rPr>
            <w:rStyle w:val="Hyperlink"/>
            <w:rFonts w:cs="Arial"/>
          </w:rPr>
          <w:t>infill@hcd.ca.gov</w:t>
        </w:r>
      </w:hyperlink>
      <w:r w:rsidRPr="00071A96">
        <w:rPr>
          <w:rStyle w:val="Hyperlink"/>
          <w:rFonts w:cs="Arial"/>
          <w:color w:val="auto"/>
        </w:rPr>
        <w:t xml:space="preserve">  </w:t>
      </w:r>
    </w:p>
    <w:p w14:paraId="4F92DA70" w14:textId="77777777" w:rsidR="0062503F" w:rsidRPr="00B33A7B" w:rsidRDefault="0062503F" w:rsidP="00791314">
      <w:pPr>
        <w:pStyle w:val="BodyText"/>
        <w:ind w:firstLine="1"/>
        <w:jc w:val="center"/>
        <w:rPr>
          <w:rStyle w:val="Hyperlink"/>
          <w:rFonts w:cs="Arial"/>
          <w:color w:val="auto"/>
          <w:sz w:val="28"/>
          <w:szCs w:val="28"/>
        </w:rPr>
      </w:pPr>
    </w:p>
    <w:p w14:paraId="75114AFF" w14:textId="3A35DA25" w:rsidR="00E057DF" w:rsidRPr="00B33A7B" w:rsidRDefault="00CA6705" w:rsidP="00791314">
      <w:pPr>
        <w:pStyle w:val="BodyText"/>
        <w:ind w:firstLine="1"/>
        <w:jc w:val="center"/>
        <w:rPr>
          <w:b/>
          <w:bCs/>
        </w:rPr>
      </w:pPr>
      <w:r>
        <w:rPr>
          <w:rStyle w:val="Hyperlink"/>
          <w:rFonts w:cs="Arial"/>
          <w:b/>
          <w:bCs/>
          <w:color w:val="auto"/>
          <w:sz w:val="28"/>
          <w:szCs w:val="28"/>
          <w:u w:val="none"/>
        </w:rPr>
        <w:t>June</w:t>
      </w:r>
      <w:r w:rsidR="00C054B0">
        <w:rPr>
          <w:rStyle w:val="Hyperlink"/>
          <w:rFonts w:cs="Arial"/>
          <w:b/>
          <w:bCs/>
          <w:color w:val="auto"/>
          <w:sz w:val="28"/>
          <w:szCs w:val="28"/>
          <w:u w:val="none"/>
        </w:rPr>
        <w:t xml:space="preserve"> </w:t>
      </w:r>
      <w:r w:rsidR="002C0EE1">
        <w:rPr>
          <w:rStyle w:val="Hyperlink"/>
          <w:rFonts w:cs="Arial"/>
          <w:b/>
          <w:bCs/>
          <w:color w:val="auto"/>
          <w:sz w:val="28"/>
          <w:szCs w:val="28"/>
          <w:u w:val="none"/>
        </w:rPr>
        <w:t>16</w:t>
      </w:r>
      <w:r w:rsidR="0062503F" w:rsidRPr="00B33A7B">
        <w:rPr>
          <w:rStyle w:val="Hyperlink"/>
          <w:rFonts w:cs="Arial"/>
          <w:b/>
          <w:bCs/>
          <w:color w:val="auto"/>
          <w:sz w:val="28"/>
          <w:szCs w:val="28"/>
          <w:u w:val="none"/>
        </w:rPr>
        <w:t>, 2022</w:t>
      </w:r>
    </w:p>
    <w:p w14:paraId="19AAC650" w14:textId="47869CD1" w:rsidR="00B841E8" w:rsidRPr="00B33A7B" w:rsidRDefault="00B841E8" w:rsidP="00F45907">
      <w:pPr>
        <w:widowControl w:val="0"/>
        <w:numPr>
          <w:ilvl w:val="12"/>
          <w:numId w:val="0"/>
        </w:numPr>
        <w:jc w:val="center"/>
        <w:rPr>
          <w:rFonts w:cs="Arial"/>
          <w:sz w:val="28"/>
          <w:szCs w:val="28"/>
        </w:rPr>
      </w:pPr>
    </w:p>
    <w:sdt>
      <w:sdtPr>
        <w:rPr>
          <w:rFonts w:ascii="Arial" w:eastAsia="Times New Roman" w:hAnsi="Arial" w:cs="Times New Roman"/>
          <w:b w:val="0"/>
          <w:color w:val="auto"/>
          <w:sz w:val="24"/>
          <w:szCs w:val="24"/>
        </w:rPr>
        <w:id w:val="54053453"/>
        <w:docPartObj>
          <w:docPartGallery w:val="Table of Contents"/>
          <w:docPartUnique/>
        </w:docPartObj>
      </w:sdtPr>
      <w:sdtEndPr>
        <w:rPr>
          <w:bCs/>
          <w:noProof/>
        </w:rPr>
      </w:sdtEndPr>
      <w:sdtContent>
        <w:p w14:paraId="51E0E675" w14:textId="630593C9" w:rsidR="005B7FAE" w:rsidRDefault="0062503F">
          <w:pPr>
            <w:pStyle w:val="TOCHeading"/>
            <w:rPr>
              <w:rFonts w:ascii="Arial" w:hAnsi="Arial" w:cs="Arial"/>
              <w:b w:val="0"/>
              <w:color w:val="auto"/>
            </w:rPr>
          </w:pPr>
          <w:r w:rsidRPr="00B33A7B">
            <w:rPr>
              <w:rFonts w:ascii="Arial" w:eastAsia="Times New Roman" w:hAnsi="Arial" w:cs="Times New Roman"/>
              <w:bCs/>
              <w:color w:val="auto"/>
              <w:sz w:val="24"/>
              <w:szCs w:val="24"/>
            </w:rPr>
            <w:t>Infill Infrastructure Grant Program - Small Jurisdiction and Qualifying Infill</w:t>
          </w:r>
          <w:r w:rsidR="00096AF4" w:rsidRPr="00B33A7B">
            <w:rPr>
              <w:rFonts w:ascii="Arial" w:eastAsia="Times New Roman" w:hAnsi="Arial" w:cs="Times New Roman"/>
              <w:bCs/>
              <w:color w:val="auto"/>
              <w:sz w:val="24"/>
              <w:szCs w:val="24"/>
            </w:rPr>
            <w:t xml:space="preserve"> Areas</w:t>
          </w:r>
          <w:r w:rsidRPr="00B33A7B">
            <w:rPr>
              <w:rFonts w:ascii="Arial" w:eastAsia="Times New Roman" w:hAnsi="Arial" w:cs="Times New Roman"/>
              <w:b w:val="0"/>
              <w:color w:val="auto"/>
              <w:sz w:val="24"/>
              <w:szCs w:val="24"/>
            </w:rPr>
            <w:t xml:space="preserve">             </w:t>
          </w:r>
          <w:r w:rsidRPr="00B33A7B">
            <w:rPr>
              <w:rFonts w:ascii="Arial" w:eastAsia="Times New Roman" w:hAnsi="Arial" w:cs="Times New Roman"/>
              <w:b w:val="0"/>
              <w:color w:val="auto"/>
            </w:rPr>
            <w:t xml:space="preserve">Table of </w:t>
          </w:r>
          <w:r w:rsidR="005B7FAE" w:rsidRPr="00B33A7B">
            <w:rPr>
              <w:rFonts w:ascii="Arial" w:hAnsi="Arial" w:cs="Arial"/>
              <w:b w:val="0"/>
              <w:color w:val="auto"/>
            </w:rPr>
            <w:t>Contents</w:t>
          </w:r>
        </w:p>
        <w:p w14:paraId="68036D1E" w14:textId="77777777" w:rsidR="00EA2407" w:rsidRPr="00EA2407" w:rsidRDefault="00EA2407" w:rsidP="00EA2407"/>
        <w:p w14:paraId="745A15C4" w14:textId="51CD2701" w:rsidR="006A4BEB" w:rsidRDefault="005B7FAE">
          <w:pPr>
            <w:pStyle w:val="TOC1"/>
            <w:rPr>
              <w:rFonts w:asciiTheme="minorHAnsi" w:eastAsiaTheme="minorEastAsia" w:hAnsiTheme="minorHAnsi" w:cstheme="minorBidi"/>
              <w:noProof/>
              <w:sz w:val="22"/>
              <w:szCs w:val="22"/>
            </w:rPr>
          </w:pPr>
          <w:r w:rsidRPr="00B33A7B">
            <w:fldChar w:fldCharType="begin"/>
          </w:r>
          <w:r w:rsidRPr="00B33A7B">
            <w:instrText xml:space="preserve"> TOC \o "1-3" \h \z \u </w:instrText>
          </w:r>
          <w:r w:rsidRPr="00B33A7B">
            <w:fldChar w:fldCharType="separate"/>
          </w:r>
          <w:hyperlink w:anchor="_Toc106173280" w:history="1">
            <w:r w:rsidR="006A4BEB" w:rsidRPr="0033489D">
              <w:rPr>
                <w:rStyle w:val="Hyperlink"/>
                <w:noProof/>
              </w:rPr>
              <w:t>Article 1. General.</w:t>
            </w:r>
            <w:r w:rsidR="006A4BEB">
              <w:rPr>
                <w:noProof/>
                <w:webHidden/>
              </w:rPr>
              <w:tab/>
            </w:r>
            <w:r w:rsidR="006A4BEB">
              <w:rPr>
                <w:noProof/>
                <w:webHidden/>
              </w:rPr>
              <w:fldChar w:fldCharType="begin"/>
            </w:r>
            <w:r w:rsidR="006A4BEB">
              <w:rPr>
                <w:noProof/>
                <w:webHidden/>
              </w:rPr>
              <w:instrText xml:space="preserve"> PAGEREF _Toc106173280 \h </w:instrText>
            </w:r>
            <w:r w:rsidR="006A4BEB">
              <w:rPr>
                <w:noProof/>
                <w:webHidden/>
              </w:rPr>
            </w:r>
            <w:r w:rsidR="006A4BEB">
              <w:rPr>
                <w:noProof/>
                <w:webHidden/>
              </w:rPr>
              <w:fldChar w:fldCharType="separate"/>
            </w:r>
            <w:r w:rsidR="006A4BEB">
              <w:rPr>
                <w:noProof/>
                <w:webHidden/>
              </w:rPr>
              <w:t>1</w:t>
            </w:r>
            <w:r w:rsidR="006A4BEB">
              <w:rPr>
                <w:noProof/>
                <w:webHidden/>
              </w:rPr>
              <w:fldChar w:fldCharType="end"/>
            </w:r>
          </w:hyperlink>
        </w:p>
        <w:p w14:paraId="3F01F371" w14:textId="06ABD0EC" w:rsidR="006A4BEB" w:rsidRDefault="00CD0B68">
          <w:pPr>
            <w:pStyle w:val="TOC2"/>
            <w:rPr>
              <w:rFonts w:asciiTheme="minorHAnsi" w:eastAsiaTheme="minorEastAsia" w:hAnsiTheme="minorHAnsi" w:cstheme="minorBidi"/>
              <w:sz w:val="22"/>
              <w:szCs w:val="22"/>
            </w:rPr>
          </w:pPr>
          <w:hyperlink w:anchor="_Toc106173281" w:history="1">
            <w:r w:rsidR="006A4BEB" w:rsidRPr="0033489D">
              <w:rPr>
                <w:rStyle w:val="Hyperlink"/>
              </w:rPr>
              <w:t>Section 100. Purpose and Scope.</w:t>
            </w:r>
            <w:r w:rsidR="006A4BEB">
              <w:rPr>
                <w:webHidden/>
              </w:rPr>
              <w:tab/>
            </w:r>
            <w:r w:rsidR="006A4BEB">
              <w:rPr>
                <w:webHidden/>
              </w:rPr>
              <w:fldChar w:fldCharType="begin"/>
            </w:r>
            <w:r w:rsidR="006A4BEB">
              <w:rPr>
                <w:webHidden/>
              </w:rPr>
              <w:instrText xml:space="preserve"> PAGEREF _Toc106173281 \h </w:instrText>
            </w:r>
            <w:r w:rsidR="006A4BEB">
              <w:rPr>
                <w:webHidden/>
              </w:rPr>
            </w:r>
            <w:r w:rsidR="006A4BEB">
              <w:rPr>
                <w:webHidden/>
              </w:rPr>
              <w:fldChar w:fldCharType="separate"/>
            </w:r>
            <w:r w:rsidR="006A4BEB">
              <w:rPr>
                <w:webHidden/>
              </w:rPr>
              <w:t>1</w:t>
            </w:r>
            <w:r w:rsidR="006A4BEB">
              <w:rPr>
                <w:webHidden/>
              </w:rPr>
              <w:fldChar w:fldCharType="end"/>
            </w:r>
          </w:hyperlink>
        </w:p>
        <w:p w14:paraId="48E51DFA" w14:textId="5C161036" w:rsidR="006A4BEB" w:rsidRDefault="00CD0B68">
          <w:pPr>
            <w:pStyle w:val="TOC2"/>
            <w:rPr>
              <w:rFonts w:asciiTheme="minorHAnsi" w:eastAsiaTheme="minorEastAsia" w:hAnsiTheme="minorHAnsi" w:cstheme="minorBidi"/>
              <w:sz w:val="22"/>
              <w:szCs w:val="22"/>
            </w:rPr>
          </w:pPr>
          <w:hyperlink w:anchor="_Toc106173282" w:history="1">
            <w:r w:rsidR="006A4BEB" w:rsidRPr="0033489D">
              <w:rPr>
                <w:rStyle w:val="Hyperlink"/>
              </w:rPr>
              <w:t>Section 101. Uniform Multifamily Regulations (UMRs).</w:t>
            </w:r>
            <w:r w:rsidR="006A4BEB">
              <w:rPr>
                <w:webHidden/>
              </w:rPr>
              <w:tab/>
            </w:r>
            <w:r w:rsidR="006A4BEB">
              <w:rPr>
                <w:webHidden/>
              </w:rPr>
              <w:fldChar w:fldCharType="begin"/>
            </w:r>
            <w:r w:rsidR="006A4BEB">
              <w:rPr>
                <w:webHidden/>
              </w:rPr>
              <w:instrText xml:space="preserve"> PAGEREF _Toc106173282 \h </w:instrText>
            </w:r>
            <w:r w:rsidR="006A4BEB">
              <w:rPr>
                <w:webHidden/>
              </w:rPr>
            </w:r>
            <w:r w:rsidR="006A4BEB">
              <w:rPr>
                <w:webHidden/>
              </w:rPr>
              <w:fldChar w:fldCharType="separate"/>
            </w:r>
            <w:r w:rsidR="006A4BEB">
              <w:rPr>
                <w:webHidden/>
              </w:rPr>
              <w:t>2</w:t>
            </w:r>
            <w:r w:rsidR="006A4BEB">
              <w:rPr>
                <w:webHidden/>
              </w:rPr>
              <w:fldChar w:fldCharType="end"/>
            </w:r>
          </w:hyperlink>
        </w:p>
        <w:p w14:paraId="18BBD730" w14:textId="5D650ECC" w:rsidR="006A4BEB" w:rsidRDefault="00CD0B68">
          <w:pPr>
            <w:pStyle w:val="TOC2"/>
            <w:rPr>
              <w:rFonts w:asciiTheme="minorHAnsi" w:eastAsiaTheme="minorEastAsia" w:hAnsiTheme="minorHAnsi" w:cstheme="minorBidi"/>
              <w:sz w:val="22"/>
              <w:szCs w:val="22"/>
            </w:rPr>
          </w:pPr>
          <w:hyperlink w:anchor="_Toc106173283" w:history="1">
            <w:r w:rsidR="006A4BEB" w:rsidRPr="0033489D">
              <w:rPr>
                <w:rStyle w:val="Hyperlink"/>
              </w:rPr>
              <w:t>Section 102. Definitions.</w:t>
            </w:r>
            <w:r w:rsidR="006A4BEB">
              <w:rPr>
                <w:webHidden/>
              </w:rPr>
              <w:tab/>
            </w:r>
            <w:r w:rsidR="006A4BEB">
              <w:rPr>
                <w:webHidden/>
              </w:rPr>
              <w:fldChar w:fldCharType="begin"/>
            </w:r>
            <w:r w:rsidR="006A4BEB">
              <w:rPr>
                <w:webHidden/>
              </w:rPr>
              <w:instrText xml:space="preserve"> PAGEREF _Toc106173283 \h </w:instrText>
            </w:r>
            <w:r w:rsidR="006A4BEB">
              <w:rPr>
                <w:webHidden/>
              </w:rPr>
            </w:r>
            <w:r w:rsidR="006A4BEB">
              <w:rPr>
                <w:webHidden/>
              </w:rPr>
              <w:fldChar w:fldCharType="separate"/>
            </w:r>
            <w:r w:rsidR="006A4BEB">
              <w:rPr>
                <w:webHidden/>
              </w:rPr>
              <w:t>2</w:t>
            </w:r>
            <w:r w:rsidR="006A4BEB">
              <w:rPr>
                <w:webHidden/>
              </w:rPr>
              <w:fldChar w:fldCharType="end"/>
            </w:r>
          </w:hyperlink>
        </w:p>
        <w:p w14:paraId="793B1E55" w14:textId="33F01821" w:rsidR="006A4BEB" w:rsidRDefault="00CD0B68">
          <w:pPr>
            <w:pStyle w:val="TOC2"/>
            <w:rPr>
              <w:rFonts w:asciiTheme="minorHAnsi" w:eastAsiaTheme="minorEastAsia" w:hAnsiTheme="minorHAnsi" w:cstheme="minorBidi"/>
              <w:sz w:val="22"/>
              <w:szCs w:val="22"/>
            </w:rPr>
          </w:pPr>
          <w:hyperlink w:anchor="_Toc106173284" w:history="1">
            <w:r w:rsidR="006A4BEB" w:rsidRPr="0033489D">
              <w:rPr>
                <w:rStyle w:val="Hyperlink"/>
              </w:rPr>
              <w:t>Section 200. Eligible Capital Improvement Projects.</w:t>
            </w:r>
            <w:r w:rsidR="006A4BEB">
              <w:rPr>
                <w:webHidden/>
              </w:rPr>
              <w:tab/>
            </w:r>
            <w:r w:rsidR="006A4BEB">
              <w:rPr>
                <w:webHidden/>
              </w:rPr>
              <w:fldChar w:fldCharType="begin"/>
            </w:r>
            <w:r w:rsidR="006A4BEB">
              <w:rPr>
                <w:webHidden/>
              </w:rPr>
              <w:instrText xml:space="preserve"> PAGEREF _Toc106173284 \h </w:instrText>
            </w:r>
            <w:r w:rsidR="006A4BEB">
              <w:rPr>
                <w:webHidden/>
              </w:rPr>
            </w:r>
            <w:r w:rsidR="006A4BEB">
              <w:rPr>
                <w:webHidden/>
              </w:rPr>
              <w:fldChar w:fldCharType="separate"/>
            </w:r>
            <w:r w:rsidR="006A4BEB">
              <w:rPr>
                <w:webHidden/>
              </w:rPr>
              <w:t>19</w:t>
            </w:r>
            <w:r w:rsidR="006A4BEB">
              <w:rPr>
                <w:webHidden/>
              </w:rPr>
              <w:fldChar w:fldCharType="end"/>
            </w:r>
          </w:hyperlink>
        </w:p>
        <w:p w14:paraId="6C07912C" w14:textId="14C65060" w:rsidR="006A4BEB" w:rsidRDefault="00CD0B68">
          <w:pPr>
            <w:pStyle w:val="TOC2"/>
            <w:rPr>
              <w:rFonts w:asciiTheme="minorHAnsi" w:eastAsiaTheme="minorEastAsia" w:hAnsiTheme="minorHAnsi" w:cstheme="minorBidi"/>
              <w:sz w:val="22"/>
              <w:szCs w:val="22"/>
            </w:rPr>
          </w:pPr>
          <w:hyperlink w:anchor="_Toc106173285" w:history="1">
            <w:r w:rsidR="006A4BEB" w:rsidRPr="0033489D">
              <w:rPr>
                <w:rStyle w:val="Hyperlink"/>
              </w:rPr>
              <w:t>Section 201. Eligible Applicant.</w:t>
            </w:r>
            <w:r w:rsidR="006A4BEB">
              <w:rPr>
                <w:webHidden/>
              </w:rPr>
              <w:tab/>
            </w:r>
            <w:r w:rsidR="006A4BEB">
              <w:rPr>
                <w:webHidden/>
              </w:rPr>
              <w:fldChar w:fldCharType="begin"/>
            </w:r>
            <w:r w:rsidR="006A4BEB">
              <w:rPr>
                <w:webHidden/>
              </w:rPr>
              <w:instrText xml:space="preserve"> PAGEREF _Toc106173285 \h </w:instrText>
            </w:r>
            <w:r w:rsidR="006A4BEB">
              <w:rPr>
                <w:webHidden/>
              </w:rPr>
            </w:r>
            <w:r w:rsidR="006A4BEB">
              <w:rPr>
                <w:webHidden/>
              </w:rPr>
              <w:fldChar w:fldCharType="separate"/>
            </w:r>
            <w:r w:rsidR="006A4BEB">
              <w:rPr>
                <w:webHidden/>
              </w:rPr>
              <w:t>26</w:t>
            </w:r>
            <w:r w:rsidR="006A4BEB">
              <w:rPr>
                <w:webHidden/>
              </w:rPr>
              <w:fldChar w:fldCharType="end"/>
            </w:r>
          </w:hyperlink>
        </w:p>
        <w:p w14:paraId="79592D35" w14:textId="68AF26AB" w:rsidR="006A4BEB" w:rsidRDefault="00CD0B68">
          <w:pPr>
            <w:pStyle w:val="TOC2"/>
            <w:rPr>
              <w:rFonts w:asciiTheme="minorHAnsi" w:eastAsiaTheme="minorEastAsia" w:hAnsiTheme="minorHAnsi" w:cstheme="minorBidi"/>
              <w:sz w:val="22"/>
              <w:szCs w:val="22"/>
            </w:rPr>
          </w:pPr>
          <w:hyperlink w:anchor="_Toc106173286" w:history="1">
            <w:r w:rsidR="006A4BEB" w:rsidRPr="0033489D">
              <w:rPr>
                <w:rStyle w:val="Hyperlink"/>
              </w:rPr>
              <w:t>Section 202. Threshold Requirements.</w:t>
            </w:r>
            <w:r w:rsidR="006A4BEB">
              <w:rPr>
                <w:webHidden/>
              </w:rPr>
              <w:tab/>
            </w:r>
            <w:r w:rsidR="006A4BEB">
              <w:rPr>
                <w:webHidden/>
              </w:rPr>
              <w:fldChar w:fldCharType="begin"/>
            </w:r>
            <w:r w:rsidR="006A4BEB">
              <w:rPr>
                <w:webHidden/>
              </w:rPr>
              <w:instrText xml:space="preserve"> PAGEREF _Toc106173286 \h </w:instrText>
            </w:r>
            <w:r w:rsidR="006A4BEB">
              <w:rPr>
                <w:webHidden/>
              </w:rPr>
            </w:r>
            <w:r w:rsidR="006A4BEB">
              <w:rPr>
                <w:webHidden/>
              </w:rPr>
              <w:fldChar w:fldCharType="separate"/>
            </w:r>
            <w:r w:rsidR="006A4BEB">
              <w:rPr>
                <w:webHidden/>
              </w:rPr>
              <w:t>29</w:t>
            </w:r>
            <w:r w:rsidR="006A4BEB">
              <w:rPr>
                <w:webHidden/>
              </w:rPr>
              <w:fldChar w:fldCharType="end"/>
            </w:r>
          </w:hyperlink>
        </w:p>
        <w:p w14:paraId="6D283D91" w14:textId="5DFF7F6D" w:rsidR="006A4BEB" w:rsidRDefault="00CD0B68">
          <w:pPr>
            <w:pStyle w:val="TOC2"/>
            <w:rPr>
              <w:rFonts w:asciiTheme="minorHAnsi" w:eastAsiaTheme="minorEastAsia" w:hAnsiTheme="minorHAnsi" w:cstheme="minorBidi"/>
              <w:sz w:val="22"/>
              <w:szCs w:val="22"/>
            </w:rPr>
          </w:pPr>
          <w:hyperlink w:anchor="_Toc106173287" w:history="1">
            <w:r w:rsidR="006A4BEB" w:rsidRPr="0033489D">
              <w:rPr>
                <w:rStyle w:val="Hyperlink"/>
              </w:rPr>
              <w:t>Section 203. Eligible Use of Funds.</w:t>
            </w:r>
            <w:r w:rsidR="006A4BEB">
              <w:rPr>
                <w:webHidden/>
              </w:rPr>
              <w:tab/>
            </w:r>
            <w:r w:rsidR="006A4BEB">
              <w:rPr>
                <w:webHidden/>
              </w:rPr>
              <w:fldChar w:fldCharType="begin"/>
            </w:r>
            <w:r w:rsidR="006A4BEB">
              <w:rPr>
                <w:webHidden/>
              </w:rPr>
              <w:instrText xml:space="preserve"> PAGEREF _Toc106173287 \h </w:instrText>
            </w:r>
            <w:r w:rsidR="006A4BEB">
              <w:rPr>
                <w:webHidden/>
              </w:rPr>
            </w:r>
            <w:r w:rsidR="006A4BEB">
              <w:rPr>
                <w:webHidden/>
              </w:rPr>
              <w:fldChar w:fldCharType="separate"/>
            </w:r>
            <w:r w:rsidR="006A4BEB">
              <w:rPr>
                <w:webHidden/>
              </w:rPr>
              <w:t>31</w:t>
            </w:r>
            <w:r w:rsidR="006A4BEB">
              <w:rPr>
                <w:webHidden/>
              </w:rPr>
              <w:fldChar w:fldCharType="end"/>
            </w:r>
          </w:hyperlink>
        </w:p>
        <w:p w14:paraId="3BCED27F" w14:textId="4734721D" w:rsidR="006A4BEB" w:rsidRDefault="00CD0B68">
          <w:pPr>
            <w:pStyle w:val="TOC2"/>
            <w:rPr>
              <w:rFonts w:asciiTheme="minorHAnsi" w:eastAsiaTheme="minorEastAsia" w:hAnsiTheme="minorHAnsi" w:cstheme="minorBidi"/>
              <w:sz w:val="22"/>
              <w:szCs w:val="22"/>
            </w:rPr>
          </w:pPr>
          <w:hyperlink w:anchor="_Toc106173288" w:history="1">
            <w:r w:rsidR="006A4BEB" w:rsidRPr="0033489D">
              <w:rPr>
                <w:rStyle w:val="Hyperlink"/>
              </w:rPr>
              <w:t>Section 204. Cost Limitations.</w:t>
            </w:r>
            <w:r w:rsidR="006A4BEB">
              <w:rPr>
                <w:webHidden/>
              </w:rPr>
              <w:tab/>
            </w:r>
            <w:r w:rsidR="006A4BEB">
              <w:rPr>
                <w:webHidden/>
              </w:rPr>
              <w:fldChar w:fldCharType="begin"/>
            </w:r>
            <w:r w:rsidR="006A4BEB">
              <w:rPr>
                <w:webHidden/>
              </w:rPr>
              <w:instrText xml:space="preserve"> PAGEREF _Toc106173288 \h </w:instrText>
            </w:r>
            <w:r w:rsidR="006A4BEB">
              <w:rPr>
                <w:webHidden/>
              </w:rPr>
            </w:r>
            <w:r w:rsidR="006A4BEB">
              <w:rPr>
                <w:webHidden/>
              </w:rPr>
              <w:fldChar w:fldCharType="separate"/>
            </w:r>
            <w:r w:rsidR="006A4BEB">
              <w:rPr>
                <w:webHidden/>
              </w:rPr>
              <w:t>33</w:t>
            </w:r>
            <w:r w:rsidR="006A4BEB">
              <w:rPr>
                <w:webHidden/>
              </w:rPr>
              <w:fldChar w:fldCharType="end"/>
            </w:r>
          </w:hyperlink>
        </w:p>
        <w:p w14:paraId="086E1E7E" w14:textId="0757C5B2" w:rsidR="006A4BEB" w:rsidRDefault="00CD0B68">
          <w:pPr>
            <w:pStyle w:val="TOC2"/>
            <w:rPr>
              <w:rFonts w:asciiTheme="minorHAnsi" w:eastAsiaTheme="minorEastAsia" w:hAnsiTheme="minorHAnsi" w:cstheme="minorBidi"/>
              <w:sz w:val="22"/>
              <w:szCs w:val="22"/>
            </w:rPr>
          </w:pPr>
          <w:hyperlink w:anchor="_Toc106173289" w:history="1">
            <w:r w:rsidR="006A4BEB" w:rsidRPr="0033489D">
              <w:rPr>
                <w:rStyle w:val="Hyperlink"/>
              </w:rPr>
              <w:t>Section 205. Grant Terms and Limit.</w:t>
            </w:r>
            <w:r w:rsidR="006A4BEB">
              <w:rPr>
                <w:webHidden/>
              </w:rPr>
              <w:tab/>
            </w:r>
            <w:r w:rsidR="006A4BEB">
              <w:rPr>
                <w:webHidden/>
              </w:rPr>
              <w:fldChar w:fldCharType="begin"/>
            </w:r>
            <w:r w:rsidR="006A4BEB">
              <w:rPr>
                <w:webHidden/>
              </w:rPr>
              <w:instrText xml:space="preserve"> PAGEREF _Toc106173289 \h </w:instrText>
            </w:r>
            <w:r w:rsidR="006A4BEB">
              <w:rPr>
                <w:webHidden/>
              </w:rPr>
            </w:r>
            <w:r w:rsidR="006A4BEB">
              <w:rPr>
                <w:webHidden/>
              </w:rPr>
              <w:fldChar w:fldCharType="separate"/>
            </w:r>
            <w:r w:rsidR="006A4BEB">
              <w:rPr>
                <w:webHidden/>
              </w:rPr>
              <w:t>33</w:t>
            </w:r>
            <w:r w:rsidR="006A4BEB">
              <w:rPr>
                <w:webHidden/>
              </w:rPr>
              <w:fldChar w:fldCharType="end"/>
            </w:r>
          </w:hyperlink>
        </w:p>
        <w:p w14:paraId="03947EC6" w14:textId="4D19B60B" w:rsidR="006A4BEB" w:rsidRDefault="00CD0B68">
          <w:pPr>
            <w:pStyle w:val="TOC1"/>
            <w:rPr>
              <w:rFonts w:asciiTheme="minorHAnsi" w:eastAsiaTheme="minorEastAsia" w:hAnsiTheme="minorHAnsi" w:cstheme="minorBidi"/>
              <w:noProof/>
              <w:sz w:val="22"/>
              <w:szCs w:val="22"/>
            </w:rPr>
          </w:pPr>
          <w:hyperlink w:anchor="_Toc106173290" w:history="1">
            <w:r w:rsidR="006A4BEB" w:rsidRPr="0033489D">
              <w:rPr>
                <w:rStyle w:val="Hyperlink"/>
                <w:noProof/>
              </w:rPr>
              <w:t>Article 3.  General Requirements.</w:t>
            </w:r>
            <w:r w:rsidR="006A4BEB">
              <w:rPr>
                <w:noProof/>
                <w:webHidden/>
              </w:rPr>
              <w:tab/>
            </w:r>
            <w:r w:rsidR="006A4BEB">
              <w:rPr>
                <w:noProof/>
                <w:webHidden/>
              </w:rPr>
              <w:fldChar w:fldCharType="begin"/>
            </w:r>
            <w:r w:rsidR="006A4BEB">
              <w:rPr>
                <w:noProof/>
                <w:webHidden/>
              </w:rPr>
              <w:instrText xml:space="preserve"> PAGEREF _Toc106173290 \h </w:instrText>
            </w:r>
            <w:r w:rsidR="006A4BEB">
              <w:rPr>
                <w:noProof/>
                <w:webHidden/>
              </w:rPr>
            </w:r>
            <w:r w:rsidR="006A4BEB">
              <w:rPr>
                <w:noProof/>
                <w:webHidden/>
              </w:rPr>
              <w:fldChar w:fldCharType="separate"/>
            </w:r>
            <w:r w:rsidR="006A4BEB">
              <w:rPr>
                <w:noProof/>
                <w:webHidden/>
              </w:rPr>
              <w:t>35</w:t>
            </w:r>
            <w:r w:rsidR="006A4BEB">
              <w:rPr>
                <w:noProof/>
                <w:webHidden/>
              </w:rPr>
              <w:fldChar w:fldCharType="end"/>
            </w:r>
          </w:hyperlink>
        </w:p>
        <w:p w14:paraId="72D031D7" w14:textId="14478CE0" w:rsidR="006A4BEB" w:rsidRDefault="00CD0B68">
          <w:pPr>
            <w:pStyle w:val="TOC2"/>
            <w:rPr>
              <w:rFonts w:asciiTheme="minorHAnsi" w:eastAsiaTheme="minorEastAsia" w:hAnsiTheme="minorHAnsi" w:cstheme="minorBidi"/>
              <w:sz w:val="22"/>
              <w:szCs w:val="22"/>
            </w:rPr>
          </w:pPr>
          <w:hyperlink w:anchor="_Toc106173291" w:history="1">
            <w:r w:rsidR="006A4BEB" w:rsidRPr="0033489D">
              <w:rPr>
                <w:rStyle w:val="Hyperlink"/>
              </w:rPr>
              <w:t>Section 300.  State and Federal Laws, Rules, Guidelines and Regulations.</w:t>
            </w:r>
            <w:r w:rsidR="006A4BEB">
              <w:rPr>
                <w:webHidden/>
              </w:rPr>
              <w:tab/>
            </w:r>
            <w:r w:rsidR="006A4BEB">
              <w:rPr>
                <w:webHidden/>
              </w:rPr>
              <w:fldChar w:fldCharType="begin"/>
            </w:r>
            <w:r w:rsidR="006A4BEB">
              <w:rPr>
                <w:webHidden/>
              </w:rPr>
              <w:instrText xml:space="preserve"> PAGEREF _Toc106173291 \h </w:instrText>
            </w:r>
            <w:r w:rsidR="006A4BEB">
              <w:rPr>
                <w:webHidden/>
              </w:rPr>
            </w:r>
            <w:r w:rsidR="006A4BEB">
              <w:rPr>
                <w:webHidden/>
              </w:rPr>
              <w:fldChar w:fldCharType="separate"/>
            </w:r>
            <w:r w:rsidR="006A4BEB">
              <w:rPr>
                <w:webHidden/>
              </w:rPr>
              <w:t>35</w:t>
            </w:r>
            <w:r w:rsidR="006A4BEB">
              <w:rPr>
                <w:webHidden/>
              </w:rPr>
              <w:fldChar w:fldCharType="end"/>
            </w:r>
          </w:hyperlink>
        </w:p>
        <w:p w14:paraId="381502FC" w14:textId="75C08A63" w:rsidR="006A4BEB" w:rsidRDefault="00CD0B68">
          <w:pPr>
            <w:pStyle w:val="TOC2"/>
            <w:rPr>
              <w:rFonts w:asciiTheme="minorHAnsi" w:eastAsiaTheme="minorEastAsia" w:hAnsiTheme="minorHAnsi" w:cstheme="minorBidi"/>
              <w:sz w:val="22"/>
              <w:szCs w:val="22"/>
            </w:rPr>
          </w:pPr>
          <w:hyperlink w:anchor="_Toc106173292" w:history="1">
            <w:r w:rsidR="006A4BEB" w:rsidRPr="0033489D">
              <w:rPr>
                <w:rStyle w:val="Hyperlink"/>
              </w:rPr>
              <w:t>Section 301.  Relocation Requirements.</w:t>
            </w:r>
            <w:r w:rsidR="006A4BEB">
              <w:rPr>
                <w:webHidden/>
              </w:rPr>
              <w:tab/>
            </w:r>
            <w:r w:rsidR="006A4BEB">
              <w:rPr>
                <w:webHidden/>
              </w:rPr>
              <w:fldChar w:fldCharType="begin"/>
            </w:r>
            <w:r w:rsidR="006A4BEB">
              <w:rPr>
                <w:webHidden/>
              </w:rPr>
              <w:instrText xml:space="preserve"> PAGEREF _Toc106173292 \h </w:instrText>
            </w:r>
            <w:r w:rsidR="006A4BEB">
              <w:rPr>
                <w:webHidden/>
              </w:rPr>
            </w:r>
            <w:r w:rsidR="006A4BEB">
              <w:rPr>
                <w:webHidden/>
              </w:rPr>
              <w:fldChar w:fldCharType="separate"/>
            </w:r>
            <w:r w:rsidR="006A4BEB">
              <w:rPr>
                <w:webHidden/>
              </w:rPr>
              <w:t>39</w:t>
            </w:r>
            <w:r w:rsidR="006A4BEB">
              <w:rPr>
                <w:webHidden/>
              </w:rPr>
              <w:fldChar w:fldCharType="end"/>
            </w:r>
          </w:hyperlink>
        </w:p>
        <w:p w14:paraId="19205D62" w14:textId="47093CF0" w:rsidR="006A4BEB" w:rsidRDefault="00CD0B68">
          <w:pPr>
            <w:pStyle w:val="TOC1"/>
            <w:rPr>
              <w:rFonts w:asciiTheme="minorHAnsi" w:eastAsiaTheme="minorEastAsia" w:hAnsiTheme="minorHAnsi" w:cstheme="minorBidi"/>
              <w:noProof/>
              <w:sz w:val="22"/>
              <w:szCs w:val="22"/>
            </w:rPr>
          </w:pPr>
          <w:hyperlink w:anchor="_Toc106173293" w:history="1">
            <w:r w:rsidR="006A4BEB" w:rsidRPr="0033489D">
              <w:rPr>
                <w:rStyle w:val="Hyperlink"/>
                <w:noProof/>
              </w:rPr>
              <w:t>Article 4. Application Requirements</w:t>
            </w:r>
            <w:r w:rsidR="006A4BEB">
              <w:rPr>
                <w:noProof/>
                <w:webHidden/>
              </w:rPr>
              <w:tab/>
            </w:r>
            <w:r w:rsidR="006A4BEB">
              <w:rPr>
                <w:noProof/>
                <w:webHidden/>
              </w:rPr>
              <w:fldChar w:fldCharType="begin"/>
            </w:r>
            <w:r w:rsidR="006A4BEB">
              <w:rPr>
                <w:noProof/>
                <w:webHidden/>
              </w:rPr>
              <w:instrText xml:space="preserve"> PAGEREF _Toc106173293 \h </w:instrText>
            </w:r>
            <w:r w:rsidR="006A4BEB">
              <w:rPr>
                <w:noProof/>
                <w:webHidden/>
              </w:rPr>
            </w:r>
            <w:r w:rsidR="006A4BEB">
              <w:rPr>
                <w:noProof/>
                <w:webHidden/>
              </w:rPr>
              <w:fldChar w:fldCharType="separate"/>
            </w:r>
            <w:r w:rsidR="006A4BEB">
              <w:rPr>
                <w:noProof/>
                <w:webHidden/>
              </w:rPr>
              <w:t>40</w:t>
            </w:r>
            <w:r w:rsidR="006A4BEB">
              <w:rPr>
                <w:noProof/>
                <w:webHidden/>
              </w:rPr>
              <w:fldChar w:fldCharType="end"/>
            </w:r>
          </w:hyperlink>
        </w:p>
        <w:p w14:paraId="09AB384B" w14:textId="7D7F96B8" w:rsidR="006A4BEB" w:rsidRDefault="00CD0B68">
          <w:pPr>
            <w:pStyle w:val="TOC2"/>
            <w:rPr>
              <w:rFonts w:asciiTheme="minorHAnsi" w:eastAsiaTheme="minorEastAsia" w:hAnsiTheme="minorHAnsi" w:cstheme="minorBidi"/>
              <w:sz w:val="22"/>
              <w:szCs w:val="22"/>
            </w:rPr>
          </w:pPr>
          <w:hyperlink w:anchor="_Toc106173294" w:history="1">
            <w:r w:rsidR="006A4BEB" w:rsidRPr="0033489D">
              <w:rPr>
                <w:rStyle w:val="Hyperlink"/>
              </w:rPr>
              <w:t>Section 400. Application Process.</w:t>
            </w:r>
            <w:r w:rsidR="006A4BEB">
              <w:rPr>
                <w:webHidden/>
              </w:rPr>
              <w:tab/>
            </w:r>
            <w:r w:rsidR="006A4BEB">
              <w:rPr>
                <w:webHidden/>
              </w:rPr>
              <w:fldChar w:fldCharType="begin"/>
            </w:r>
            <w:r w:rsidR="006A4BEB">
              <w:rPr>
                <w:webHidden/>
              </w:rPr>
              <w:instrText xml:space="preserve"> PAGEREF _Toc106173294 \h </w:instrText>
            </w:r>
            <w:r w:rsidR="006A4BEB">
              <w:rPr>
                <w:webHidden/>
              </w:rPr>
            </w:r>
            <w:r w:rsidR="006A4BEB">
              <w:rPr>
                <w:webHidden/>
              </w:rPr>
              <w:fldChar w:fldCharType="separate"/>
            </w:r>
            <w:r w:rsidR="006A4BEB">
              <w:rPr>
                <w:webHidden/>
              </w:rPr>
              <w:t>40</w:t>
            </w:r>
            <w:r w:rsidR="006A4BEB">
              <w:rPr>
                <w:webHidden/>
              </w:rPr>
              <w:fldChar w:fldCharType="end"/>
            </w:r>
          </w:hyperlink>
        </w:p>
        <w:p w14:paraId="089B57DC" w14:textId="221915B9" w:rsidR="006A4BEB" w:rsidRDefault="00CD0B68">
          <w:pPr>
            <w:pStyle w:val="TOC2"/>
            <w:rPr>
              <w:rFonts w:asciiTheme="minorHAnsi" w:eastAsiaTheme="minorEastAsia" w:hAnsiTheme="minorHAnsi" w:cstheme="minorBidi"/>
              <w:sz w:val="22"/>
              <w:szCs w:val="22"/>
            </w:rPr>
          </w:pPr>
          <w:hyperlink w:anchor="_Toc106173295" w:history="1">
            <w:r w:rsidR="006A4BEB" w:rsidRPr="0033489D">
              <w:rPr>
                <w:rStyle w:val="Hyperlink"/>
              </w:rPr>
              <w:t>Section 401. Application Content and Application Eligibility Requirements</w:t>
            </w:r>
            <w:r w:rsidR="006A4BEB">
              <w:rPr>
                <w:webHidden/>
              </w:rPr>
              <w:tab/>
            </w:r>
            <w:r w:rsidR="006A4BEB">
              <w:rPr>
                <w:webHidden/>
              </w:rPr>
              <w:fldChar w:fldCharType="begin"/>
            </w:r>
            <w:r w:rsidR="006A4BEB">
              <w:rPr>
                <w:webHidden/>
              </w:rPr>
              <w:instrText xml:space="preserve"> PAGEREF _Toc106173295 \h </w:instrText>
            </w:r>
            <w:r w:rsidR="006A4BEB">
              <w:rPr>
                <w:webHidden/>
              </w:rPr>
            </w:r>
            <w:r w:rsidR="006A4BEB">
              <w:rPr>
                <w:webHidden/>
              </w:rPr>
              <w:fldChar w:fldCharType="separate"/>
            </w:r>
            <w:r w:rsidR="006A4BEB">
              <w:rPr>
                <w:webHidden/>
              </w:rPr>
              <w:t>41</w:t>
            </w:r>
            <w:r w:rsidR="006A4BEB">
              <w:rPr>
                <w:webHidden/>
              </w:rPr>
              <w:fldChar w:fldCharType="end"/>
            </w:r>
          </w:hyperlink>
        </w:p>
        <w:p w14:paraId="4A8658C1" w14:textId="73F19F4A" w:rsidR="006A4BEB" w:rsidRDefault="00CD0B68">
          <w:pPr>
            <w:pStyle w:val="TOC2"/>
            <w:rPr>
              <w:rFonts w:asciiTheme="minorHAnsi" w:eastAsiaTheme="minorEastAsia" w:hAnsiTheme="minorHAnsi" w:cstheme="minorBidi"/>
              <w:sz w:val="22"/>
              <w:szCs w:val="22"/>
            </w:rPr>
          </w:pPr>
          <w:hyperlink w:anchor="_Toc106173296" w:history="1">
            <w:r w:rsidR="006A4BEB" w:rsidRPr="0033489D">
              <w:rPr>
                <w:rStyle w:val="Hyperlink"/>
              </w:rPr>
              <w:t>Section 402. Application Scoring and Selection Criteria for Qualifying Infill Areas in Large Jurisdictions.</w:t>
            </w:r>
            <w:r w:rsidR="006A4BEB">
              <w:rPr>
                <w:webHidden/>
              </w:rPr>
              <w:tab/>
            </w:r>
            <w:r w:rsidR="006A4BEB">
              <w:rPr>
                <w:webHidden/>
              </w:rPr>
              <w:fldChar w:fldCharType="begin"/>
            </w:r>
            <w:r w:rsidR="006A4BEB">
              <w:rPr>
                <w:webHidden/>
              </w:rPr>
              <w:instrText xml:space="preserve"> PAGEREF _Toc106173296 \h </w:instrText>
            </w:r>
            <w:r w:rsidR="006A4BEB">
              <w:rPr>
                <w:webHidden/>
              </w:rPr>
            </w:r>
            <w:r w:rsidR="006A4BEB">
              <w:rPr>
                <w:webHidden/>
              </w:rPr>
              <w:fldChar w:fldCharType="separate"/>
            </w:r>
            <w:r w:rsidR="006A4BEB">
              <w:rPr>
                <w:webHidden/>
              </w:rPr>
              <w:t>43</w:t>
            </w:r>
            <w:r w:rsidR="006A4BEB">
              <w:rPr>
                <w:webHidden/>
              </w:rPr>
              <w:fldChar w:fldCharType="end"/>
            </w:r>
          </w:hyperlink>
        </w:p>
        <w:p w14:paraId="1F07C90B" w14:textId="797C3ED3" w:rsidR="006A4BEB" w:rsidRDefault="00CD0B68">
          <w:pPr>
            <w:pStyle w:val="TOC2"/>
            <w:rPr>
              <w:rFonts w:asciiTheme="minorHAnsi" w:eastAsiaTheme="minorEastAsia" w:hAnsiTheme="minorHAnsi" w:cstheme="minorBidi"/>
              <w:sz w:val="22"/>
              <w:szCs w:val="22"/>
            </w:rPr>
          </w:pPr>
          <w:hyperlink w:anchor="_Toc106173297" w:history="1">
            <w:r w:rsidR="006A4BEB" w:rsidRPr="0033489D">
              <w:rPr>
                <w:rStyle w:val="Hyperlink"/>
              </w:rPr>
              <w:t>Section 403. Performance Deadlines.</w:t>
            </w:r>
            <w:r w:rsidR="006A4BEB">
              <w:rPr>
                <w:webHidden/>
              </w:rPr>
              <w:tab/>
            </w:r>
            <w:r w:rsidR="006A4BEB">
              <w:rPr>
                <w:webHidden/>
              </w:rPr>
              <w:fldChar w:fldCharType="begin"/>
            </w:r>
            <w:r w:rsidR="006A4BEB">
              <w:rPr>
                <w:webHidden/>
              </w:rPr>
              <w:instrText xml:space="preserve"> PAGEREF _Toc106173297 \h </w:instrText>
            </w:r>
            <w:r w:rsidR="006A4BEB">
              <w:rPr>
                <w:webHidden/>
              </w:rPr>
            </w:r>
            <w:r w:rsidR="006A4BEB">
              <w:rPr>
                <w:webHidden/>
              </w:rPr>
              <w:fldChar w:fldCharType="separate"/>
            </w:r>
            <w:r w:rsidR="006A4BEB">
              <w:rPr>
                <w:webHidden/>
              </w:rPr>
              <w:t>43</w:t>
            </w:r>
            <w:r w:rsidR="006A4BEB">
              <w:rPr>
                <w:webHidden/>
              </w:rPr>
              <w:fldChar w:fldCharType="end"/>
            </w:r>
          </w:hyperlink>
        </w:p>
        <w:p w14:paraId="08B8782D" w14:textId="293FF329" w:rsidR="006A4BEB" w:rsidRDefault="00CD0B68">
          <w:pPr>
            <w:pStyle w:val="TOC1"/>
            <w:rPr>
              <w:rFonts w:asciiTheme="minorHAnsi" w:eastAsiaTheme="minorEastAsia" w:hAnsiTheme="minorHAnsi" w:cstheme="minorBidi"/>
              <w:noProof/>
              <w:sz w:val="22"/>
              <w:szCs w:val="22"/>
            </w:rPr>
          </w:pPr>
          <w:hyperlink w:anchor="_Toc106173298" w:history="1">
            <w:r w:rsidR="006A4BEB" w:rsidRPr="0033489D">
              <w:rPr>
                <w:rStyle w:val="Hyperlink"/>
                <w:noProof/>
              </w:rPr>
              <w:t>Article 5. Operations</w:t>
            </w:r>
            <w:r w:rsidR="006A4BEB">
              <w:rPr>
                <w:noProof/>
                <w:webHidden/>
              </w:rPr>
              <w:tab/>
            </w:r>
            <w:r w:rsidR="006A4BEB">
              <w:rPr>
                <w:noProof/>
                <w:webHidden/>
              </w:rPr>
              <w:fldChar w:fldCharType="begin"/>
            </w:r>
            <w:r w:rsidR="006A4BEB">
              <w:rPr>
                <w:noProof/>
                <w:webHidden/>
              </w:rPr>
              <w:instrText xml:space="preserve"> PAGEREF _Toc106173298 \h </w:instrText>
            </w:r>
            <w:r w:rsidR="006A4BEB">
              <w:rPr>
                <w:noProof/>
                <w:webHidden/>
              </w:rPr>
            </w:r>
            <w:r w:rsidR="006A4BEB">
              <w:rPr>
                <w:noProof/>
                <w:webHidden/>
              </w:rPr>
              <w:fldChar w:fldCharType="separate"/>
            </w:r>
            <w:r w:rsidR="006A4BEB">
              <w:rPr>
                <w:noProof/>
                <w:webHidden/>
              </w:rPr>
              <w:t>44</w:t>
            </w:r>
            <w:r w:rsidR="006A4BEB">
              <w:rPr>
                <w:noProof/>
                <w:webHidden/>
              </w:rPr>
              <w:fldChar w:fldCharType="end"/>
            </w:r>
          </w:hyperlink>
        </w:p>
        <w:p w14:paraId="27E70D46" w14:textId="3A11D0BC" w:rsidR="006A4BEB" w:rsidRDefault="00CD0B68">
          <w:pPr>
            <w:pStyle w:val="TOC2"/>
            <w:rPr>
              <w:rFonts w:asciiTheme="minorHAnsi" w:eastAsiaTheme="minorEastAsia" w:hAnsiTheme="minorHAnsi" w:cstheme="minorBidi"/>
              <w:sz w:val="22"/>
              <w:szCs w:val="22"/>
            </w:rPr>
          </w:pPr>
          <w:hyperlink w:anchor="_Toc106173299" w:history="1">
            <w:r w:rsidR="006A4BEB" w:rsidRPr="0033489D">
              <w:rPr>
                <w:rStyle w:val="Hyperlink"/>
              </w:rPr>
              <w:t>Section 500. Legal Documents.</w:t>
            </w:r>
            <w:r w:rsidR="006A4BEB">
              <w:rPr>
                <w:webHidden/>
              </w:rPr>
              <w:tab/>
            </w:r>
            <w:r w:rsidR="006A4BEB">
              <w:rPr>
                <w:webHidden/>
              </w:rPr>
              <w:fldChar w:fldCharType="begin"/>
            </w:r>
            <w:r w:rsidR="006A4BEB">
              <w:rPr>
                <w:webHidden/>
              </w:rPr>
              <w:instrText xml:space="preserve"> PAGEREF _Toc106173299 \h </w:instrText>
            </w:r>
            <w:r w:rsidR="006A4BEB">
              <w:rPr>
                <w:webHidden/>
              </w:rPr>
            </w:r>
            <w:r w:rsidR="006A4BEB">
              <w:rPr>
                <w:webHidden/>
              </w:rPr>
              <w:fldChar w:fldCharType="separate"/>
            </w:r>
            <w:r w:rsidR="006A4BEB">
              <w:rPr>
                <w:webHidden/>
              </w:rPr>
              <w:t>44</w:t>
            </w:r>
            <w:r w:rsidR="006A4BEB">
              <w:rPr>
                <w:webHidden/>
              </w:rPr>
              <w:fldChar w:fldCharType="end"/>
            </w:r>
          </w:hyperlink>
        </w:p>
        <w:p w14:paraId="65F4EF60" w14:textId="6EB3D171" w:rsidR="006A4BEB" w:rsidRDefault="00CD0B68">
          <w:pPr>
            <w:pStyle w:val="TOC2"/>
            <w:rPr>
              <w:rFonts w:asciiTheme="minorHAnsi" w:eastAsiaTheme="minorEastAsia" w:hAnsiTheme="minorHAnsi" w:cstheme="minorBidi"/>
              <w:sz w:val="22"/>
              <w:szCs w:val="22"/>
            </w:rPr>
          </w:pPr>
          <w:hyperlink w:anchor="_Toc106173300" w:history="1">
            <w:r w:rsidR="006A4BEB" w:rsidRPr="0033489D">
              <w:rPr>
                <w:rStyle w:val="Hyperlink"/>
              </w:rPr>
              <w:t>Section 501.  Defaults and Cancellations.</w:t>
            </w:r>
            <w:r w:rsidR="006A4BEB">
              <w:rPr>
                <w:webHidden/>
              </w:rPr>
              <w:tab/>
            </w:r>
            <w:r w:rsidR="006A4BEB">
              <w:rPr>
                <w:webHidden/>
              </w:rPr>
              <w:fldChar w:fldCharType="begin"/>
            </w:r>
            <w:r w:rsidR="006A4BEB">
              <w:rPr>
                <w:webHidden/>
              </w:rPr>
              <w:instrText xml:space="preserve"> PAGEREF _Toc106173300 \h </w:instrText>
            </w:r>
            <w:r w:rsidR="006A4BEB">
              <w:rPr>
                <w:webHidden/>
              </w:rPr>
            </w:r>
            <w:r w:rsidR="006A4BEB">
              <w:rPr>
                <w:webHidden/>
              </w:rPr>
              <w:fldChar w:fldCharType="separate"/>
            </w:r>
            <w:r w:rsidR="006A4BEB">
              <w:rPr>
                <w:webHidden/>
              </w:rPr>
              <w:t>46</w:t>
            </w:r>
            <w:r w:rsidR="006A4BEB">
              <w:rPr>
                <w:webHidden/>
              </w:rPr>
              <w:fldChar w:fldCharType="end"/>
            </w:r>
          </w:hyperlink>
        </w:p>
        <w:p w14:paraId="00901184" w14:textId="61605D25" w:rsidR="006A4BEB" w:rsidRDefault="00CD0B68">
          <w:pPr>
            <w:pStyle w:val="TOC2"/>
            <w:rPr>
              <w:rFonts w:asciiTheme="minorHAnsi" w:eastAsiaTheme="minorEastAsia" w:hAnsiTheme="minorHAnsi" w:cstheme="minorBidi"/>
              <w:sz w:val="22"/>
              <w:szCs w:val="22"/>
            </w:rPr>
          </w:pPr>
          <w:hyperlink w:anchor="_Toc106173301" w:history="1">
            <w:r w:rsidR="006A4BEB" w:rsidRPr="0033489D">
              <w:rPr>
                <w:rStyle w:val="Hyperlink"/>
              </w:rPr>
              <w:t>Section 502. Reporting Requirements.</w:t>
            </w:r>
            <w:r w:rsidR="006A4BEB">
              <w:rPr>
                <w:webHidden/>
              </w:rPr>
              <w:tab/>
            </w:r>
            <w:r w:rsidR="006A4BEB">
              <w:rPr>
                <w:webHidden/>
              </w:rPr>
              <w:fldChar w:fldCharType="begin"/>
            </w:r>
            <w:r w:rsidR="006A4BEB">
              <w:rPr>
                <w:webHidden/>
              </w:rPr>
              <w:instrText xml:space="preserve"> PAGEREF _Toc106173301 \h </w:instrText>
            </w:r>
            <w:r w:rsidR="006A4BEB">
              <w:rPr>
                <w:webHidden/>
              </w:rPr>
            </w:r>
            <w:r w:rsidR="006A4BEB">
              <w:rPr>
                <w:webHidden/>
              </w:rPr>
              <w:fldChar w:fldCharType="separate"/>
            </w:r>
            <w:r w:rsidR="006A4BEB">
              <w:rPr>
                <w:webHidden/>
              </w:rPr>
              <w:t>47</w:t>
            </w:r>
            <w:r w:rsidR="006A4BEB">
              <w:rPr>
                <w:webHidden/>
              </w:rPr>
              <w:fldChar w:fldCharType="end"/>
            </w:r>
          </w:hyperlink>
        </w:p>
        <w:p w14:paraId="3BF5E9C0" w14:textId="31FCAE0D" w:rsidR="005B7FAE" w:rsidRPr="00B33A7B" w:rsidRDefault="005B7FAE" w:rsidP="0070447A">
          <w:pPr>
            <w:tabs>
              <w:tab w:val="right" w:leader="dot" w:pos="9360"/>
            </w:tabs>
          </w:pPr>
          <w:r w:rsidRPr="00B33A7B">
            <w:rPr>
              <w:b/>
              <w:bCs/>
              <w:noProof/>
            </w:rPr>
            <w:fldChar w:fldCharType="end"/>
          </w:r>
        </w:p>
      </w:sdtContent>
    </w:sdt>
    <w:p w14:paraId="70B131C8" w14:textId="77777777" w:rsidR="00D71146" w:rsidRPr="00B33A7B" w:rsidRDefault="00D71146" w:rsidP="007F07F8">
      <w:pPr>
        <w:rPr>
          <w:rFonts w:cs="Arial"/>
        </w:rPr>
        <w:sectPr w:rsidR="00D71146" w:rsidRPr="00B33A7B" w:rsidSect="003068B3">
          <w:footerReference w:type="even" r:id="rId14"/>
          <w:footerReference w:type="default" r:id="rId15"/>
          <w:pgSz w:w="12240" w:h="15840" w:code="1"/>
          <w:pgMar w:top="1440" w:right="900" w:bottom="1440" w:left="1440" w:header="720" w:footer="415" w:gutter="0"/>
          <w:pgNumType w:start="1"/>
          <w:cols w:space="720"/>
          <w:titlePg/>
          <w:docGrid w:linePitch="360"/>
        </w:sectPr>
      </w:pPr>
    </w:p>
    <w:p w14:paraId="24EB1AC6" w14:textId="19D35D29" w:rsidR="00321199" w:rsidRPr="00B33A7B" w:rsidRDefault="00A3482E" w:rsidP="004E1145">
      <w:pPr>
        <w:pStyle w:val="Style2"/>
        <w:outlineLvl w:val="0"/>
        <w:rPr>
          <w:color w:val="auto"/>
        </w:rPr>
      </w:pPr>
      <w:bookmarkStart w:id="0" w:name="_Toc21277635"/>
      <w:bookmarkStart w:id="1" w:name="_Toc106173280"/>
      <w:r w:rsidRPr="00B33A7B">
        <w:rPr>
          <w:color w:val="auto"/>
        </w:rPr>
        <w:lastRenderedPageBreak/>
        <w:t xml:space="preserve">Article </w:t>
      </w:r>
      <w:r w:rsidR="00F45907" w:rsidRPr="00B33A7B">
        <w:rPr>
          <w:color w:val="auto"/>
        </w:rPr>
        <w:t xml:space="preserve">1. </w:t>
      </w:r>
      <w:bookmarkEnd w:id="0"/>
      <w:r w:rsidRPr="00B33A7B">
        <w:rPr>
          <w:color w:val="auto"/>
        </w:rPr>
        <w:t>General</w:t>
      </w:r>
      <w:r w:rsidR="00B036E5" w:rsidRPr="00B33A7B">
        <w:rPr>
          <w:color w:val="auto"/>
        </w:rPr>
        <w:t>.</w:t>
      </w:r>
      <w:bookmarkEnd w:id="1"/>
    </w:p>
    <w:p w14:paraId="3ABA398E" w14:textId="77777777" w:rsidR="00321199" w:rsidRPr="00B33A7B" w:rsidRDefault="00321199">
      <w:pPr>
        <w:jc w:val="center"/>
        <w:rPr>
          <w:rFonts w:cs="Arial"/>
        </w:rPr>
      </w:pPr>
    </w:p>
    <w:p w14:paraId="153EC8CA" w14:textId="4D7F3073" w:rsidR="00321199" w:rsidRPr="00B33A7B" w:rsidRDefault="00321199" w:rsidP="00A3482E">
      <w:pPr>
        <w:pStyle w:val="Style2"/>
        <w:outlineLvl w:val="1"/>
        <w:rPr>
          <w:color w:val="auto"/>
        </w:rPr>
      </w:pPr>
      <w:bookmarkStart w:id="2" w:name="_Toc21277636"/>
      <w:bookmarkStart w:id="3" w:name="_Toc106173281"/>
      <w:r w:rsidRPr="00B33A7B">
        <w:rPr>
          <w:color w:val="auto"/>
        </w:rPr>
        <w:t xml:space="preserve">Section </w:t>
      </w:r>
      <w:r w:rsidR="00533951" w:rsidRPr="00B33A7B">
        <w:rPr>
          <w:color w:val="auto"/>
        </w:rPr>
        <w:t>100</w:t>
      </w:r>
      <w:r w:rsidRPr="00B33A7B">
        <w:rPr>
          <w:color w:val="auto"/>
        </w:rPr>
        <w:t>. Purpose and Scope</w:t>
      </w:r>
      <w:bookmarkEnd w:id="2"/>
      <w:r w:rsidR="00B036E5" w:rsidRPr="00B33A7B">
        <w:rPr>
          <w:color w:val="auto"/>
        </w:rPr>
        <w:t>.</w:t>
      </w:r>
      <w:bookmarkEnd w:id="3"/>
    </w:p>
    <w:p w14:paraId="034B665A" w14:textId="77777777" w:rsidR="00E4508F" w:rsidRPr="00B33A7B" w:rsidRDefault="00E4508F" w:rsidP="00A3482E">
      <w:pPr>
        <w:pStyle w:val="Style2"/>
        <w:outlineLvl w:val="1"/>
        <w:rPr>
          <w:color w:val="auto"/>
        </w:rPr>
      </w:pPr>
    </w:p>
    <w:p w14:paraId="2062F2F2" w14:textId="1C0429BE" w:rsidR="00321199" w:rsidRPr="00B33A7B" w:rsidRDefault="00321199" w:rsidP="001265B4">
      <w:r w:rsidRPr="00B33A7B">
        <w:rPr>
          <w:rFonts w:cs="Arial"/>
        </w:rPr>
        <w:t xml:space="preserve">The purpose of these </w:t>
      </w:r>
      <w:r w:rsidR="005824F4" w:rsidRPr="00B33A7B">
        <w:rPr>
          <w:rFonts w:cs="Arial"/>
        </w:rPr>
        <w:t xml:space="preserve">Infill Infrastructure Grant Program of 2019 </w:t>
      </w:r>
      <w:r w:rsidRPr="00B33A7B">
        <w:rPr>
          <w:rFonts w:cs="Arial"/>
        </w:rPr>
        <w:t>Guidelines</w:t>
      </w:r>
      <w:r w:rsidR="005824F4" w:rsidRPr="00B33A7B">
        <w:rPr>
          <w:rFonts w:cs="Arial"/>
        </w:rPr>
        <w:t xml:space="preserve"> (</w:t>
      </w:r>
      <w:r w:rsidR="007A65DF" w:rsidRPr="00B33A7B">
        <w:rPr>
          <w:rFonts w:cs="Arial"/>
        </w:rPr>
        <w:t>IIG</w:t>
      </w:r>
      <w:r w:rsidR="00545B13" w:rsidRPr="00B33A7B">
        <w:rPr>
          <w:rFonts w:cs="Arial"/>
        </w:rPr>
        <w:t>-2019 or Guidelines</w:t>
      </w:r>
      <w:r w:rsidR="005824F4" w:rsidRPr="00B33A7B">
        <w:rPr>
          <w:rFonts w:cs="Arial"/>
        </w:rPr>
        <w:t>)</w:t>
      </w:r>
      <w:r w:rsidRPr="00B33A7B">
        <w:rPr>
          <w:rFonts w:cs="Arial"/>
        </w:rPr>
        <w:t xml:space="preserve"> is to implement and interpret </w:t>
      </w:r>
      <w:r w:rsidR="005824F4" w:rsidRPr="00B33A7B">
        <w:rPr>
          <w:rFonts w:cs="Arial"/>
        </w:rPr>
        <w:t xml:space="preserve">Part 12.5 (commencing with </w:t>
      </w:r>
      <w:r w:rsidR="00295294" w:rsidRPr="00B33A7B">
        <w:rPr>
          <w:rFonts w:cs="Arial"/>
        </w:rPr>
        <w:t xml:space="preserve">Section </w:t>
      </w:r>
      <w:r w:rsidR="005824F4" w:rsidRPr="00B33A7B">
        <w:rPr>
          <w:rFonts w:cs="Arial"/>
        </w:rPr>
        <w:t>53559) of Division 31 of the</w:t>
      </w:r>
      <w:r w:rsidR="00DB31E0" w:rsidRPr="00B33A7B">
        <w:rPr>
          <w:rFonts w:cs="Arial"/>
        </w:rPr>
        <w:t xml:space="preserve"> Health and Safety Code</w:t>
      </w:r>
      <w:r w:rsidR="00A85E00" w:rsidRPr="00B33A7B">
        <w:rPr>
          <w:rFonts w:cs="Arial"/>
        </w:rPr>
        <w:t xml:space="preserve"> (HSC)</w:t>
      </w:r>
      <w:r w:rsidR="005824F4" w:rsidRPr="00B33A7B">
        <w:rPr>
          <w:rFonts w:cs="Arial"/>
        </w:rPr>
        <w:t>,</w:t>
      </w:r>
      <w:r w:rsidRPr="00B33A7B">
        <w:rPr>
          <w:rFonts w:cs="Arial"/>
        </w:rPr>
        <w:t xml:space="preserve"> which establishes the Infill In</w:t>
      </w:r>
      <w:r w:rsidR="00DB31E0" w:rsidRPr="00B33A7B">
        <w:rPr>
          <w:rFonts w:cs="Arial"/>
        </w:rPr>
        <w:t xml:space="preserve">frastructure </w:t>
      </w:r>
      <w:r w:rsidRPr="00B33A7B">
        <w:rPr>
          <w:rFonts w:cs="Arial"/>
        </w:rPr>
        <w:t xml:space="preserve">Grant </w:t>
      </w:r>
      <w:r w:rsidR="00DB31E0" w:rsidRPr="00B33A7B">
        <w:rPr>
          <w:rFonts w:cs="Arial"/>
        </w:rPr>
        <w:t>P</w:t>
      </w:r>
      <w:r w:rsidRPr="00B33A7B">
        <w:rPr>
          <w:rFonts w:cs="Arial"/>
        </w:rPr>
        <w:t xml:space="preserve">rogram </w:t>
      </w:r>
      <w:r w:rsidR="00234970" w:rsidRPr="00B33A7B">
        <w:rPr>
          <w:rFonts w:cs="Arial"/>
        </w:rPr>
        <w:t xml:space="preserve">of </w:t>
      </w:r>
      <w:r w:rsidR="00D611D5" w:rsidRPr="00B33A7B">
        <w:rPr>
          <w:rFonts w:cs="Arial"/>
        </w:rPr>
        <w:t>2019</w:t>
      </w:r>
      <w:r w:rsidRPr="00B33A7B">
        <w:rPr>
          <w:rFonts w:cs="Arial"/>
        </w:rPr>
        <w:t xml:space="preserve">, hereinafter referred to as the Infill Infrastructure Grant </w:t>
      </w:r>
      <w:r w:rsidR="00F97B1B" w:rsidRPr="00B33A7B">
        <w:rPr>
          <w:rFonts w:cs="Arial"/>
        </w:rPr>
        <w:t>Program (IIG</w:t>
      </w:r>
      <w:r w:rsidR="008F15A0" w:rsidRPr="00B33A7B">
        <w:rPr>
          <w:rFonts w:cs="Arial"/>
        </w:rPr>
        <w:t>-2019</w:t>
      </w:r>
      <w:r w:rsidR="00F97B1B" w:rsidRPr="00B33A7B">
        <w:rPr>
          <w:rFonts w:cs="Arial"/>
        </w:rPr>
        <w:t xml:space="preserve"> or Program)</w:t>
      </w:r>
      <w:r w:rsidRPr="00B33A7B">
        <w:rPr>
          <w:rFonts w:cs="Arial"/>
        </w:rPr>
        <w:t>.</w:t>
      </w:r>
    </w:p>
    <w:p w14:paraId="4A9E7758" w14:textId="61309B9F" w:rsidR="00321199" w:rsidRPr="00B33A7B" w:rsidRDefault="00321199" w:rsidP="00344447">
      <w:pPr>
        <w:pStyle w:val="Default"/>
        <w:tabs>
          <w:tab w:val="left" w:pos="8997"/>
        </w:tabs>
        <w:spacing w:before="120"/>
        <w:ind w:right="90"/>
        <w:rPr>
          <w:color w:val="auto"/>
        </w:rPr>
      </w:pPr>
      <w:r w:rsidRPr="00B33A7B">
        <w:rPr>
          <w:color w:val="auto"/>
        </w:rPr>
        <w:t xml:space="preserve">The </w:t>
      </w:r>
      <w:r w:rsidR="008A27CA" w:rsidRPr="00B33A7B">
        <w:rPr>
          <w:color w:val="auto"/>
        </w:rPr>
        <w:t>P</w:t>
      </w:r>
      <w:r w:rsidRPr="00B33A7B">
        <w:rPr>
          <w:color w:val="auto"/>
        </w:rPr>
        <w:t>rogram</w:t>
      </w:r>
      <w:r w:rsidR="00D611D5" w:rsidRPr="00B33A7B">
        <w:rPr>
          <w:color w:val="auto"/>
        </w:rPr>
        <w:t>’s</w:t>
      </w:r>
      <w:r w:rsidRPr="00B33A7B">
        <w:rPr>
          <w:color w:val="auto"/>
        </w:rPr>
        <w:t xml:space="preserve"> primary objective is to prom</w:t>
      </w:r>
      <w:r w:rsidR="00D71146" w:rsidRPr="00B33A7B">
        <w:rPr>
          <w:color w:val="auto"/>
        </w:rPr>
        <w:t>ote infill housing development</w:t>
      </w:r>
      <w:r w:rsidR="00EB19AD" w:rsidRPr="00B33A7B">
        <w:rPr>
          <w:color w:val="auto"/>
        </w:rPr>
        <w:t xml:space="preserve"> </w:t>
      </w:r>
      <w:r w:rsidRPr="00B33A7B">
        <w:rPr>
          <w:color w:val="auto"/>
        </w:rPr>
        <w:t xml:space="preserve">by providing financial assistance for </w:t>
      </w:r>
      <w:r w:rsidR="001175A9" w:rsidRPr="00B33A7B">
        <w:rPr>
          <w:color w:val="auto"/>
        </w:rPr>
        <w:t>Capital Improvement Projects (</w:t>
      </w:r>
      <w:r w:rsidR="00F21655" w:rsidRPr="00B33A7B">
        <w:rPr>
          <w:color w:val="auto"/>
        </w:rPr>
        <w:t xml:space="preserve">Capital Improvement Projects </w:t>
      </w:r>
      <w:r w:rsidR="001175A9" w:rsidRPr="00B33A7B">
        <w:rPr>
          <w:color w:val="auto"/>
        </w:rPr>
        <w:t>or CIP</w:t>
      </w:r>
      <w:r w:rsidR="00F21655" w:rsidRPr="00B33A7B">
        <w:rPr>
          <w:color w:val="auto"/>
        </w:rPr>
        <w:t>),</w:t>
      </w:r>
      <w:r w:rsidRPr="00B33A7B">
        <w:rPr>
          <w:color w:val="auto"/>
        </w:rPr>
        <w:t xml:space="preserve"> </w:t>
      </w:r>
      <w:r w:rsidR="00BC3105" w:rsidRPr="00B33A7B">
        <w:rPr>
          <w:color w:val="auto"/>
        </w:rPr>
        <w:t xml:space="preserve">that are an integral part of, or necessary to facilitate </w:t>
      </w:r>
      <w:r w:rsidR="00D04990" w:rsidRPr="00B33A7B">
        <w:rPr>
          <w:color w:val="auto"/>
        </w:rPr>
        <w:t>the development of, a Qualifying Infill Project (Qualifying Infill Project or QIP) or Qualifying Infill Area (Qualifying Infill Area or QIA)</w:t>
      </w:r>
      <w:r w:rsidRPr="00B33A7B">
        <w:rPr>
          <w:color w:val="auto"/>
        </w:rPr>
        <w:t>.</w:t>
      </w:r>
    </w:p>
    <w:p w14:paraId="16296D6E" w14:textId="4BEEFB16" w:rsidR="00321199" w:rsidRPr="00B33A7B" w:rsidRDefault="00321199" w:rsidP="00344447">
      <w:pPr>
        <w:pStyle w:val="Default"/>
        <w:tabs>
          <w:tab w:val="left" w:pos="8997"/>
        </w:tabs>
        <w:spacing w:before="120"/>
        <w:ind w:right="90"/>
        <w:rPr>
          <w:color w:val="auto"/>
        </w:rPr>
      </w:pPr>
      <w:r w:rsidRPr="00B33A7B">
        <w:rPr>
          <w:color w:val="auto"/>
        </w:rPr>
        <w:t xml:space="preserve">Under the </w:t>
      </w:r>
      <w:r w:rsidR="00B45F19" w:rsidRPr="00B33A7B">
        <w:rPr>
          <w:color w:val="auto"/>
        </w:rPr>
        <w:t>P</w:t>
      </w:r>
      <w:r w:rsidRPr="00B33A7B">
        <w:rPr>
          <w:color w:val="auto"/>
        </w:rPr>
        <w:t>rogram, grants are available as gap funding for infrastructure improvements necessary for specific residential or mixed-use infill development projects</w:t>
      </w:r>
      <w:r w:rsidR="001B3FFF" w:rsidRPr="00B33A7B">
        <w:rPr>
          <w:color w:val="auto"/>
        </w:rPr>
        <w:t xml:space="preserve"> or areas</w:t>
      </w:r>
      <w:r w:rsidR="00D71146" w:rsidRPr="00B33A7B">
        <w:rPr>
          <w:color w:val="auto"/>
        </w:rPr>
        <w:t>.</w:t>
      </w:r>
      <w:r w:rsidRPr="00B33A7B">
        <w:rPr>
          <w:color w:val="auto"/>
        </w:rPr>
        <w:t xml:space="preserve"> Both </w:t>
      </w:r>
      <w:r w:rsidR="001B550D" w:rsidRPr="00B33A7B">
        <w:rPr>
          <w:color w:val="auto"/>
        </w:rPr>
        <w:t>Qualifying I</w:t>
      </w:r>
      <w:r w:rsidRPr="00B33A7B">
        <w:rPr>
          <w:color w:val="auto"/>
        </w:rPr>
        <w:t xml:space="preserve">nfill </w:t>
      </w:r>
      <w:r w:rsidR="001B550D" w:rsidRPr="00B33A7B">
        <w:rPr>
          <w:color w:val="auto"/>
        </w:rPr>
        <w:t>P</w:t>
      </w:r>
      <w:r w:rsidRPr="00B33A7B">
        <w:rPr>
          <w:color w:val="auto"/>
        </w:rPr>
        <w:t xml:space="preserve">rojects and </w:t>
      </w:r>
      <w:r w:rsidR="001B550D" w:rsidRPr="00B33A7B">
        <w:rPr>
          <w:color w:val="auto"/>
        </w:rPr>
        <w:t>Qualifying Infill A</w:t>
      </w:r>
      <w:r w:rsidRPr="00B33A7B">
        <w:rPr>
          <w:color w:val="auto"/>
        </w:rPr>
        <w:t>reas must have</w:t>
      </w:r>
      <w:r w:rsidR="00C528BF" w:rsidRPr="00B33A7B">
        <w:rPr>
          <w:color w:val="auto"/>
        </w:rPr>
        <w:t xml:space="preserve"> either</w:t>
      </w:r>
      <w:r w:rsidRPr="00B33A7B">
        <w:rPr>
          <w:color w:val="auto"/>
        </w:rPr>
        <w:t xml:space="preserve"> been previously developed or be largely surrounded by </w:t>
      </w:r>
      <w:r w:rsidR="00BE59C1" w:rsidRPr="00B33A7B">
        <w:rPr>
          <w:color w:val="auto"/>
        </w:rPr>
        <w:t xml:space="preserve">sites that are developed with </w:t>
      </w:r>
      <w:r w:rsidR="006E5E97" w:rsidRPr="00B33A7B">
        <w:rPr>
          <w:color w:val="auto"/>
        </w:rPr>
        <w:t>U</w:t>
      </w:r>
      <w:r w:rsidR="00BE59C1" w:rsidRPr="00B33A7B">
        <w:rPr>
          <w:color w:val="auto"/>
        </w:rPr>
        <w:t xml:space="preserve">rban </w:t>
      </w:r>
      <w:r w:rsidR="006E5E97" w:rsidRPr="00B33A7B">
        <w:rPr>
          <w:color w:val="auto"/>
        </w:rPr>
        <w:t>U</w:t>
      </w:r>
      <w:r w:rsidR="00BE59C1" w:rsidRPr="00B33A7B">
        <w:rPr>
          <w:color w:val="auto"/>
        </w:rPr>
        <w:t>ses</w:t>
      </w:r>
      <w:r w:rsidRPr="00B33A7B">
        <w:rPr>
          <w:color w:val="auto"/>
        </w:rPr>
        <w:t xml:space="preserve">. </w:t>
      </w:r>
      <w:r w:rsidR="007C58B7" w:rsidRPr="00B33A7B">
        <w:rPr>
          <w:color w:val="auto"/>
        </w:rPr>
        <w:t>E</w:t>
      </w:r>
      <w:r w:rsidRPr="00B33A7B">
        <w:rPr>
          <w:color w:val="auto"/>
        </w:rPr>
        <w:t xml:space="preserve">ligible improvements </w:t>
      </w:r>
      <w:r w:rsidR="001C2D2F" w:rsidRPr="00B33A7B">
        <w:rPr>
          <w:color w:val="auto"/>
        </w:rPr>
        <w:t>include</w:t>
      </w:r>
      <w:r w:rsidRPr="00B33A7B">
        <w:rPr>
          <w:color w:val="auto"/>
        </w:rPr>
        <w:t xml:space="preserve"> development of </w:t>
      </w:r>
      <w:r w:rsidR="007C58B7" w:rsidRPr="00B33A7B">
        <w:rPr>
          <w:color w:val="auto"/>
        </w:rPr>
        <w:t>P</w:t>
      </w:r>
      <w:r w:rsidR="001F39B9" w:rsidRPr="00B33A7B">
        <w:rPr>
          <w:color w:val="auto"/>
        </w:rPr>
        <w:t>arks or O</w:t>
      </w:r>
      <w:r w:rsidRPr="00B33A7B">
        <w:rPr>
          <w:color w:val="auto"/>
        </w:rPr>
        <w:t xml:space="preserve">pen </w:t>
      </w:r>
      <w:r w:rsidR="007C58B7" w:rsidRPr="00B33A7B">
        <w:rPr>
          <w:color w:val="auto"/>
        </w:rPr>
        <w:t>S</w:t>
      </w:r>
      <w:r w:rsidRPr="00B33A7B">
        <w:rPr>
          <w:color w:val="auto"/>
        </w:rPr>
        <w:t xml:space="preserve">pace, water, sewer or other utility service improvements, streets, roads, parking structures, transit linkages, transit shelters, traffic mitigation features, </w:t>
      </w:r>
      <w:r w:rsidR="003D75FF" w:rsidRPr="00B33A7B">
        <w:rPr>
          <w:color w:val="auto"/>
        </w:rPr>
        <w:t xml:space="preserve">site preparation or demolition, </w:t>
      </w:r>
      <w:r w:rsidRPr="00B33A7B">
        <w:rPr>
          <w:color w:val="auto"/>
        </w:rPr>
        <w:t>sidewalks</w:t>
      </w:r>
      <w:r w:rsidR="001C2D2F" w:rsidRPr="00B33A7B">
        <w:rPr>
          <w:color w:val="auto"/>
        </w:rPr>
        <w:t>,</w:t>
      </w:r>
      <w:r w:rsidRPr="00B33A7B">
        <w:rPr>
          <w:color w:val="auto"/>
        </w:rPr>
        <w:t xml:space="preserve"> and streetscape improvements.</w:t>
      </w:r>
    </w:p>
    <w:p w14:paraId="5B9FE22C" w14:textId="77777777" w:rsidR="003F0B9D" w:rsidRPr="00B33A7B" w:rsidRDefault="003F0B9D" w:rsidP="00344447">
      <w:pPr>
        <w:pStyle w:val="Default"/>
        <w:tabs>
          <w:tab w:val="left" w:pos="8997"/>
        </w:tabs>
        <w:spacing w:before="120"/>
        <w:ind w:right="90"/>
        <w:rPr>
          <w:color w:val="auto"/>
        </w:rPr>
      </w:pPr>
    </w:p>
    <w:p w14:paraId="269829C0" w14:textId="5F2E78DF" w:rsidR="007F0066" w:rsidRPr="00B33A7B" w:rsidRDefault="7F103A90" w:rsidP="00993D09">
      <w:pPr>
        <w:pStyle w:val="ListParagraph"/>
        <w:widowControl w:val="0"/>
        <w:numPr>
          <w:ilvl w:val="0"/>
          <w:numId w:val="29"/>
        </w:numPr>
        <w:autoSpaceDE w:val="0"/>
        <w:autoSpaceDN w:val="0"/>
        <w:ind w:left="720" w:hanging="720"/>
        <w:rPr>
          <w:rFonts w:cs="Arial"/>
        </w:rPr>
      </w:pPr>
      <w:r w:rsidRPr="00B33A7B">
        <w:rPr>
          <w:rFonts w:cs="Arial"/>
        </w:rPr>
        <w:t xml:space="preserve">The </w:t>
      </w:r>
      <w:r w:rsidR="6E0F29E4" w:rsidRPr="00B33A7B">
        <w:rPr>
          <w:rFonts w:cs="Arial"/>
        </w:rPr>
        <w:t>IIG-2019 G</w:t>
      </w:r>
      <w:r w:rsidRPr="00B33A7B">
        <w:rPr>
          <w:rFonts w:cs="Arial"/>
        </w:rPr>
        <w:t>uidelines</w:t>
      </w:r>
      <w:r w:rsidR="0D0D621F" w:rsidRPr="00B33A7B">
        <w:rPr>
          <w:rFonts w:cs="Arial"/>
        </w:rPr>
        <w:t xml:space="preserve"> address Qualifying Infill Are</w:t>
      </w:r>
      <w:r w:rsidR="29816E58" w:rsidRPr="00B33A7B">
        <w:rPr>
          <w:rFonts w:cs="Arial"/>
        </w:rPr>
        <w:t>a</w:t>
      </w:r>
      <w:r w:rsidR="0D0D621F" w:rsidRPr="00B33A7B">
        <w:rPr>
          <w:rFonts w:cs="Arial"/>
        </w:rPr>
        <w:t>s in Large Jurisdictions</w:t>
      </w:r>
      <w:r w:rsidR="00C008F0" w:rsidRPr="00B33A7B">
        <w:rPr>
          <w:rFonts w:cs="Arial"/>
        </w:rPr>
        <w:t xml:space="preserve"> and both </w:t>
      </w:r>
      <w:r w:rsidR="04CE1E32" w:rsidRPr="00B33A7B">
        <w:rPr>
          <w:rFonts w:cs="Arial"/>
        </w:rPr>
        <w:t>Qualifying Infill Areas and Qualifying Infill Projects in Small Jurisdictions</w:t>
      </w:r>
      <w:r w:rsidR="33AB4A05" w:rsidRPr="00B33A7B">
        <w:rPr>
          <w:rFonts w:cs="Arial"/>
        </w:rPr>
        <w:t>, as specified more fully below:</w:t>
      </w:r>
      <w:r w:rsidRPr="00B33A7B">
        <w:rPr>
          <w:rFonts w:cs="Arial"/>
        </w:rPr>
        <w:t xml:space="preserve"> </w:t>
      </w:r>
    </w:p>
    <w:p w14:paraId="38A493C0" w14:textId="77777777" w:rsidR="003A013F" w:rsidRPr="00B33A7B" w:rsidRDefault="003A013F" w:rsidP="00D0584C">
      <w:pPr>
        <w:pStyle w:val="ListParagraph"/>
        <w:widowControl w:val="0"/>
        <w:autoSpaceDE w:val="0"/>
        <w:autoSpaceDN w:val="0"/>
        <w:rPr>
          <w:rFonts w:cs="Arial"/>
          <w:color w:val="FF0000"/>
        </w:rPr>
      </w:pPr>
    </w:p>
    <w:p w14:paraId="218D17A4" w14:textId="31440605" w:rsidR="007A1847" w:rsidRPr="00B33A7B" w:rsidRDefault="007F0066" w:rsidP="00993D09">
      <w:pPr>
        <w:pStyle w:val="ListParagraph"/>
        <w:numPr>
          <w:ilvl w:val="0"/>
          <w:numId w:val="26"/>
        </w:numPr>
        <w:ind w:right="360" w:hanging="720"/>
        <w:rPr>
          <w:rFonts w:cs="Arial"/>
        </w:rPr>
      </w:pPr>
      <w:r w:rsidRPr="00B33A7B">
        <w:rPr>
          <w:rFonts w:cs="Arial"/>
        </w:rPr>
        <w:t>Qualifying Infill Areas in Large Jurisdictions.</w:t>
      </w:r>
      <w:r w:rsidR="003A013F" w:rsidRPr="00B33A7B">
        <w:rPr>
          <w:rFonts w:cs="Arial"/>
        </w:rPr>
        <w:t xml:space="preserve"> </w:t>
      </w:r>
    </w:p>
    <w:p w14:paraId="19A7B8AC" w14:textId="77777777" w:rsidR="00D0584C" w:rsidRPr="00B33A7B" w:rsidRDefault="00D0584C" w:rsidP="00D0584C">
      <w:pPr>
        <w:pStyle w:val="ListParagraph"/>
        <w:widowControl w:val="0"/>
        <w:autoSpaceDE w:val="0"/>
        <w:autoSpaceDN w:val="0"/>
        <w:rPr>
          <w:rFonts w:cs="Arial"/>
          <w:color w:val="FF0000"/>
        </w:rPr>
      </w:pPr>
    </w:p>
    <w:p w14:paraId="4E2C5C01" w14:textId="77777777" w:rsidR="0047244E" w:rsidRPr="00B33A7B" w:rsidRDefault="0047244E" w:rsidP="00993D09">
      <w:pPr>
        <w:pStyle w:val="ListParagraph"/>
        <w:numPr>
          <w:ilvl w:val="0"/>
          <w:numId w:val="3"/>
        </w:numPr>
        <w:ind w:left="2160" w:right="90" w:hanging="720"/>
        <w:rPr>
          <w:rFonts w:cs="Arial"/>
        </w:rPr>
      </w:pPr>
      <w:r w:rsidRPr="00B33A7B">
        <w:rPr>
          <w:rFonts w:cs="Arial"/>
        </w:rPr>
        <w:t xml:space="preserve">Funds will be allocated through a competitive process, based on the merits of the individual application. </w:t>
      </w:r>
    </w:p>
    <w:p w14:paraId="1F8E2F96" w14:textId="77777777" w:rsidR="0047244E" w:rsidRPr="00B33A7B" w:rsidRDefault="0047244E" w:rsidP="0047244E">
      <w:pPr>
        <w:pStyle w:val="ListParagraph"/>
        <w:ind w:left="2160" w:right="90"/>
        <w:rPr>
          <w:rFonts w:cs="Arial"/>
        </w:rPr>
      </w:pPr>
    </w:p>
    <w:p w14:paraId="3482B8BF" w14:textId="5E54601A" w:rsidR="00293506" w:rsidRPr="00B33A7B" w:rsidRDefault="65D70065" w:rsidP="0047244E">
      <w:pPr>
        <w:pStyle w:val="ListParagraph"/>
        <w:ind w:left="2160" w:right="90"/>
        <w:rPr>
          <w:rFonts w:cs="Arial"/>
        </w:rPr>
      </w:pPr>
      <w:r w:rsidRPr="00B33A7B">
        <w:rPr>
          <w:rFonts w:cs="Arial"/>
        </w:rPr>
        <w:t xml:space="preserve">Applications shall be rated using the Scoring Criteria outlined in the NOFA. </w:t>
      </w:r>
      <w:r w:rsidR="077E3D1D" w:rsidRPr="00B33A7B">
        <w:rPr>
          <w:rFonts w:cs="Arial"/>
        </w:rPr>
        <w:t xml:space="preserve">The </w:t>
      </w:r>
      <w:r w:rsidR="47FB3EA2" w:rsidRPr="00B33A7B">
        <w:rPr>
          <w:rFonts w:cs="Arial"/>
        </w:rPr>
        <w:t>Scoring Criteria</w:t>
      </w:r>
      <w:r w:rsidR="077E3D1D" w:rsidRPr="00B33A7B">
        <w:rPr>
          <w:rFonts w:cs="Arial"/>
        </w:rPr>
        <w:t xml:space="preserve"> </w:t>
      </w:r>
      <w:r w:rsidR="00C008F0" w:rsidRPr="00B33A7B">
        <w:rPr>
          <w:rFonts w:cs="Arial"/>
        </w:rPr>
        <w:t xml:space="preserve">will </w:t>
      </w:r>
      <w:r w:rsidR="077E3D1D" w:rsidRPr="00B33A7B">
        <w:rPr>
          <w:rFonts w:cs="Arial"/>
        </w:rPr>
        <w:t>include the following</w:t>
      </w:r>
      <w:r w:rsidR="003A390E" w:rsidRPr="00B33A7B">
        <w:rPr>
          <w:rFonts w:cs="Arial"/>
        </w:rPr>
        <w:t xml:space="preserve"> </w:t>
      </w:r>
      <w:r w:rsidR="077E3D1D" w:rsidRPr="00B33A7B">
        <w:rPr>
          <w:rFonts w:cs="Arial"/>
        </w:rPr>
        <w:t xml:space="preserve">categories: extent to which the project serves households at the lowest income levels, state policy priorities, </w:t>
      </w:r>
      <w:r w:rsidR="00FC0B5C" w:rsidRPr="00B33A7B">
        <w:rPr>
          <w:rFonts w:cs="Arial"/>
        </w:rPr>
        <w:t>p</w:t>
      </w:r>
      <w:r w:rsidR="077E3D1D" w:rsidRPr="00B33A7B">
        <w:rPr>
          <w:rFonts w:cs="Arial"/>
        </w:rPr>
        <w:t>roject Applicant and property manager experience, project readiness, adaptive reuse/infill/proximity to amenities, sustainable building methods, cost containment</w:t>
      </w:r>
      <w:r w:rsidR="2EDAEFEC" w:rsidRPr="00B33A7B">
        <w:rPr>
          <w:rFonts w:cs="Arial"/>
        </w:rPr>
        <w:t xml:space="preserve">, and </w:t>
      </w:r>
      <w:r w:rsidR="63373F32" w:rsidRPr="00B33A7B">
        <w:rPr>
          <w:rFonts w:cs="Arial"/>
        </w:rPr>
        <w:t>prohousing policies</w:t>
      </w:r>
      <w:r w:rsidR="2DD047D4" w:rsidRPr="00B33A7B">
        <w:rPr>
          <w:rFonts w:cs="Arial"/>
        </w:rPr>
        <w:t>.</w:t>
      </w:r>
    </w:p>
    <w:p w14:paraId="5ED517DF" w14:textId="77777777" w:rsidR="00262935" w:rsidRPr="00B33A7B" w:rsidRDefault="00262935" w:rsidP="00262935">
      <w:pPr>
        <w:ind w:right="360"/>
        <w:rPr>
          <w:rFonts w:cs="Arial"/>
        </w:rPr>
      </w:pPr>
    </w:p>
    <w:p w14:paraId="331F7296" w14:textId="77777777" w:rsidR="000B4E99" w:rsidRPr="00B33A7B" w:rsidRDefault="007F0066" w:rsidP="00993D09">
      <w:pPr>
        <w:pStyle w:val="ListParagraph"/>
        <w:numPr>
          <w:ilvl w:val="0"/>
          <w:numId w:val="26"/>
        </w:numPr>
        <w:ind w:right="360" w:hanging="720"/>
        <w:rPr>
          <w:rFonts w:cs="Arial"/>
        </w:rPr>
      </w:pPr>
      <w:r w:rsidRPr="00B33A7B">
        <w:rPr>
          <w:rFonts w:cs="Arial"/>
        </w:rPr>
        <w:t xml:space="preserve">Qualifying Infill </w:t>
      </w:r>
      <w:r w:rsidR="001167AF" w:rsidRPr="00B33A7B">
        <w:rPr>
          <w:rFonts w:cs="Arial"/>
        </w:rPr>
        <w:t>Areas</w:t>
      </w:r>
      <w:r w:rsidRPr="00B33A7B">
        <w:rPr>
          <w:rFonts w:cs="Arial"/>
        </w:rPr>
        <w:t xml:space="preserve"> </w:t>
      </w:r>
      <w:r w:rsidR="00ED549A" w:rsidRPr="00B33A7B">
        <w:rPr>
          <w:rFonts w:cs="Arial"/>
        </w:rPr>
        <w:t xml:space="preserve">and Qualifying Infill </w:t>
      </w:r>
      <w:r w:rsidR="001167AF" w:rsidRPr="00B33A7B">
        <w:rPr>
          <w:rFonts w:cs="Arial"/>
        </w:rPr>
        <w:t>Projects</w:t>
      </w:r>
      <w:r w:rsidR="00ED549A" w:rsidRPr="00B33A7B">
        <w:rPr>
          <w:rFonts w:cs="Arial"/>
        </w:rPr>
        <w:t xml:space="preserve"> </w:t>
      </w:r>
      <w:r w:rsidRPr="00B33A7B">
        <w:rPr>
          <w:rFonts w:cs="Arial"/>
        </w:rPr>
        <w:t>in Small Jurisdictions.</w:t>
      </w:r>
    </w:p>
    <w:p w14:paraId="7671297D" w14:textId="77777777" w:rsidR="00324957" w:rsidRPr="00B33A7B" w:rsidRDefault="00324957" w:rsidP="00324957">
      <w:pPr>
        <w:pStyle w:val="ListParagraph"/>
        <w:ind w:left="1440" w:right="360"/>
        <w:rPr>
          <w:rFonts w:cs="Arial"/>
        </w:rPr>
      </w:pPr>
    </w:p>
    <w:p w14:paraId="480B11C1" w14:textId="49AAC007" w:rsidR="003A6767" w:rsidRPr="00B33A7B" w:rsidRDefault="006A017B" w:rsidP="00993D09">
      <w:pPr>
        <w:pStyle w:val="ListParagraph"/>
        <w:numPr>
          <w:ilvl w:val="0"/>
          <w:numId w:val="56"/>
        </w:numPr>
        <w:ind w:left="2160" w:right="90" w:hanging="720"/>
        <w:rPr>
          <w:rFonts w:cs="Arial"/>
        </w:rPr>
      </w:pPr>
      <w:r w:rsidRPr="00B33A7B">
        <w:rPr>
          <w:rFonts w:cs="Arial"/>
        </w:rPr>
        <w:t>Appli</w:t>
      </w:r>
      <w:r w:rsidR="00F07632" w:rsidRPr="00B33A7B">
        <w:rPr>
          <w:rFonts w:cs="Arial"/>
        </w:rPr>
        <w:t xml:space="preserve">cations for Qualifying Infill </w:t>
      </w:r>
      <w:r w:rsidR="000B4E99" w:rsidRPr="00B33A7B">
        <w:rPr>
          <w:rFonts w:cs="Arial"/>
        </w:rPr>
        <w:t>Areas</w:t>
      </w:r>
      <w:r w:rsidR="00F07632" w:rsidRPr="00B33A7B">
        <w:rPr>
          <w:rFonts w:cs="Arial"/>
        </w:rPr>
        <w:t xml:space="preserve"> and Qualifying Infill </w:t>
      </w:r>
      <w:r w:rsidR="000B4E99" w:rsidRPr="00B33A7B">
        <w:rPr>
          <w:rFonts w:cs="Arial"/>
        </w:rPr>
        <w:t>Projects</w:t>
      </w:r>
      <w:r w:rsidR="00F07632" w:rsidRPr="00B33A7B">
        <w:rPr>
          <w:rFonts w:cs="Arial"/>
        </w:rPr>
        <w:t xml:space="preserve"> in Small Jurisdictions will be accepted </w:t>
      </w:r>
      <w:r w:rsidR="003F73BC" w:rsidRPr="00B33A7B">
        <w:rPr>
          <w:rFonts w:cs="Arial"/>
        </w:rPr>
        <w:t xml:space="preserve">and evaluated </w:t>
      </w:r>
      <w:r w:rsidR="00EF7E3B" w:rsidRPr="00B33A7B">
        <w:rPr>
          <w:rFonts w:cs="Arial"/>
        </w:rPr>
        <w:t xml:space="preserve">on a continuous basis via an </w:t>
      </w:r>
      <w:r w:rsidR="0061166E">
        <w:rPr>
          <w:rFonts w:cs="Arial"/>
        </w:rPr>
        <w:t>O</w:t>
      </w:r>
      <w:r w:rsidR="0061166E" w:rsidRPr="00B33A7B">
        <w:rPr>
          <w:rFonts w:cs="Arial"/>
        </w:rPr>
        <w:t>ver</w:t>
      </w:r>
      <w:r w:rsidR="00EF7E3B" w:rsidRPr="00B33A7B">
        <w:rPr>
          <w:rFonts w:cs="Arial"/>
        </w:rPr>
        <w:t>-the-</w:t>
      </w:r>
      <w:r w:rsidR="00BC7696">
        <w:rPr>
          <w:rFonts w:cs="Arial"/>
        </w:rPr>
        <w:t>C</w:t>
      </w:r>
      <w:r w:rsidR="00BC7696" w:rsidRPr="00B33A7B">
        <w:rPr>
          <w:rFonts w:cs="Arial"/>
        </w:rPr>
        <w:t>ounter</w:t>
      </w:r>
      <w:r w:rsidR="00EF7E3B" w:rsidRPr="00B33A7B">
        <w:rPr>
          <w:rFonts w:cs="Arial"/>
        </w:rPr>
        <w:t xml:space="preserve"> </w:t>
      </w:r>
      <w:r w:rsidR="00705826" w:rsidRPr="00B33A7B">
        <w:rPr>
          <w:rFonts w:cs="Arial"/>
        </w:rPr>
        <w:t xml:space="preserve">process. </w:t>
      </w:r>
      <w:r w:rsidR="78BF1F61" w:rsidRPr="00B33A7B">
        <w:rPr>
          <w:rFonts w:cs="Arial"/>
        </w:rPr>
        <w:t xml:space="preserve"> </w:t>
      </w:r>
    </w:p>
    <w:p w14:paraId="1E86102E" w14:textId="77777777" w:rsidR="00DA01D8" w:rsidRPr="00B33A7B" w:rsidRDefault="00DA01D8" w:rsidP="00DA01D8">
      <w:pPr>
        <w:pStyle w:val="ListParagraph"/>
        <w:ind w:left="2160" w:right="90"/>
        <w:rPr>
          <w:rFonts w:cs="Arial"/>
        </w:rPr>
      </w:pPr>
    </w:p>
    <w:p w14:paraId="530B6506" w14:textId="7EF4A8DE" w:rsidR="002C0202" w:rsidRPr="00B33A7B" w:rsidRDefault="002C0202" w:rsidP="002C0202">
      <w:pPr>
        <w:pStyle w:val="ListParagraph"/>
        <w:widowControl w:val="0"/>
        <w:numPr>
          <w:ilvl w:val="0"/>
          <w:numId w:val="29"/>
        </w:numPr>
        <w:autoSpaceDE w:val="0"/>
        <w:autoSpaceDN w:val="0"/>
        <w:ind w:left="720" w:hanging="720"/>
        <w:rPr>
          <w:rFonts w:cs="Arial"/>
        </w:rPr>
      </w:pPr>
      <w:r w:rsidRPr="00B33A7B">
        <w:rPr>
          <w:rFonts w:cs="Arial"/>
        </w:rPr>
        <w:lastRenderedPageBreak/>
        <w:t xml:space="preserve">Assembly Bill 434 (AB 434) is relevant to the IIG-2019 </w:t>
      </w:r>
      <w:r w:rsidR="000B4E99" w:rsidRPr="00B33A7B">
        <w:rPr>
          <w:rFonts w:cs="Arial"/>
        </w:rPr>
        <w:t>Program Guidel</w:t>
      </w:r>
      <w:r w:rsidR="00FB6B6F">
        <w:rPr>
          <w:rFonts w:cs="Arial"/>
        </w:rPr>
        <w:t>in</w:t>
      </w:r>
      <w:r w:rsidR="000B4E99" w:rsidRPr="00B33A7B">
        <w:rPr>
          <w:rFonts w:cs="Arial"/>
        </w:rPr>
        <w:t xml:space="preserve">es </w:t>
      </w:r>
      <w:r w:rsidRPr="00B33A7B">
        <w:rPr>
          <w:rFonts w:cs="Arial"/>
        </w:rPr>
        <w:t>in the following way:</w:t>
      </w:r>
    </w:p>
    <w:p w14:paraId="401FA19B" w14:textId="77777777" w:rsidR="002319A4" w:rsidRPr="00B33A7B" w:rsidRDefault="002319A4" w:rsidP="002319A4">
      <w:pPr>
        <w:pStyle w:val="ListParagraph"/>
        <w:widowControl w:val="0"/>
        <w:autoSpaceDE w:val="0"/>
        <w:autoSpaceDN w:val="0"/>
        <w:rPr>
          <w:rFonts w:cs="Arial"/>
        </w:rPr>
      </w:pPr>
    </w:p>
    <w:p w14:paraId="6B20C976" w14:textId="5CE83B4F" w:rsidR="000B4E99" w:rsidRPr="00B33A7B" w:rsidRDefault="34A23BCB" w:rsidP="000B4E99">
      <w:pPr>
        <w:pStyle w:val="ListParagraph"/>
        <w:numPr>
          <w:ilvl w:val="0"/>
          <w:numId w:val="55"/>
        </w:numPr>
        <w:ind w:left="1440" w:hanging="720"/>
        <w:rPr>
          <w:rFonts w:cs="Arial"/>
        </w:rPr>
      </w:pPr>
      <w:r w:rsidRPr="00B33A7B">
        <w:rPr>
          <w:rFonts w:cs="Arial"/>
        </w:rPr>
        <w:t xml:space="preserve">The </w:t>
      </w:r>
      <w:r w:rsidR="673D22BD" w:rsidRPr="00B33A7B">
        <w:rPr>
          <w:rFonts w:cs="Arial"/>
        </w:rPr>
        <w:t xml:space="preserve">Infill Infrastructure Grant Program Final Guidelines, dated March 30, 2022, and as subsequently amended (“IIG-2007 Guidelines”), were adopted </w:t>
      </w:r>
      <w:r w:rsidR="340AA524" w:rsidRPr="00B33A7B">
        <w:rPr>
          <w:rFonts w:cs="Arial"/>
        </w:rPr>
        <w:t xml:space="preserve">in accordance with AB 434, and </w:t>
      </w:r>
      <w:r w:rsidR="42104B08" w:rsidRPr="00B33A7B">
        <w:rPr>
          <w:rFonts w:cs="Arial"/>
        </w:rPr>
        <w:t>address Large Jurisdiction Qualifying Infill Projects</w:t>
      </w:r>
      <w:r w:rsidR="77C677C9" w:rsidRPr="00B33A7B">
        <w:rPr>
          <w:rFonts w:cs="Arial"/>
        </w:rPr>
        <w:t xml:space="preserve"> for purposes of IIG-2019; </w:t>
      </w:r>
      <w:r w:rsidR="4E042679" w:rsidRPr="00B33A7B">
        <w:rPr>
          <w:rFonts w:cs="Arial"/>
        </w:rPr>
        <w:t>and</w:t>
      </w:r>
    </w:p>
    <w:p w14:paraId="32B1B3E0" w14:textId="77777777" w:rsidR="000B4E99" w:rsidRPr="00B33A7B" w:rsidRDefault="000B4E99" w:rsidP="000B4E99">
      <w:pPr>
        <w:pStyle w:val="ListParagraph"/>
        <w:ind w:left="1440"/>
        <w:rPr>
          <w:rFonts w:cs="Arial"/>
        </w:rPr>
      </w:pPr>
    </w:p>
    <w:p w14:paraId="664E7715" w14:textId="6AD5DEAE" w:rsidR="00762B38" w:rsidRPr="00B33A7B" w:rsidRDefault="00EA071E" w:rsidP="000B4E99">
      <w:pPr>
        <w:pStyle w:val="ListParagraph"/>
        <w:numPr>
          <w:ilvl w:val="0"/>
          <w:numId w:val="55"/>
        </w:numPr>
        <w:ind w:left="1440" w:hanging="720"/>
        <w:rPr>
          <w:rFonts w:cs="Arial"/>
        </w:rPr>
      </w:pPr>
      <w:r w:rsidRPr="00B33A7B">
        <w:rPr>
          <w:rFonts w:cs="Arial"/>
        </w:rPr>
        <w:t xml:space="preserve">Section 206 of the </w:t>
      </w:r>
      <w:hyperlink r:id="rId16" w:history="1">
        <w:r w:rsidRPr="00B33A7B">
          <w:rPr>
            <w:rStyle w:val="Hyperlink"/>
            <w:rFonts w:cs="Arial"/>
          </w:rPr>
          <w:t xml:space="preserve">IIG-2007 </w:t>
        </w:r>
        <w:r w:rsidR="001C5EC1" w:rsidRPr="00B33A7B">
          <w:rPr>
            <w:rStyle w:val="Hyperlink"/>
            <w:rFonts w:cs="Arial"/>
          </w:rPr>
          <w:t>Guidelines</w:t>
        </w:r>
      </w:hyperlink>
      <w:r w:rsidR="00BC2EEB" w:rsidRPr="00B33A7B">
        <w:rPr>
          <w:rFonts w:cs="Arial"/>
        </w:rPr>
        <w:t xml:space="preserve"> (Large Jurisdiction Qualifying Infill Projects)</w:t>
      </w:r>
      <w:r w:rsidR="001C5EC1" w:rsidRPr="00B33A7B">
        <w:rPr>
          <w:rFonts w:cs="Arial"/>
        </w:rPr>
        <w:t xml:space="preserve"> </w:t>
      </w:r>
      <w:r w:rsidR="005D4473" w:rsidRPr="00B33A7B">
        <w:rPr>
          <w:rFonts w:cs="Arial"/>
        </w:rPr>
        <w:t xml:space="preserve">is incorporated </w:t>
      </w:r>
      <w:r w:rsidR="001C5EC1" w:rsidRPr="00B33A7B">
        <w:rPr>
          <w:rFonts w:cs="Arial"/>
        </w:rPr>
        <w:t>by reference</w:t>
      </w:r>
      <w:r w:rsidR="001833AE" w:rsidRPr="00B33A7B">
        <w:rPr>
          <w:rFonts w:cs="Arial"/>
        </w:rPr>
        <w:t xml:space="preserve"> as if </w:t>
      </w:r>
      <w:r w:rsidR="000C2BF0" w:rsidRPr="00B33A7B">
        <w:rPr>
          <w:rFonts w:cs="Arial"/>
        </w:rPr>
        <w:t xml:space="preserve">set </w:t>
      </w:r>
      <w:r w:rsidR="00133591" w:rsidRPr="00B33A7B">
        <w:rPr>
          <w:rFonts w:cs="Arial"/>
        </w:rPr>
        <w:t>forth</w:t>
      </w:r>
      <w:r w:rsidR="00CB14F9" w:rsidRPr="00B33A7B">
        <w:rPr>
          <w:rFonts w:cs="Arial"/>
        </w:rPr>
        <w:t xml:space="preserve"> in</w:t>
      </w:r>
      <w:r w:rsidR="00133591" w:rsidRPr="00B33A7B">
        <w:rPr>
          <w:rFonts w:cs="Arial"/>
        </w:rPr>
        <w:t xml:space="preserve"> full herein, and it shall apply with equal force as all other provisions set forth herein</w:t>
      </w:r>
      <w:r w:rsidR="001C5EC1" w:rsidRPr="00B33A7B">
        <w:rPr>
          <w:rFonts w:cs="Arial"/>
        </w:rPr>
        <w:t xml:space="preserve">. </w:t>
      </w:r>
    </w:p>
    <w:p w14:paraId="6B3B513E" w14:textId="77777777" w:rsidR="00762B38" w:rsidRPr="00683344" w:rsidRDefault="00762B38" w:rsidP="00762B38">
      <w:pPr>
        <w:pStyle w:val="ListParagraph"/>
        <w:ind w:left="900" w:hanging="360"/>
        <w:rPr>
          <w:rFonts w:cs="Arial"/>
          <w:color w:val="C00000"/>
        </w:rPr>
      </w:pPr>
    </w:p>
    <w:p w14:paraId="4FBC09A7" w14:textId="2E91AC3F" w:rsidR="001D5187" w:rsidRPr="00683344" w:rsidRDefault="4A053EBA" w:rsidP="00993D09">
      <w:pPr>
        <w:pStyle w:val="ListParagraph"/>
        <w:widowControl w:val="0"/>
        <w:numPr>
          <w:ilvl w:val="0"/>
          <w:numId w:val="29"/>
        </w:numPr>
        <w:autoSpaceDE w:val="0"/>
        <w:autoSpaceDN w:val="0"/>
        <w:ind w:left="720" w:hanging="720"/>
        <w:rPr>
          <w:rFonts w:cs="Arial"/>
          <w:color w:val="C00000"/>
        </w:rPr>
      </w:pPr>
      <w:r w:rsidRPr="00683344">
        <w:rPr>
          <w:rFonts w:cs="Arial"/>
          <w:color w:val="C00000"/>
        </w:rPr>
        <w:t>Nothing in the</w:t>
      </w:r>
      <w:r w:rsidR="00D85E1B" w:rsidRPr="00683344">
        <w:rPr>
          <w:rFonts w:cs="Arial"/>
          <w:color w:val="C00000"/>
        </w:rPr>
        <w:t>se</w:t>
      </w:r>
      <w:r w:rsidRPr="00683344">
        <w:rPr>
          <w:rFonts w:cs="Arial"/>
          <w:color w:val="C00000"/>
        </w:rPr>
        <w:t xml:space="preserve"> </w:t>
      </w:r>
      <w:r w:rsidR="0BE712FC" w:rsidRPr="00683344">
        <w:rPr>
          <w:rFonts w:cs="Arial"/>
          <w:color w:val="C00000"/>
        </w:rPr>
        <w:t>G</w:t>
      </w:r>
      <w:r w:rsidRPr="00683344">
        <w:rPr>
          <w:rFonts w:cs="Arial"/>
          <w:color w:val="C00000"/>
        </w:rPr>
        <w:t xml:space="preserve">uidelines is intended to be, nor should be, interpreted to amend or repeal rules, regulations or requirements set forth in prior versions of IIG guidelines or their amendments; these Guidelines shall have no retroactive application. These </w:t>
      </w:r>
      <w:r w:rsidR="127CA16B" w:rsidRPr="00683344">
        <w:rPr>
          <w:rFonts w:cs="Arial"/>
          <w:color w:val="C00000"/>
        </w:rPr>
        <w:t>G</w:t>
      </w:r>
      <w:r w:rsidRPr="00683344">
        <w:rPr>
          <w:rFonts w:cs="Arial"/>
          <w:color w:val="C00000"/>
        </w:rPr>
        <w:t xml:space="preserve">uidelines shall, however, replace all prior versions of guidelines for the purposes of applying to the funding offered </w:t>
      </w:r>
      <w:proofErr w:type="gramStart"/>
      <w:r w:rsidRPr="00683344">
        <w:rPr>
          <w:rFonts w:cs="Arial"/>
          <w:color w:val="C00000"/>
        </w:rPr>
        <w:t>subsequent to</w:t>
      </w:r>
      <w:proofErr w:type="gramEnd"/>
      <w:r w:rsidRPr="00683344">
        <w:rPr>
          <w:rFonts w:cs="Arial"/>
          <w:color w:val="C00000"/>
        </w:rPr>
        <w:t xml:space="preserve"> their publication.</w:t>
      </w:r>
    </w:p>
    <w:p w14:paraId="4BA5B22E" w14:textId="77777777" w:rsidR="003378C6" w:rsidRPr="00B33A7B" w:rsidRDefault="003378C6" w:rsidP="003378C6">
      <w:pPr>
        <w:widowControl w:val="0"/>
        <w:autoSpaceDE w:val="0"/>
        <w:autoSpaceDN w:val="0"/>
        <w:rPr>
          <w:rFonts w:cs="Arial"/>
          <w:color w:val="FF0000"/>
        </w:rPr>
      </w:pPr>
    </w:p>
    <w:p w14:paraId="6AC24736" w14:textId="1C12F200" w:rsidR="005B0EFC" w:rsidRPr="00B33A7B" w:rsidRDefault="005B0EFC" w:rsidP="00BB1434">
      <w:pPr>
        <w:pStyle w:val="Style2"/>
        <w:outlineLvl w:val="1"/>
        <w:rPr>
          <w:color w:val="auto"/>
        </w:rPr>
      </w:pPr>
      <w:bookmarkStart w:id="4" w:name="_Toc106173282"/>
      <w:r w:rsidRPr="00B33A7B">
        <w:rPr>
          <w:color w:val="auto"/>
        </w:rPr>
        <w:t xml:space="preserve">Section </w:t>
      </w:r>
      <w:r w:rsidR="00533951" w:rsidRPr="00B33A7B">
        <w:rPr>
          <w:color w:val="auto"/>
        </w:rPr>
        <w:t>1</w:t>
      </w:r>
      <w:r w:rsidRPr="00B33A7B">
        <w:rPr>
          <w:color w:val="auto"/>
        </w:rPr>
        <w:t xml:space="preserve">01. </w:t>
      </w:r>
      <w:r w:rsidR="000F76D6" w:rsidRPr="00B33A7B">
        <w:rPr>
          <w:color w:val="auto"/>
        </w:rPr>
        <w:t>Uniform Multifamily Regulations (UMRs)</w:t>
      </w:r>
      <w:r w:rsidR="00B036E5" w:rsidRPr="00B33A7B">
        <w:rPr>
          <w:color w:val="auto"/>
        </w:rPr>
        <w:t>.</w:t>
      </w:r>
      <w:bookmarkEnd w:id="4"/>
    </w:p>
    <w:p w14:paraId="7DDEA934" w14:textId="77777777" w:rsidR="00052C4F" w:rsidRPr="00683344" w:rsidRDefault="00052C4F" w:rsidP="005B0EFC">
      <w:pPr>
        <w:pStyle w:val="Style2"/>
        <w:spacing w:before="120"/>
        <w:ind w:right="90"/>
        <w:outlineLvl w:val="1"/>
        <w:rPr>
          <w:color w:val="C00000"/>
        </w:rPr>
      </w:pPr>
    </w:p>
    <w:p w14:paraId="0CE8C68E" w14:textId="38D233A8" w:rsidR="007C46D3" w:rsidRPr="00683344" w:rsidRDefault="007C46D3" w:rsidP="00993D09">
      <w:pPr>
        <w:pStyle w:val="ListParagraph"/>
        <w:widowControl w:val="0"/>
        <w:numPr>
          <w:ilvl w:val="0"/>
          <w:numId w:val="57"/>
        </w:numPr>
        <w:tabs>
          <w:tab w:val="left" w:pos="903"/>
          <w:tab w:val="left" w:pos="904"/>
        </w:tabs>
        <w:autoSpaceDE w:val="0"/>
        <w:autoSpaceDN w:val="0"/>
        <w:ind w:left="720" w:hanging="720"/>
        <w:rPr>
          <w:rFonts w:cs="Arial"/>
          <w:color w:val="C00000"/>
        </w:rPr>
      </w:pPr>
      <w:r w:rsidRPr="00683344">
        <w:rPr>
          <w:rFonts w:cs="Arial"/>
          <w:color w:val="C00000"/>
        </w:rPr>
        <w:t xml:space="preserve">The Uniform Multifamily Regulations (UMRs) (Cal. Code Regs., tit. 25, § 8300 et seq), effective November 15, 2017, and as subsequently amended, are hereby incorporated by reference, except to the extent any UMR provision would be inconsistent with these </w:t>
      </w:r>
      <w:r w:rsidR="002037D0" w:rsidRPr="00683344">
        <w:rPr>
          <w:rFonts w:cs="Arial"/>
          <w:color w:val="C00000"/>
        </w:rPr>
        <w:t>G</w:t>
      </w:r>
      <w:r w:rsidRPr="00683344">
        <w:rPr>
          <w:rFonts w:cs="Arial"/>
          <w:color w:val="C00000"/>
        </w:rPr>
        <w:t xml:space="preserve">uidelines. </w:t>
      </w:r>
    </w:p>
    <w:p w14:paraId="78C6D1AD" w14:textId="77777777" w:rsidR="005B0EFC" w:rsidRPr="00B33A7B" w:rsidRDefault="005B0EFC">
      <w:pPr>
        <w:rPr>
          <w:rFonts w:cs="Arial"/>
        </w:rPr>
      </w:pPr>
    </w:p>
    <w:p w14:paraId="637F5595" w14:textId="3FAF433F" w:rsidR="00321199" w:rsidRPr="00B33A7B" w:rsidRDefault="00321199" w:rsidP="008A4F06">
      <w:pPr>
        <w:pStyle w:val="Style2"/>
        <w:outlineLvl w:val="1"/>
        <w:rPr>
          <w:color w:val="auto"/>
        </w:rPr>
      </w:pPr>
      <w:bookmarkStart w:id="5" w:name="_Toc21277638"/>
      <w:bookmarkStart w:id="6" w:name="_Toc106173283"/>
      <w:r w:rsidRPr="00B33A7B">
        <w:rPr>
          <w:color w:val="auto"/>
        </w:rPr>
        <w:t xml:space="preserve">Section </w:t>
      </w:r>
      <w:r w:rsidR="00533951" w:rsidRPr="00B33A7B">
        <w:rPr>
          <w:color w:val="auto"/>
        </w:rPr>
        <w:t>102</w:t>
      </w:r>
      <w:r w:rsidRPr="00B33A7B">
        <w:rPr>
          <w:color w:val="auto"/>
        </w:rPr>
        <w:t>. Definitions</w:t>
      </w:r>
      <w:bookmarkEnd w:id="5"/>
      <w:r w:rsidR="00B036E5" w:rsidRPr="00B33A7B">
        <w:rPr>
          <w:color w:val="auto"/>
        </w:rPr>
        <w:t>.</w:t>
      </w:r>
      <w:bookmarkEnd w:id="6"/>
    </w:p>
    <w:p w14:paraId="27032AD8" w14:textId="77777777" w:rsidR="00321199" w:rsidRPr="00B33A7B" w:rsidRDefault="00321199">
      <w:pPr>
        <w:rPr>
          <w:rFonts w:cs="Arial"/>
        </w:rPr>
      </w:pPr>
    </w:p>
    <w:p w14:paraId="3F8F61A8" w14:textId="77777777" w:rsidR="00321199" w:rsidRPr="00B33A7B" w:rsidRDefault="00321199" w:rsidP="00553D0E">
      <w:pPr>
        <w:ind w:right="90"/>
        <w:rPr>
          <w:rFonts w:cs="Arial"/>
        </w:rPr>
      </w:pPr>
      <w:r w:rsidRPr="00B33A7B">
        <w:rPr>
          <w:rFonts w:cs="Arial"/>
        </w:rPr>
        <w:t>The following definitions apply to the capitalized terms used in these Guidelines:</w:t>
      </w:r>
    </w:p>
    <w:p w14:paraId="7AA244EA" w14:textId="77777777" w:rsidR="00321199" w:rsidRPr="00B33A7B" w:rsidRDefault="00321199" w:rsidP="00907EB1">
      <w:pPr>
        <w:pStyle w:val="ListParagraph"/>
        <w:ind w:right="90"/>
        <w:rPr>
          <w:rFonts w:cs="Arial"/>
          <w:color w:val="000000" w:themeColor="text1"/>
          <w:shd w:val="clear" w:color="auto" w:fill="FFFFFF"/>
        </w:rPr>
      </w:pPr>
    </w:p>
    <w:p w14:paraId="65203A69" w14:textId="5DF9A15B" w:rsidR="00620061" w:rsidRPr="00B33A7B" w:rsidRDefault="000E08F9" w:rsidP="00993D09">
      <w:pPr>
        <w:pStyle w:val="ListParagraph"/>
        <w:numPr>
          <w:ilvl w:val="0"/>
          <w:numId w:val="2"/>
        </w:numPr>
        <w:ind w:right="90"/>
        <w:rPr>
          <w:rFonts w:cs="Arial"/>
          <w:color w:val="000000" w:themeColor="text1"/>
          <w:shd w:val="clear" w:color="auto" w:fill="FFFFFF"/>
        </w:rPr>
      </w:pPr>
      <w:r w:rsidRPr="00B33A7B">
        <w:rPr>
          <w:rFonts w:cs="Arial"/>
          <w:color w:val="000000" w:themeColor="text1"/>
          <w:shd w:val="clear" w:color="auto" w:fill="FFFFFF"/>
        </w:rPr>
        <w:t>“</w:t>
      </w:r>
      <w:r w:rsidR="00620061" w:rsidRPr="00B33A7B">
        <w:rPr>
          <w:rFonts w:cs="Arial"/>
          <w:color w:val="000000" w:themeColor="text1"/>
          <w:shd w:val="clear" w:color="auto" w:fill="FFFFFF"/>
        </w:rPr>
        <w:t>AB 434</w:t>
      </w:r>
      <w:r w:rsidRPr="00B33A7B">
        <w:rPr>
          <w:rFonts w:cs="Arial"/>
          <w:color w:val="000000" w:themeColor="text1"/>
          <w:shd w:val="clear" w:color="auto" w:fill="FFFFFF"/>
        </w:rPr>
        <w:t xml:space="preserve">” means </w:t>
      </w:r>
      <w:r w:rsidR="009411E3" w:rsidRPr="00B33A7B">
        <w:t>Assembly Bill No. 434, Chapter 192, Statutes of 2020.</w:t>
      </w:r>
    </w:p>
    <w:p w14:paraId="4CAFF63A" w14:textId="319847E1" w:rsidR="00CA64A7" w:rsidRPr="00B33A7B" w:rsidRDefault="00CA64A7" w:rsidP="00CA64A7">
      <w:pPr>
        <w:ind w:right="90"/>
        <w:rPr>
          <w:rFonts w:cs="Arial"/>
          <w:color w:val="000000" w:themeColor="text1"/>
          <w:shd w:val="clear" w:color="auto" w:fill="FFFFFF"/>
        </w:rPr>
      </w:pPr>
    </w:p>
    <w:p w14:paraId="3B5D6220" w14:textId="5627964B" w:rsidR="00CA64A7" w:rsidRPr="00B33A7B" w:rsidRDefault="00265F01" w:rsidP="00993D09">
      <w:pPr>
        <w:pStyle w:val="ListParagraph"/>
        <w:numPr>
          <w:ilvl w:val="0"/>
          <w:numId w:val="2"/>
        </w:numPr>
        <w:ind w:right="90"/>
      </w:pPr>
      <w:r w:rsidRPr="00B33A7B">
        <w:t>“</w:t>
      </w:r>
      <w:r w:rsidR="00CA64A7" w:rsidRPr="00B33A7B">
        <w:t>Accessible Housing Unit(s)</w:t>
      </w:r>
      <w:r w:rsidRPr="00B33A7B">
        <w:t>”</w:t>
      </w:r>
      <w:r w:rsidR="00CA64A7" w:rsidRPr="00B33A7B">
        <w:t xml:space="preserve"> refers collectively to “Housing Units with Mobility Features” and “Housing Units with Hearing/Vision Features” as defined below:</w:t>
      </w:r>
    </w:p>
    <w:p w14:paraId="088A4935" w14:textId="77777777" w:rsidR="00CA64A7" w:rsidRPr="00B33A7B" w:rsidRDefault="00CA64A7" w:rsidP="00CA64A7">
      <w:pPr>
        <w:ind w:right="-3"/>
      </w:pPr>
    </w:p>
    <w:p w14:paraId="3C273917" w14:textId="046F76E9" w:rsidR="00CA64A7" w:rsidRPr="00B33A7B" w:rsidRDefault="00CA64A7" w:rsidP="00993D09">
      <w:pPr>
        <w:pStyle w:val="ListParagraph"/>
        <w:numPr>
          <w:ilvl w:val="0"/>
          <w:numId w:val="54"/>
        </w:numPr>
        <w:ind w:right="360" w:hanging="720"/>
        <w:rPr>
          <w:rFonts w:cs="Arial"/>
        </w:rPr>
      </w:pPr>
      <w:r w:rsidRPr="00B33A7B">
        <w:rPr>
          <w:rFonts w:cs="Arial"/>
        </w:rPr>
        <w:t xml:space="preserve">A “Housing Unit with Mobility Features” means and refers to a housing </w:t>
      </w:r>
      <w:r w:rsidR="00852B51" w:rsidRPr="00B33A7B">
        <w:rPr>
          <w:rFonts w:cs="Arial"/>
        </w:rPr>
        <w:t>U</w:t>
      </w:r>
      <w:r w:rsidRPr="00B33A7B">
        <w:rPr>
          <w:rFonts w:cs="Arial"/>
        </w:rPr>
        <w:t>nit that is located on an accessible route and complies with the requirements of 24 C.F.R. § 8.22 and all applicable provisions of Uniform Federal Accessibility Standards (UFAS) or the comparable provisions of the Alternative Accessibility Standard, including but not limited to Sections 809.2 through 809.4 of the 2010 Standards for Accessible Design. A Housing Unit with Mobility Features can be approached, entered, and used by persons with mobility disabilities, including individuals who use wheelchairs. Such units must also comply with CBC 11B.</w:t>
      </w:r>
    </w:p>
    <w:p w14:paraId="39D87373" w14:textId="77777777" w:rsidR="00265F01" w:rsidRPr="00B33A7B" w:rsidRDefault="00265F01" w:rsidP="00265F01">
      <w:pPr>
        <w:pStyle w:val="ListParagraph"/>
        <w:ind w:left="1440" w:right="360"/>
        <w:rPr>
          <w:rFonts w:cs="Arial"/>
        </w:rPr>
      </w:pPr>
    </w:p>
    <w:p w14:paraId="47C60218" w14:textId="2FE1821A" w:rsidR="00CA64A7" w:rsidRPr="00B33A7B" w:rsidRDefault="00CA64A7" w:rsidP="00993D09">
      <w:pPr>
        <w:pStyle w:val="ListParagraph"/>
        <w:numPr>
          <w:ilvl w:val="0"/>
          <w:numId w:val="54"/>
        </w:numPr>
        <w:ind w:right="360" w:hanging="720"/>
        <w:rPr>
          <w:rFonts w:cs="Arial"/>
        </w:rPr>
      </w:pPr>
      <w:r w:rsidRPr="00B33A7B">
        <w:rPr>
          <w:rFonts w:cs="Arial"/>
        </w:rPr>
        <w:t xml:space="preserve">A “Housing Unit with Hearing/Vision Features” means and refers to a housing Unit that complies with 24 C.F.R. Section 8.22, and all applicable provisions of UFAS or the comparable provisions of the Alternative </w:t>
      </w:r>
      <w:r w:rsidRPr="00B33A7B">
        <w:rPr>
          <w:rFonts w:cs="Arial"/>
        </w:rPr>
        <w:lastRenderedPageBreak/>
        <w:t>Accessibility Standard, including but not limited to Section 809.5 of the 2010 Standards for Accessible Design. Such Units must also comply with CBC 11B.</w:t>
      </w:r>
    </w:p>
    <w:p w14:paraId="5683A768" w14:textId="77777777" w:rsidR="000E08F9" w:rsidRPr="00B33A7B" w:rsidRDefault="000E08F9" w:rsidP="000E08F9">
      <w:pPr>
        <w:pStyle w:val="ListParagraph"/>
        <w:ind w:right="90"/>
        <w:rPr>
          <w:rFonts w:cs="Arial"/>
          <w:color w:val="000000" w:themeColor="text1"/>
          <w:shd w:val="clear" w:color="auto" w:fill="FFFFFF"/>
        </w:rPr>
      </w:pPr>
    </w:p>
    <w:p w14:paraId="73848235" w14:textId="0122CAC9" w:rsidR="000D0F4F" w:rsidRPr="00B33A7B" w:rsidRDefault="000D0F4F" w:rsidP="00993D09">
      <w:pPr>
        <w:pStyle w:val="ListParagraph"/>
        <w:numPr>
          <w:ilvl w:val="0"/>
          <w:numId w:val="2"/>
        </w:numPr>
        <w:ind w:right="90"/>
        <w:rPr>
          <w:rFonts w:cs="Arial"/>
          <w:color w:val="000000" w:themeColor="text1"/>
          <w:shd w:val="clear" w:color="auto" w:fill="FFFFFF"/>
        </w:rPr>
      </w:pPr>
      <w:r w:rsidRPr="00B33A7B">
        <w:rPr>
          <w:rFonts w:cs="Arial"/>
          <w:color w:val="000000" w:themeColor="text1"/>
          <w:shd w:val="clear" w:color="auto" w:fill="FFFFFF"/>
        </w:rPr>
        <w:t>“Affirmatively Furthering Fair Housing”</w:t>
      </w:r>
      <w:r w:rsidR="0082173A" w:rsidRPr="00B33A7B">
        <w:rPr>
          <w:rFonts w:cs="Arial"/>
          <w:color w:val="000000" w:themeColor="text1"/>
          <w:shd w:val="clear" w:color="auto" w:fill="FFFFFF"/>
        </w:rPr>
        <w:t xml:space="preserve"> is defined</w:t>
      </w:r>
      <w:r w:rsidR="00A37BCD" w:rsidRPr="00B33A7B">
        <w:rPr>
          <w:rFonts w:cs="Arial"/>
          <w:color w:val="000000" w:themeColor="text1"/>
          <w:shd w:val="clear" w:color="auto" w:fill="FFFFFF"/>
        </w:rPr>
        <w:t>,</w:t>
      </w:r>
      <w:r w:rsidR="0082173A" w:rsidRPr="00B33A7B">
        <w:rPr>
          <w:rFonts w:cs="Arial"/>
          <w:color w:val="000000" w:themeColor="text1"/>
          <w:shd w:val="clear" w:color="auto" w:fill="FFFFFF"/>
        </w:rPr>
        <w:t xml:space="preserve"> in accordance with </w:t>
      </w:r>
      <w:r w:rsidR="00D741A0" w:rsidRPr="00B33A7B">
        <w:t xml:space="preserve">Government Code </w:t>
      </w:r>
      <w:r w:rsidR="00CA72D5" w:rsidRPr="00B33A7B">
        <w:t xml:space="preserve">(GC) </w:t>
      </w:r>
      <w:r w:rsidR="00295294" w:rsidRPr="00B33A7B">
        <w:t>S</w:t>
      </w:r>
      <w:r w:rsidR="00D741A0" w:rsidRPr="00B33A7B">
        <w:t xml:space="preserve">ection 8899.50, </w:t>
      </w:r>
      <w:r w:rsidR="00A37BCD" w:rsidRPr="00B33A7B">
        <w:t>subdivision (a)(1), to</w:t>
      </w:r>
      <w:r w:rsidR="00D741A0" w:rsidRPr="00B33A7B">
        <w:t xml:space="preserve"> </w:t>
      </w:r>
      <w:r w:rsidR="00846274" w:rsidRPr="00B33A7B">
        <w:t xml:space="preserve">mean taking meaningful actions, in addition to combating discrimination, that overcome patterns of segregation and foster inclusive communities free from barriers that restrict access to opportunity based on protected characteristics. Specifically, Affirmatively Furthering Fair Housing means taking meaningful actions that, taken together, address significant disparities in housing needs and in access to opportunity, replacing segregated living patterns with truly integrated and balanced living patterns, transforming racially and ethnically concentrated areas of poverty into areas of opportunity, and fostering and maintaining compliance with civil rights and fair housing laws. The duty to Affirmatively Further Fair Housing extends to </w:t>
      </w:r>
      <w:proofErr w:type="gramStart"/>
      <w:r w:rsidR="00846274" w:rsidRPr="00B33A7B">
        <w:t>all of</w:t>
      </w:r>
      <w:proofErr w:type="gramEnd"/>
      <w:r w:rsidR="00846274" w:rsidRPr="00B33A7B">
        <w:t xml:space="preserve"> a public agency’s activities and programs relating to housing and community development. </w:t>
      </w:r>
    </w:p>
    <w:p w14:paraId="1333514A" w14:textId="7F440D64" w:rsidR="000D0F4F" w:rsidRPr="00B33A7B" w:rsidRDefault="000D0F4F" w:rsidP="00907EB1">
      <w:pPr>
        <w:pStyle w:val="ListParagraph"/>
        <w:ind w:right="90"/>
        <w:rPr>
          <w:rFonts w:cs="Arial"/>
          <w:color w:val="000000" w:themeColor="text1"/>
          <w:shd w:val="clear" w:color="auto" w:fill="FFFFFF"/>
        </w:rPr>
      </w:pPr>
    </w:p>
    <w:p w14:paraId="797E6B5B" w14:textId="060AB60E" w:rsidR="004F0691" w:rsidRPr="00B33A7B" w:rsidRDefault="00536228" w:rsidP="00993D09">
      <w:pPr>
        <w:pStyle w:val="ListParagraph"/>
        <w:numPr>
          <w:ilvl w:val="0"/>
          <w:numId w:val="2"/>
        </w:numPr>
        <w:ind w:right="90"/>
      </w:pPr>
      <w:r w:rsidRPr="00B33A7B">
        <w:t>“</w:t>
      </w:r>
      <w:r w:rsidR="004F0691" w:rsidRPr="00B33A7B">
        <w:t>Affordable Housing Development</w:t>
      </w:r>
      <w:r w:rsidRPr="00B33A7B">
        <w:t>”</w:t>
      </w:r>
      <w:r w:rsidR="004F0691" w:rsidRPr="00B33A7B">
        <w:t xml:space="preserve"> means the same as “Rental Housing Development” defined below.</w:t>
      </w:r>
    </w:p>
    <w:p w14:paraId="70C2BA9F" w14:textId="77777777" w:rsidR="004F0691" w:rsidRPr="00B33A7B" w:rsidRDefault="004F0691" w:rsidP="00907EB1">
      <w:pPr>
        <w:pStyle w:val="ListParagraph"/>
        <w:ind w:right="90"/>
        <w:rPr>
          <w:rFonts w:cs="Arial"/>
          <w:color w:val="000000" w:themeColor="text1"/>
          <w:shd w:val="clear" w:color="auto" w:fill="FFFFFF"/>
        </w:rPr>
      </w:pPr>
    </w:p>
    <w:p w14:paraId="3A6978B1" w14:textId="79276172" w:rsidR="00507ADA" w:rsidRPr="00B33A7B" w:rsidRDefault="00321199" w:rsidP="00993D09">
      <w:pPr>
        <w:pStyle w:val="ListParagraph"/>
        <w:numPr>
          <w:ilvl w:val="0"/>
          <w:numId w:val="2"/>
        </w:numPr>
        <w:ind w:right="90"/>
        <w:rPr>
          <w:rFonts w:cs="Arial"/>
          <w:color w:val="000000" w:themeColor="text1"/>
          <w:shd w:val="clear" w:color="auto" w:fill="FFFFFF"/>
        </w:rPr>
      </w:pPr>
      <w:r w:rsidRPr="00B33A7B">
        <w:rPr>
          <w:rFonts w:cs="Arial"/>
          <w:color w:val="000000" w:themeColor="text1"/>
          <w:shd w:val="clear" w:color="auto" w:fill="FFFFFF"/>
        </w:rPr>
        <w:t xml:space="preserve">"Affordable Unit" means a </w:t>
      </w:r>
      <w:r w:rsidR="00283A82" w:rsidRPr="00B33A7B">
        <w:rPr>
          <w:rFonts w:cs="Arial"/>
          <w:color w:val="000000" w:themeColor="text1"/>
          <w:shd w:val="clear" w:color="auto" w:fill="FFFFFF"/>
        </w:rPr>
        <w:t xml:space="preserve">Unit </w:t>
      </w:r>
      <w:r w:rsidRPr="00B33A7B">
        <w:rPr>
          <w:rFonts w:cs="Arial"/>
          <w:color w:val="000000" w:themeColor="text1"/>
          <w:shd w:val="clear" w:color="auto" w:fill="FFFFFF"/>
        </w:rPr>
        <w:t xml:space="preserve">that is made available at an affordable rent, as </w:t>
      </w:r>
      <w:r w:rsidR="00E06DD4" w:rsidRPr="00B33A7B">
        <w:rPr>
          <w:rFonts w:cs="Arial"/>
          <w:color w:val="000000" w:themeColor="text1"/>
          <w:shd w:val="clear" w:color="auto" w:fill="FFFFFF"/>
        </w:rPr>
        <w:t xml:space="preserve">defined in </w:t>
      </w:r>
      <w:r w:rsidR="00A85E00" w:rsidRPr="00B33A7B">
        <w:rPr>
          <w:rFonts w:cs="Arial"/>
          <w:color w:val="000000" w:themeColor="text1"/>
          <w:shd w:val="clear" w:color="auto" w:fill="FFFFFF"/>
        </w:rPr>
        <w:t>HSC</w:t>
      </w:r>
      <w:r w:rsidR="00E06DD4" w:rsidRPr="00B33A7B">
        <w:rPr>
          <w:rFonts w:cs="Arial"/>
          <w:color w:val="000000" w:themeColor="text1"/>
          <w:shd w:val="clear" w:color="auto" w:fill="FFFFFF"/>
        </w:rPr>
        <w:t xml:space="preserve"> </w:t>
      </w:r>
      <w:r w:rsidR="00295294" w:rsidRPr="00B33A7B">
        <w:rPr>
          <w:rFonts w:cs="Arial"/>
          <w:color w:val="000000" w:themeColor="text1"/>
          <w:shd w:val="clear" w:color="auto" w:fill="FFFFFF"/>
        </w:rPr>
        <w:t xml:space="preserve">Section </w:t>
      </w:r>
      <w:r w:rsidR="00E06DD4" w:rsidRPr="00B33A7B">
        <w:rPr>
          <w:rFonts w:cs="Arial"/>
          <w:color w:val="000000" w:themeColor="text1"/>
          <w:shd w:val="clear" w:color="auto" w:fill="FFFFFF"/>
        </w:rPr>
        <w:t>50053</w:t>
      </w:r>
      <w:r w:rsidRPr="00B33A7B">
        <w:rPr>
          <w:rFonts w:cs="Arial"/>
          <w:color w:val="000000" w:themeColor="text1"/>
          <w:shd w:val="clear" w:color="auto" w:fill="FFFFFF"/>
        </w:rPr>
        <w:t>, to a household earning no more than 60 percent of the Area Median Income or at an affordable housing cost, as de</w:t>
      </w:r>
      <w:r w:rsidR="00E06DD4" w:rsidRPr="00B33A7B">
        <w:rPr>
          <w:rFonts w:cs="Arial"/>
          <w:color w:val="000000" w:themeColor="text1"/>
          <w:shd w:val="clear" w:color="auto" w:fill="FFFFFF"/>
        </w:rPr>
        <w:t xml:space="preserve">fined in </w:t>
      </w:r>
      <w:r w:rsidR="00A85E00" w:rsidRPr="00B33A7B">
        <w:rPr>
          <w:rFonts w:cs="Arial"/>
          <w:color w:val="000000" w:themeColor="text1"/>
          <w:shd w:val="clear" w:color="auto" w:fill="FFFFFF"/>
        </w:rPr>
        <w:t>HSC</w:t>
      </w:r>
      <w:r w:rsidR="00E06DD4" w:rsidRPr="00B33A7B">
        <w:rPr>
          <w:rFonts w:cs="Arial"/>
          <w:color w:val="000000" w:themeColor="text1"/>
          <w:shd w:val="clear" w:color="auto" w:fill="FFFFFF"/>
        </w:rPr>
        <w:t xml:space="preserve"> </w:t>
      </w:r>
      <w:r w:rsidR="00295294" w:rsidRPr="00B33A7B">
        <w:rPr>
          <w:rFonts w:cs="Arial"/>
          <w:color w:val="000000" w:themeColor="text1"/>
          <w:shd w:val="clear" w:color="auto" w:fill="FFFFFF"/>
        </w:rPr>
        <w:t xml:space="preserve">Section </w:t>
      </w:r>
      <w:r w:rsidR="00E06DD4" w:rsidRPr="00B33A7B">
        <w:rPr>
          <w:rFonts w:cs="Arial"/>
          <w:color w:val="000000" w:themeColor="text1"/>
          <w:shd w:val="clear" w:color="auto" w:fill="FFFFFF"/>
        </w:rPr>
        <w:t>50052.5</w:t>
      </w:r>
      <w:r w:rsidRPr="00B33A7B">
        <w:rPr>
          <w:rFonts w:cs="Arial"/>
          <w:color w:val="000000" w:themeColor="text1"/>
          <w:shd w:val="clear" w:color="auto" w:fill="FFFFFF"/>
        </w:rPr>
        <w:t xml:space="preserve">, to a household earning no more than 120 percent of the Area Median Income. Rental units shall be subject to a recorded </w:t>
      </w:r>
      <w:r w:rsidR="004B1A49">
        <w:rPr>
          <w:rFonts w:cs="Arial"/>
          <w:color w:val="000000" w:themeColor="text1"/>
          <w:shd w:val="clear" w:color="auto" w:fill="FFFFFF"/>
        </w:rPr>
        <w:t>C</w:t>
      </w:r>
      <w:r w:rsidR="004B1A49" w:rsidRPr="00B33A7B">
        <w:rPr>
          <w:rFonts w:cs="Arial"/>
          <w:color w:val="000000" w:themeColor="text1"/>
          <w:shd w:val="clear" w:color="auto" w:fill="FFFFFF"/>
        </w:rPr>
        <w:t>ovenant</w:t>
      </w:r>
      <w:r w:rsidRPr="00B33A7B">
        <w:rPr>
          <w:rFonts w:cs="Arial"/>
          <w:color w:val="000000" w:themeColor="text1"/>
          <w:shd w:val="clear" w:color="auto" w:fill="FFFFFF"/>
        </w:rPr>
        <w:t xml:space="preserve"> ensuring affordability for a duration of at least 55 years. Ownership units shall </w:t>
      </w:r>
      <w:r w:rsidR="00E42FD7" w:rsidRPr="00B33A7B">
        <w:rPr>
          <w:rFonts w:cs="Arial"/>
          <w:color w:val="000000" w:themeColor="text1"/>
          <w:shd w:val="clear" w:color="auto" w:fill="FFFFFF"/>
        </w:rPr>
        <w:t xml:space="preserve">initially </w:t>
      </w:r>
      <w:r w:rsidRPr="00B33A7B">
        <w:rPr>
          <w:rFonts w:cs="Arial"/>
          <w:color w:val="000000" w:themeColor="text1"/>
          <w:shd w:val="clear" w:color="auto" w:fill="FFFFFF"/>
        </w:rPr>
        <w:t xml:space="preserve">be sold to and occupied by a qualified </w:t>
      </w:r>
      <w:proofErr w:type="gramStart"/>
      <w:r w:rsidRPr="00B33A7B">
        <w:rPr>
          <w:rFonts w:cs="Arial"/>
          <w:color w:val="000000" w:themeColor="text1"/>
          <w:shd w:val="clear" w:color="auto" w:fill="FFFFFF"/>
        </w:rPr>
        <w:t>household, and</w:t>
      </w:r>
      <w:proofErr w:type="gramEnd"/>
      <w:r w:rsidRPr="00B33A7B">
        <w:rPr>
          <w:rFonts w:cs="Arial"/>
          <w:color w:val="000000" w:themeColor="text1"/>
          <w:shd w:val="clear" w:color="auto" w:fill="FFFFFF"/>
        </w:rPr>
        <w:t xml:space="preserve"> </w:t>
      </w:r>
      <w:r w:rsidR="00E42FD7" w:rsidRPr="00B33A7B">
        <w:rPr>
          <w:rFonts w:cs="Arial"/>
          <w:color w:val="000000" w:themeColor="text1"/>
          <w:shd w:val="clear" w:color="auto" w:fill="FFFFFF"/>
        </w:rPr>
        <w:t xml:space="preserve">shall be </w:t>
      </w:r>
      <w:r w:rsidRPr="00B33A7B">
        <w:rPr>
          <w:rFonts w:cs="Arial"/>
          <w:color w:val="000000" w:themeColor="text1"/>
          <w:shd w:val="clear" w:color="auto" w:fill="FFFFFF"/>
        </w:rPr>
        <w:t xml:space="preserve">subject to a recorded </w:t>
      </w:r>
      <w:r w:rsidR="000F6D34">
        <w:rPr>
          <w:rFonts w:cs="Arial"/>
          <w:color w:val="000000" w:themeColor="text1"/>
          <w:shd w:val="clear" w:color="auto" w:fill="FFFFFF"/>
        </w:rPr>
        <w:t>C</w:t>
      </w:r>
      <w:r w:rsidR="000F6D34" w:rsidRPr="00B33A7B">
        <w:rPr>
          <w:rFonts w:cs="Arial"/>
          <w:color w:val="000000" w:themeColor="text1"/>
          <w:shd w:val="clear" w:color="auto" w:fill="FFFFFF"/>
        </w:rPr>
        <w:t xml:space="preserve">ovenant </w:t>
      </w:r>
      <w:r w:rsidRPr="00B33A7B">
        <w:rPr>
          <w:rFonts w:cs="Arial"/>
          <w:color w:val="000000" w:themeColor="text1"/>
          <w:shd w:val="clear" w:color="auto" w:fill="FFFFFF"/>
        </w:rPr>
        <w:t xml:space="preserve">that includes either a resale restriction </w:t>
      </w:r>
      <w:r w:rsidR="00E42FD7" w:rsidRPr="00B33A7B">
        <w:rPr>
          <w:rFonts w:cs="Arial"/>
          <w:color w:val="000000" w:themeColor="text1"/>
          <w:shd w:val="clear" w:color="auto" w:fill="FFFFFF"/>
        </w:rPr>
        <w:t xml:space="preserve">for at least 30 years </w:t>
      </w:r>
      <w:r w:rsidRPr="00B33A7B">
        <w:rPr>
          <w:rFonts w:cs="Arial"/>
          <w:color w:val="000000" w:themeColor="text1"/>
          <w:shd w:val="clear" w:color="auto" w:fill="FFFFFF"/>
        </w:rPr>
        <w:t xml:space="preserve">or equity sharing upon resale. </w:t>
      </w:r>
    </w:p>
    <w:p w14:paraId="6CBE9662" w14:textId="1A9D2074" w:rsidR="00E51A27" w:rsidRPr="00B33A7B" w:rsidRDefault="00E51A27" w:rsidP="00E51A27">
      <w:pPr>
        <w:pStyle w:val="ListParagraph"/>
        <w:rPr>
          <w:rFonts w:cs="Arial"/>
          <w:color w:val="000000" w:themeColor="text1"/>
          <w:shd w:val="clear" w:color="auto" w:fill="FFFFFF"/>
        </w:rPr>
      </w:pPr>
    </w:p>
    <w:p w14:paraId="5878B04B" w14:textId="76D25ADB" w:rsidR="00002C0A" w:rsidRPr="00B33A7B" w:rsidRDefault="00002C0A" w:rsidP="00993D09">
      <w:pPr>
        <w:pStyle w:val="ListParagraph"/>
        <w:numPr>
          <w:ilvl w:val="0"/>
          <w:numId w:val="2"/>
        </w:numPr>
        <w:ind w:right="90"/>
      </w:pPr>
      <w:r w:rsidRPr="00B33A7B">
        <w:t xml:space="preserve">“Agricultural </w:t>
      </w:r>
      <w:r w:rsidR="0ED0F0D9" w:rsidRPr="00B33A7B">
        <w:t>Employment</w:t>
      </w:r>
      <w:r w:rsidRPr="00B33A7B">
        <w:t xml:space="preserve">” means employed in the cultivation and tillage of the soil; the production, cultivation, growing and harvesting of any agricultural or horticultural commodities; the raising of livestock, bees, furbearing animals, or poultry; dairying, forestry, and lumbering operations; and any work </w:t>
      </w:r>
      <w:r w:rsidRPr="00BC7696">
        <w:t>on a farm as incident to or in conjunction with such farming operations, including the delivery and preparation of commodities for market or storage. Agricultural Employment also includes work done by any person who works on o</w:t>
      </w:r>
      <w:r w:rsidRPr="00E2233C">
        <w:t xml:space="preserve">r off </w:t>
      </w:r>
      <w:r w:rsidRPr="00BC7696">
        <w:t>the farm in</w:t>
      </w:r>
      <w:r w:rsidRPr="00B33A7B">
        <w:t xml:space="preserve"> the processing of any agricultural commodity until it is shipped for distribution, </w:t>
      </w:r>
      <w:proofErr w:type="gramStart"/>
      <w:r w:rsidRPr="00B33A7B">
        <w:t>whether or not</w:t>
      </w:r>
      <w:proofErr w:type="gramEnd"/>
      <w:r w:rsidRPr="00B33A7B">
        <w:t xml:space="preserve"> such person is encompassed within the definition specified in subdivision (b) of Section 1140.4 of the Labor Code. </w:t>
      </w:r>
    </w:p>
    <w:p w14:paraId="1D4F59D5" w14:textId="77777777" w:rsidR="00002C0A" w:rsidRPr="00B33A7B" w:rsidRDefault="00002C0A" w:rsidP="00811643">
      <w:pPr>
        <w:ind w:right="90"/>
      </w:pPr>
    </w:p>
    <w:p w14:paraId="3416EA16" w14:textId="318CE91E" w:rsidR="00FC0AC6" w:rsidRPr="00B33A7B" w:rsidRDefault="00536228" w:rsidP="00993D09">
      <w:pPr>
        <w:pStyle w:val="ListParagraph"/>
        <w:numPr>
          <w:ilvl w:val="0"/>
          <w:numId w:val="2"/>
        </w:numPr>
        <w:ind w:right="90"/>
      </w:pPr>
      <w:r w:rsidRPr="00B33A7B">
        <w:t>“</w:t>
      </w:r>
      <w:r w:rsidR="00FC0AC6" w:rsidRPr="00B33A7B">
        <w:t>Agricultural Household</w:t>
      </w:r>
      <w:r w:rsidR="00AB00A9" w:rsidRPr="00B33A7B">
        <w:t>”</w:t>
      </w:r>
      <w:r w:rsidR="00FC0AC6" w:rsidRPr="00B33A7B">
        <w:t xml:space="preserve"> means an Agricultural Worker or workers and other persons who reside or will reside with an Agricultural Worker in an Assisted Unit.</w:t>
      </w:r>
    </w:p>
    <w:p w14:paraId="7364F0AA" w14:textId="77777777" w:rsidR="00536228" w:rsidRPr="00B33A7B" w:rsidRDefault="00536228" w:rsidP="00536228">
      <w:pPr>
        <w:pStyle w:val="ListParagraph"/>
      </w:pPr>
    </w:p>
    <w:p w14:paraId="1724A1EE" w14:textId="0FB7549C" w:rsidR="00536228" w:rsidRPr="00B33A7B" w:rsidRDefault="00AB00A9" w:rsidP="00993D09">
      <w:pPr>
        <w:pStyle w:val="ListParagraph"/>
        <w:numPr>
          <w:ilvl w:val="0"/>
          <w:numId w:val="2"/>
        </w:numPr>
        <w:ind w:right="90"/>
      </w:pPr>
      <w:r w:rsidRPr="00B33A7B">
        <w:t>“</w:t>
      </w:r>
      <w:r w:rsidR="00536228" w:rsidRPr="00B33A7B">
        <w:t>Agricultural Worker</w:t>
      </w:r>
      <w:r w:rsidRPr="00B33A7B">
        <w:t>”</w:t>
      </w:r>
      <w:r w:rsidR="00536228" w:rsidRPr="00B33A7B">
        <w:t xml:space="preserve"> means an individual who derives, or prior to retirement or Disability derived, a substantial portion of his/her income from Agricultural Employment. </w:t>
      </w:r>
    </w:p>
    <w:p w14:paraId="2C79EE3B" w14:textId="77777777" w:rsidR="00FA0632" w:rsidRPr="00B33A7B" w:rsidRDefault="00FA0632" w:rsidP="00FA0632">
      <w:pPr>
        <w:pStyle w:val="ListParagraph"/>
      </w:pPr>
    </w:p>
    <w:p w14:paraId="07358D49" w14:textId="2B3AAC43" w:rsidR="00FA0632" w:rsidRPr="00B33A7B" w:rsidRDefault="00FA0632" w:rsidP="00993D09">
      <w:pPr>
        <w:pStyle w:val="ListParagraph"/>
        <w:numPr>
          <w:ilvl w:val="0"/>
          <w:numId w:val="2"/>
        </w:numPr>
        <w:ind w:right="90"/>
      </w:pPr>
      <w:r w:rsidRPr="00B33A7B">
        <w:t xml:space="preserve">“Alternative Accessibility Standard”, also referred to as the HUD Deeming Notice (HUD-2014- 0042-0001), means the Alternative Accessibility Standard for accessibility set out in HUD’s notice at 79 Fed. Reg. 29671 (May 23, 2014), when used in conjunction with the requirements of 24 C.F.R. pt. 8, 24 C.F.R. Section 8.22, and the requirements of 28 C.F.R. pt. 35, including 28 C.F.R. Section 35.151 and the 2010 Standards for Accessible Design as defined in 28 C.F.R. Section 35.104. </w:t>
      </w:r>
    </w:p>
    <w:p w14:paraId="18F2C25B" w14:textId="77777777" w:rsidR="00FC0AC6" w:rsidRPr="00B33A7B" w:rsidRDefault="00FC0AC6" w:rsidP="00E51A27">
      <w:pPr>
        <w:pStyle w:val="ListParagraph"/>
        <w:rPr>
          <w:rFonts w:cs="Arial"/>
          <w:color w:val="000000" w:themeColor="text1"/>
          <w:shd w:val="clear" w:color="auto" w:fill="FFFFFF"/>
        </w:rPr>
      </w:pPr>
    </w:p>
    <w:p w14:paraId="7D597A87" w14:textId="555B9458" w:rsidR="00E51A27" w:rsidRPr="00B33A7B" w:rsidRDefault="00E51A27" w:rsidP="00993D09">
      <w:pPr>
        <w:numPr>
          <w:ilvl w:val="0"/>
          <w:numId w:val="2"/>
        </w:numPr>
        <w:ind w:right="-3"/>
        <w:rPr>
          <w:rFonts w:eastAsia="Calibri"/>
        </w:rPr>
      </w:pPr>
      <w:r w:rsidRPr="00B33A7B">
        <w:rPr>
          <w:rStyle w:val="normaltextrun"/>
          <w:bdr w:val="none" w:sz="0" w:space="0" w:color="auto" w:frame="1"/>
        </w:rPr>
        <w:t xml:space="preserve">“Applicant” means the entity or entities </w:t>
      </w:r>
      <w:r w:rsidR="00F5001D" w:rsidRPr="00B33A7B">
        <w:rPr>
          <w:rStyle w:val="normaltextrun"/>
          <w:bdr w:val="none" w:sz="0" w:space="0" w:color="auto" w:frame="1"/>
        </w:rPr>
        <w:t xml:space="preserve">applying to the Department for the Program funding. Such entity or entities may also be the Sponsor, defined in Section 7303 of the MHP Guidelines. Upon receiving an Award of funds, the Applicant or co-Applicants will, both individually and collectively, be referred to as the “Recipient” in the Department’s legal documents relative to an Award of a grant, or as “Sponsor” in the Department’s legal documents relative to an Award of a loan. </w:t>
      </w:r>
      <w:proofErr w:type="gramStart"/>
      <w:r w:rsidR="00F5001D" w:rsidRPr="00B33A7B">
        <w:rPr>
          <w:rStyle w:val="normaltextrun"/>
          <w:bdr w:val="none" w:sz="0" w:space="0" w:color="auto" w:frame="1"/>
        </w:rPr>
        <w:t>For the purpose of</w:t>
      </w:r>
      <w:proofErr w:type="gramEnd"/>
      <w:r w:rsidR="00F5001D" w:rsidRPr="00B33A7B">
        <w:rPr>
          <w:rStyle w:val="normaltextrun"/>
          <w:bdr w:val="none" w:sz="0" w:space="0" w:color="auto" w:frame="1"/>
        </w:rPr>
        <w:t xml:space="preserve"> these Guidelines, an Applicant or co-Applicant that only receives an Award of grant funding will, both individually and collectively, be referred to as the “Recipient.”</w:t>
      </w:r>
    </w:p>
    <w:p w14:paraId="3E5B69F3" w14:textId="77777777" w:rsidR="00507ADA" w:rsidRPr="00B33A7B" w:rsidRDefault="00507ADA" w:rsidP="009A2606">
      <w:pPr>
        <w:pStyle w:val="ListParagraph"/>
        <w:ind w:right="90"/>
        <w:rPr>
          <w:rFonts w:cs="Arial"/>
          <w:color w:val="000000" w:themeColor="text1"/>
          <w:shd w:val="clear" w:color="auto" w:fill="FFFFFF"/>
        </w:rPr>
      </w:pPr>
    </w:p>
    <w:p w14:paraId="135829CC" w14:textId="06BF01E0" w:rsidR="00321199" w:rsidRPr="00B33A7B" w:rsidRDefault="00321199" w:rsidP="00993D09">
      <w:pPr>
        <w:pStyle w:val="ListParagraph"/>
        <w:numPr>
          <w:ilvl w:val="0"/>
          <w:numId w:val="2"/>
        </w:numPr>
        <w:ind w:right="90"/>
        <w:rPr>
          <w:rFonts w:cs="Arial"/>
          <w:shd w:val="clear" w:color="auto" w:fill="FFFFFF"/>
        </w:rPr>
      </w:pPr>
      <w:r w:rsidRPr="00B33A7B">
        <w:rPr>
          <w:rFonts w:cs="Arial"/>
          <w:color w:val="000000" w:themeColor="text1"/>
          <w:shd w:val="clear" w:color="auto" w:fill="FFFFFF"/>
        </w:rPr>
        <w:t xml:space="preserve">“Area Median Income” </w:t>
      </w:r>
      <w:r w:rsidR="007A3924" w:rsidRPr="00B33A7B">
        <w:rPr>
          <w:rFonts w:cs="Arial"/>
          <w:color w:val="000000" w:themeColor="text1"/>
          <w:shd w:val="clear" w:color="auto" w:fill="FFFFFF"/>
        </w:rPr>
        <w:t xml:space="preserve">or “AMI” </w:t>
      </w:r>
      <w:r w:rsidRPr="00B33A7B">
        <w:rPr>
          <w:rFonts w:cs="Arial"/>
          <w:color w:val="000000" w:themeColor="text1"/>
          <w:shd w:val="clear" w:color="auto" w:fill="FFFFFF"/>
        </w:rPr>
        <w:t xml:space="preserve">means the most recent applicable county median family income published by </w:t>
      </w:r>
      <w:r w:rsidR="00803E2E" w:rsidRPr="00B33A7B">
        <w:rPr>
          <w:rFonts w:cs="Arial"/>
          <w:color w:val="000000" w:themeColor="text1"/>
          <w:shd w:val="clear" w:color="auto" w:fill="FFFFFF"/>
        </w:rPr>
        <w:t xml:space="preserve">the </w:t>
      </w:r>
      <w:r w:rsidR="00B3025F" w:rsidRPr="00B33A7B">
        <w:rPr>
          <w:rFonts w:cs="Arial"/>
          <w:color w:val="000000" w:themeColor="text1"/>
          <w:shd w:val="clear" w:color="auto" w:fill="FFFFFF"/>
        </w:rPr>
        <w:t xml:space="preserve">California </w:t>
      </w:r>
      <w:r w:rsidR="00803E2E" w:rsidRPr="00B33A7B">
        <w:rPr>
          <w:rFonts w:cs="Arial"/>
          <w:color w:val="000000" w:themeColor="text1"/>
          <w:shd w:val="clear" w:color="auto" w:fill="FFFFFF"/>
        </w:rPr>
        <w:t>Tax Credit Allocation Committee (TCAC)</w:t>
      </w:r>
      <w:r w:rsidRPr="00B33A7B">
        <w:rPr>
          <w:rFonts w:cs="Arial"/>
          <w:color w:val="000000" w:themeColor="text1"/>
          <w:shd w:val="clear" w:color="auto" w:fill="FFFFFF"/>
        </w:rPr>
        <w:t xml:space="preserve">. </w:t>
      </w:r>
      <w:r w:rsidR="009C008D" w:rsidRPr="00B33A7B">
        <w:t xml:space="preserve">For </w:t>
      </w:r>
      <w:r w:rsidR="00247BAA" w:rsidRPr="00B33A7B" w:rsidDel="2C1AF499">
        <w:t xml:space="preserve">Tribal </w:t>
      </w:r>
      <w:r w:rsidR="00B67466" w:rsidRPr="00B33A7B">
        <w:t>A</w:t>
      </w:r>
      <w:r w:rsidR="00247BAA" w:rsidRPr="00B33A7B" w:rsidDel="2C1AF499">
        <w:t>pplicants, if the HUD income for a county/parish located within a Tribal Entity’s service area is lower than the United States median, the Tribal Entity may use the United States median income limit</w:t>
      </w:r>
      <w:r w:rsidR="009C008D" w:rsidRPr="00B33A7B">
        <w:t>.</w:t>
      </w:r>
    </w:p>
    <w:p w14:paraId="18267EF4" w14:textId="77777777" w:rsidR="00CC1EF9" w:rsidRPr="00B33A7B" w:rsidRDefault="00CC1EF9" w:rsidP="00CC1EF9">
      <w:pPr>
        <w:pStyle w:val="ListParagraph"/>
        <w:rPr>
          <w:rFonts w:cs="Arial"/>
          <w:shd w:val="clear" w:color="auto" w:fill="FFFFFF"/>
        </w:rPr>
      </w:pPr>
    </w:p>
    <w:p w14:paraId="39FC1E63" w14:textId="15A25F77" w:rsidR="00CC1EF9" w:rsidRPr="00B33A7B" w:rsidRDefault="00CC1EF9" w:rsidP="00993D09">
      <w:pPr>
        <w:pStyle w:val="ListParagraph"/>
        <w:widowControl w:val="0"/>
        <w:numPr>
          <w:ilvl w:val="0"/>
          <w:numId w:val="2"/>
        </w:numPr>
        <w:autoSpaceDE w:val="0"/>
        <w:autoSpaceDN w:val="0"/>
        <w:ind w:right="-3"/>
      </w:pPr>
      <w:bookmarkStart w:id="7" w:name="_Hlk87968579"/>
      <w:r w:rsidRPr="00B33A7B">
        <w:t xml:space="preserve">“Assisted Unit” means a </w:t>
      </w:r>
      <w:bookmarkEnd w:id="7"/>
      <w:r w:rsidR="00936966" w:rsidRPr="00B33A7B">
        <w:t xml:space="preserve">housing Unit that is subject to Program Rent and/or occupancy restrictions </w:t>
      </w:r>
      <w:proofErr w:type="gramStart"/>
      <w:r w:rsidR="00936966" w:rsidRPr="00B33A7B">
        <w:t>as</w:t>
      </w:r>
      <w:r w:rsidR="00936966" w:rsidRPr="00B33A7B">
        <w:rPr>
          <w:spacing w:val="-1"/>
        </w:rPr>
        <w:t xml:space="preserve"> </w:t>
      </w:r>
      <w:r w:rsidR="00936966" w:rsidRPr="00B33A7B">
        <w:t>a result</w:t>
      </w:r>
      <w:r w:rsidR="00936966" w:rsidRPr="00B33A7B">
        <w:rPr>
          <w:spacing w:val="1"/>
        </w:rPr>
        <w:t xml:space="preserve"> </w:t>
      </w:r>
      <w:r w:rsidR="00936966" w:rsidRPr="00B33A7B">
        <w:t>of</w:t>
      </w:r>
      <w:proofErr w:type="gramEnd"/>
      <w:r w:rsidR="00936966" w:rsidRPr="00B33A7B">
        <w:rPr>
          <w:spacing w:val="-3"/>
        </w:rPr>
        <w:t xml:space="preserve"> </w:t>
      </w:r>
      <w:r w:rsidR="00936966" w:rsidRPr="00B33A7B">
        <w:t>financial</w:t>
      </w:r>
      <w:r w:rsidR="00936966" w:rsidRPr="00B33A7B">
        <w:rPr>
          <w:spacing w:val="-3"/>
        </w:rPr>
        <w:t xml:space="preserve"> </w:t>
      </w:r>
      <w:r w:rsidR="00936966" w:rsidRPr="00B33A7B">
        <w:t>assistance provided</w:t>
      </w:r>
      <w:r w:rsidR="00936966" w:rsidRPr="00B33A7B">
        <w:rPr>
          <w:spacing w:val="-2"/>
        </w:rPr>
        <w:t xml:space="preserve"> </w:t>
      </w:r>
      <w:r w:rsidR="00936966" w:rsidRPr="00B33A7B">
        <w:t>under</w:t>
      </w:r>
      <w:r w:rsidR="00936966" w:rsidRPr="00B33A7B">
        <w:rPr>
          <w:spacing w:val="-1"/>
        </w:rPr>
        <w:t xml:space="preserve"> </w:t>
      </w:r>
      <w:r w:rsidR="00936966" w:rsidRPr="00B33A7B">
        <w:t>the Program.</w:t>
      </w:r>
    </w:p>
    <w:p w14:paraId="4098D0B7" w14:textId="77777777" w:rsidR="001D614A" w:rsidRPr="00B33A7B" w:rsidRDefault="001D614A" w:rsidP="00E675E6">
      <w:pPr>
        <w:pStyle w:val="ListParagraph"/>
      </w:pPr>
    </w:p>
    <w:p w14:paraId="0408F469" w14:textId="3D676958" w:rsidR="001D614A" w:rsidRPr="00B33A7B" w:rsidRDefault="001D614A" w:rsidP="00993D09">
      <w:pPr>
        <w:pStyle w:val="ListParagraph"/>
        <w:widowControl w:val="0"/>
        <w:numPr>
          <w:ilvl w:val="0"/>
          <w:numId w:val="2"/>
        </w:numPr>
        <w:shd w:val="clear" w:color="auto" w:fill="FFFFFF" w:themeFill="background1"/>
        <w:autoSpaceDE w:val="0"/>
        <w:autoSpaceDN w:val="0"/>
        <w:ind w:right="-3"/>
      </w:pPr>
      <w:r w:rsidRPr="00B33A7B">
        <w:t>"Award" means a commitment of money in the form of a Program grant or a loan that is made by the Department to an Applicant.</w:t>
      </w:r>
    </w:p>
    <w:p w14:paraId="38483813" w14:textId="77777777" w:rsidR="00321199" w:rsidRPr="00B33A7B" w:rsidRDefault="00321199" w:rsidP="009A2606">
      <w:pPr>
        <w:pStyle w:val="ListParagraph"/>
        <w:ind w:right="90"/>
        <w:rPr>
          <w:rFonts w:cs="Arial"/>
          <w:color w:val="000000" w:themeColor="text1"/>
          <w:shd w:val="clear" w:color="auto" w:fill="FFFFFF"/>
        </w:rPr>
      </w:pPr>
    </w:p>
    <w:p w14:paraId="4425A507" w14:textId="041C70DA" w:rsidR="00321199" w:rsidRPr="00B33A7B" w:rsidRDefault="00321199" w:rsidP="00993D09">
      <w:pPr>
        <w:pStyle w:val="ListParagraph"/>
        <w:numPr>
          <w:ilvl w:val="0"/>
          <w:numId w:val="2"/>
        </w:numPr>
        <w:ind w:right="90"/>
        <w:rPr>
          <w:rFonts w:cs="Arial"/>
          <w:color w:val="000000" w:themeColor="text1"/>
          <w:shd w:val="clear" w:color="auto" w:fill="FFFFFF"/>
        </w:rPr>
      </w:pPr>
      <w:r w:rsidRPr="00B33A7B">
        <w:rPr>
          <w:rFonts w:cs="Arial"/>
          <w:color w:val="000000" w:themeColor="text1"/>
          <w:shd w:val="clear" w:color="auto" w:fill="FFFFFF"/>
        </w:rPr>
        <w:t xml:space="preserve">“Bus Hub” means an intersection of three or more bus routes, where one route or a combination of routes has a minimum scheduled headway of 10 minutes or at least six buses per hour during peak hours. Peak hours </w:t>
      </w:r>
      <w:r w:rsidR="009853B4" w:rsidRPr="00B33A7B">
        <w:rPr>
          <w:rFonts w:cs="Arial"/>
          <w:color w:val="000000" w:themeColor="text1"/>
          <w:shd w:val="clear" w:color="auto" w:fill="FFFFFF"/>
        </w:rPr>
        <w:t>are limited to</w:t>
      </w:r>
      <w:r w:rsidRPr="00B33A7B">
        <w:rPr>
          <w:rFonts w:cs="Arial"/>
          <w:color w:val="000000" w:themeColor="text1"/>
          <w:shd w:val="clear" w:color="auto" w:fill="FFFFFF"/>
        </w:rPr>
        <w:t xml:space="preserve"> the time between 7 a.m. to 10 a.m., inclusive, and 3 p.m. to 7 p.m., inclusive, Monday through Friday</w:t>
      </w:r>
      <w:r w:rsidR="00C769A4" w:rsidRPr="00B33A7B">
        <w:rPr>
          <w:rFonts w:cs="Arial"/>
          <w:color w:val="000000" w:themeColor="text1"/>
          <w:shd w:val="clear" w:color="auto" w:fill="FFFFFF"/>
        </w:rPr>
        <w:t xml:space="preserve"> or the alternative peak hours </w:t>
      </w:r>
      <w:r w:rsidR="00675C87" w:rsidRPr="00B33A7B">
        <w:rPr>
          <w:rFonts w:cs="Arial"/>
          <w:color w:val="000000" w:themeColor="text1"/>
          <w:shd w:val="clear" w:color="auto" w:fill="FFFFFF"/>
        </w:rPr>
        <w:t>designated for the transportation corridor by the transit agency.</w:t>
      </w:r>
      <w:r w:rsidR="00183362" w:rsidRPr="00B33A7B">
        <w:rPr>
          <w:rFonts w:cs="Arial"/>
          <w:color w:val="000000" w:themeColor="text1"/>
          <w:shd w:val="clear" w:color="auto" w:fill="FFFFFF"/>
        </w:rPr>
        <w:t xml:space="preserve"> This level of service must</w:t>
      </w:r>
      <w:r w:rsidR="009B7077" w:rsidRPr="00B33A7B">
        <w:rPr>
          <w:rFonts w:cs="Arial"/>
          <w:color w:val="000000" w:themeColor="text1"/>
          <w:shd w:val="clear" w:color="auto" w:fill="FFFFFF"/>
        </w:rPr>
        <w:t xml:space="preserve"> have been publicly posted by the provider in the </w:t>
      </w:r>
      <w:r w:rsidR="00150F3B">
        <w:rPr>
          <w:rFonts w:cs="Arial"/>
          <w:color w:val="000000" w:themeColor="text1"/>
          <w:shd w:val="clear" w:color="auto" w:fill="FFFFFF"/>
        </w:rPr>
        <w:t>12</w:t>
      </w:r>
      <w:r w:rsidR="00150F3B" w:rsidRPr="00B33A7B">
        <w:rPr>
          <w:rFonts w:cs="Arial"/>
          <w:color w:val="000000" w:themeColor="text1"/>
          <w:shd w:val="clear" w:color="auto" w:fill="FFFFFF"/>
        </w:rPr>
        <w:t xml:space="preserve"> </w:t>
      </w:r>
      <w:r w:rsidR="009B7077" w:rsidRPr="00B33A7B">
        <w:rPr>
          <w:rFonts w:cs="Arial"/>
          <w:color w:val="000000" w:themeColor="text1"/>
          <w:shd w:val="clear" w:color="auto" w:fill="FFFFFF"/>
        </w:rPr>
        <w:t>months preceding the Application due date</w:t>
      </w:r>
      <w:r w:rsidR="00183362" w:rsidRPr="00B33A7B">
        <w:rPr>
          <w:rFonts w:cs="Arial"/>
          <w:color w:val="000000" w:themeColor="text1"/>
          <w:shd w:val="clear" w:color="auto" w:fill="FFFFFF"/>
        </w:rPr>
        <w:t>.</w:t>
      </w:r>
      <w:r w:rsidRPr="00B33A7B">
        <w:rPr>
          <w:rFonts w:cs="Arial"/>
          <w:color w:val="000000" w:themeColor="text1"/>
          <w:shd w:val="clear" w:color="auto" w:fill="FFFFFF"/>
        </w:rPr>
        <w:br/>
      </w:r>
    </w:p>
    <w:p w14:paraId="14745F27" w14:textId="4F730966" w:rsidR="005A31B8" w:rsidRPr="00B33A7B" w:rsidRDefault="00321199" w:rsidP="00993D09">
      <w:pPr>
        <w:pStyle w:val="ListParagraph"/>
        <w:numPr>
          <w:ilvl w:val="0"/>
          <w:numId w:val="2"/>
        </w:numPr>
        <w:ind w:right="90"/>
        <w:rPr>
          <w:rFonts w:cs="Arial"/>
          <w:color w:val="000000" w:themeColor="text1"/>
          <w:shd w:val="clear" w:color="auto" w:fill="FFFFFF"/>
        </w:rPr>
      </w:pPr>
      <w:r w:rsidRPr="00B33A7B">
        <w:rPr>
          <w:rFonts w:cs="Arial"/>
          <w:color w:val="000000" w:themeColor="text1"/>
          <w:shd w:val="clear" w:color="auto" w:fill="FFFFFF"/>
        </w:rPr>
        <w:t xml:space="preserve">“Bus Transfer Station” means an arrival, departure, or transfer point for the area’s intercity, intraregional, or interregional bus service having </w:t>
      </w:r>
      <w:r w:rsidR="00C351FD" w:rsidRPr="00B33A7B">
        <w:rPr>
          <w:rFonts w:cs="Arial"/>
          <w:color w:val="000000" w:themeColor="text1"/>
          <w:shd w:val="clear" w:color="auto" w:fill="FFFFFF"/>
        </w:rPr>
        <w:t xml:space="preserve">a </w:t>
      </w:r>
      <w:r w:rsidRPr="00B33A7B">
        <w:rPr>
          <w:rFonts w:cs="Arial"/>
          <w:color w:val="000000" w:themeColor="text1"/>
          <w:shd w:val="clear" w:color="auto" w:fill="FFFFFF"/>
        </w:rPr>
        <w:t>permanent investment in multiple bus docking facilities, ticketing services, and passenger shelters.</w:t>
      </w:r>
    </w:p>
    <w:p w14:paraId="7338DB93" w14:textId="33990E02" w:rsidR="00465FDF" w:rsidRPr="00B33A7B" w:rsidRDefault="00465FDF" w:rsidP="008906F0">
      <w:pPr>
        <w:widowControl w:val="0"/>
        <w:tabs>
          <w:tab w:val="left" w:pos="1710"/>
        </w:tabs>
        <w:autoSpaceDE w:val="0"/>
        <w:autoSpaceDN w:val="0"/>
        <w:ind w:right="-3"/>
        <w:rPr>
          <w:color w:val="FF0000"/>
        </w:rPr>
      </w:pPr>
    </w:p>
    <w:p w14:paraId="674C9507" w14:textId="32D17538" w:rsidR="00321199" w:rsidRPr="00B33A7B" w:rsidRDefault="00321199" w:rsidP="00993D09">
      <w:pPr>
        <w:pStyle w:val="ListParagraph"/>
        <w:numPr>
          <w:ilvl w:val="0"/>
          <w:numId w:val="2"/>
        </w:numPr>
        <w:ind w:right="90"/>
        <w:rPr>
          <w:rFonts w:cs="Arial"/>
          <w:color w:val="000000" w:themeColor="text1"/>
          <w:shd w:val="clear" w:color="auto" w:fill="FFFFFF"/>
        </w:rPr>
      </w:pPr>
      <w:r w:rsidRPr="00B33A7B">
        <w:rPr>
          <w:rFonts w:cs="Arial"/>
          <w:color w:val="000000" w:themeColor="text1"/>
          <w:shd w:val="clear" w:color="auto" w:fill="FFFFFF"/>
        </w:rPr>
        <w:t xml:space="preserve">“Capital Asset" means </w:t>
      </w:r>
      <w:r w:rsidR="00C351FD" w:rsidRPr="00B33A7B">
        <w:rPr>
          <w:rFonts w:cs="Arial"/>
          <w:color w:val="000000" w:themeColor="text1"/>
          <w:shd w:val="clear" w:color="auto" w:fill="FFFFFF"/>
        </w:rPr>
        <w:t xml:space="preserve">a </w:t>
      </w:r>
      <w:r w:rsidRPr="00B33A7B">
        <w:rPr>
          <w:rFonts w:cs="Arial"/>
          <w:color w:val="000000" w:themeColor="text1"/>
          <w:shd w:val="clear" w:color="auto" w:fill="FFFFFF"/>
        </w:rPr>
        <w:t xml:space="preserve">tangible physical property with an expected useful life of 15 years or more. Capital </w:t>
      </w:r>
      <w:r w:rsidR="008A27CA" w:rsidRPr="00B33A7B">
        <w:rPr>
          <w:rFonts w:cs="Arial"/>
          <w:color w:val="000000" w:themeColor="text1"/>
          <w:shd w:val="clear" w:color="auto" w:fill="FFFFFF"/>
        </w:rPr>
        <w:t>Asset</w:t>
      </w:r>
      <w:r w:rsidRPr="00B33A7B">
        <w:rPr>
          <w:rFonts w:cs="Arial"/>
          <w:color w:val="000000" w:themeColor="text1"/>
          <w:shd w:val="clear" w:color="auto" w:fill="FFFFFF"/>
        </w:rPr>
        <w:t xml:space="preserve"> also means </w:t>
      </w:r>
      <w:r w:rsidR="00C351FD" w:rsidRPr="00B33A7B">
        <w:rPr>
          <w:rFonts w:cs="Arial"/>
          <w:color w:val="000000" w:themeColor="text1"/>
          <w:shd w:val="clear" w:color="auto" w:fill="FFFFFF"/>
        </w:rPr>
        <w:t xml:space="preserve">a </w:t>
      </w:r>
      <w:r w:rsidRPr="00B33A7B">
        <w:rPr>
          <w:rFonts w:cs="Arial"/>
          <w:color w:val="000000" w:themeColor="text1"/>
          <w:shd w:val="clear" w:color="auto" w:fill="FFFFFF"/>
        </w:rPr>
        <w:t>tangible physical property with an expected useful life of 10 to15 years for costs not to exceed 10</w:t>
      </w:r>
      <w:r w:rsidR="00C52098" w:rsidRPr="00B33A7B">
        <w:rPr>
          <w:rFonts w:cs="Arial"/>
          <w:color w:val="000000" w:themeColor="text1"/>
          <w:shd w:val="clear" w:color="auto" w:fill="FFFFFF"/>
        </w:rPr>
        <w:t xml:space="preserve"> percent </w:t>
      </w:r>
      <w:r w:rsidRPr="00B33A7B">
        <w:rPr>
          <w:rFonts w:cs="Arial"/>
          <w:color w:val="000000" w:themeColor="text1"/>
          <w:shd w:val="clear" w:color="auto" w:fill="FFFFFF"/>
        </w:rPr>
        <w:t>of the Program grant</w:t>
      </w:r>
      <w:r w:rsidR="008A27CA" w:rsidRPr="00B33A7B">
        <w:rPr>
          <w:rFonts w:cs="Arial"/>
          <w:color w:val="000000" w:themeColor="text1"/>
          <w:shd w:val="clear" w:color="auto" w:fill="FFFFFF"/>
        </w:rPr>
        <w:t xml:space="preserve">. </w:t>
      </w:r>
      <w:r w:rsidRPr="00B33A7B">
        <w:rPr>
          <w:rFonts w:cs="Arial"/>
          <w:color w:val="000000" w:themeColor="text1"/>
          <w:shd w:val="clear" w:color="auto" w:fill="FFFFFF"/>
        </w:rPr>
        <w:t xml:space="preserve">Capital Asset includes major maintenance, reconstruction, </w:t>
      </w:r>
      <w:r w:rsidRPr="00B33A7B">
        <w:rPr>
          <w:rFonts w:cs="Arial"/>
          <w:color w:val="000000" w:themeColor="text1"/>
          <w:shd w:val="clear" w:color="auto" w:fill="FFFFFF"/>
        </w:rPr>
        <w:lastRenderedPageBreak/>
        <w:t xml:space="preserve">demolition for purposes of reconstruction of facilities, and retrofitting work that is ordinarily done no more often than once every 5 to 15 years or expenditures that continue or enhance the useful life of the </w:t>
      </w:r>
      <w:r w:rsidR="008A27CA" w:rsidRPr="00B33A7B">
        <w:rPr>
          <w:rFonts w:cs="Arial"/>
          <w:color w:val="000000" w:themeColor="text1"/>
          <w:shd w:val="clear" w:color="auto" w:fill="FFFFFF"/>
        </w:rPr>
        <w:t>Capital Asset</w:t>
      </w:r>
      <w:r w:rsidR="00C3301E" w:rsidRPr="00B33A7B">
        <w:rPr>
          <w:rFonts w:cs="Arial"/>
          <w:color w:val="000000" w:themeColor="text1"/>
          <w:shd w:val="clear" w:color="auto" w:fill="FFFFFF"/>
        </w:rPr>
        <w:t>. Capital Asset</w:t>
      </w:r>
      <w:r w:rsidRPr="00B33A7B">
        <w:rPr>
          <w:rFonts w:cs="Arial"/>
          <w:color w:val="000000" w:themeColor="text1"/>
          <w:shd w:val="clear" w:color="auto" w:fill="FFFFFF"/>
        </w:rPr>
        <w:t xml:space="preserve"> also includes equipment with an expected useful life of two years or more. Costs allowable under this definition include costs incidentally but directly related to construction or acquisition, including, but not limited to, planning, engineering, construction management, architectural, and other design work, environmental impact reports and assessments, required mitigation expenses, appraisals, legal expenses, site acquisitions, and necessary easements.</w:t>
      </w:r>
    </w:p>
    <w:p w14:paraId="7FFE2CD8" w14:textId="0F12DE7E" w:rsidR="00321199" w:rsidRPr="00B33A7B" w:rsidRDefault="00321199" w:rsidP="009A2606">
      <w:pPr>
        <w:pStyle w:val="ListParagraph"/>
        <w:ind w:right="90"/>
        <w:rPr>
          <w:rFonts w:cs="Arial"/>
          <w:color w:val="000000" w:themeColor="text1"/>
          <w:shd w:val="clear" w:color="auto" w:fill="FFFFFF"/>
        </w:rPr>
      </w:pPr>
    </w:p>
    <w:p w14:paraId="3D8E11B3" w14:textId="273E43CE" w:rsidR="0040296F" w:rsidRPr="00B33A7B" w:rsidRDefault="129922E8" w:rsidP="00993D09">
      <w:pPr>
        <w:pStyle w:val="ListParagraph"/>
        <w:numPr>
          <w:ilvl w:val="0"/>
          <w:numId w:val="2"/>
        </w:numPr>
        <w:ind w:right="90"/>
        <w:rPr>
          <w:rFonts w:cs="Arial"/>
          <w:color w:val="000000" w:themeColor="text1"/>
          <w:shd w:val="clear" w:color="auto" w:fill="FFFFFF"/>
        </w:rPr>
      </w:pPr>
      <w:r w:rsidRPr="00B33A7B">
        <w:rPr>
          <w:rFonts w:cs="Arial"/>
          <w:color w:val="000000" w:themeColor="text1"/>
          <w:shd w:val="clear" w:color="auto" w:fill="FFFFFF"/>
        </w:rPr>
        <w:t xml:space="preserve">"Capital Improvement Project" or </w:t>
      </w:r>
      <w:r w:rsidR="2AB0DCA1" w:rsidRPr="00B33A7B">
        <w:rPr>
          <w:rFonts w:cs="Arial"/>
          <w:color w:val="000000" w:themeColor="text1"/>
          <w:shd w:val="clear" w:color="auto" w:fill="FFFFFF"/>
        </w:rPr>
        <w:t xml:space="preserve">“CIP” or </w:t>
      </w:r>
      <w:r w:rsidRPr="00B33A7B">
        <w:rPr>
          <w:rFonts w:cs="Arial"/>
          <w:color w:val="000000" w:themeColor="text1"/>
          <w:shd w:val="clear" w:color="auto" w:fill="FFFFFF"/>
        </w:rPr>
        <w:t xml:space="preserve">“Project” </w:t>
      </w:r>
      <w:r w:rsidR="49796493" w:rsidRPr="00B33A7B">
        <w:rPr>
          <w:rFonts w:cs="Arial"/>
          <w:color w:val="000000" w:themeColor="text1"/>
          <w:shd w:val="clear" w:color="auto" w:fill="FFFFFF"/>
        </w:rPr>
        <w:t xml:space="preserve">means the construction, </w:t>
      </w:r>
      <w:r w:rsidR="63978E6C" w:rsidRPr="00B33A7B">
        <w:rPr>
          <w:rFonts w:cs="Arial"/>
          <w:color w:val="000000" w:themeColor="text1"/>
          <w:shd w:val="clear" w:color="auto" w:fill="FFFFFF"/>
        </w:rPr>
        <w:t>R</w:t>
      </w:r>
      <w:r w:rsidR="49796493" w:rsidRPr="00B33A7B">
        <w:rPr>
          <w:rFonts w:cs="Arial"/>
          <w:color w:val="000000" w:themeColor="text1"/>
          <w:shd w:val="clear" w:color="auto" w:fill="FFFFFF"/>
        </w:rPr>
        <w:t>ehabilitation</w:t>
      </w:r>
      <w:r w:rsidR="653C886D" w:rsidRPr="00B33A7B">
        <w:rPr>
          <w:rFonts w:cs="Arial"/>
          <w:color w:val="000000" w:themeColor="text1"/>
          <w:shd w:val="clear" w:color="auto" w:fill="FFFFFF"/>
        </w:rPr>
        <w:t xml:space="preserve"> </w:t>
      </w:r>
      <w:r w:rsidR="653C886D" w:rsidRPr="00B33A7B">
        <w:t>(as that term is defined below)</w:t>
      </w:r>
      <w:r w:rsidR="49796493" w:rsidRPr="00B33A7B">
        <w:rPr>
          <w:rFonts w:cs="Arial"/>
          <w:shd w:val="clear" w:color="auto" w:fill="FFFFFF"/>
        </w:rPr>
        <w:t xml:space="preserve">, </w:t>
      </w:r>
      <w:r w:rsidR="49796493" w:rsidRPr="00B33A7B">
        <w:rPr>
          <w:rFonts w:cs="Arial"/>
          <w:color w:val="000000" w:themeColor="text1"/>
          <w:shd w:val="clear" w:color="auto" w:fill="FFFFFF"/>
        </w:rPr>
        <w:t>demolition, relocation, preservation, acquisition, or other physical</w:t>
      </w:r>
      <w:r w:rsidR="75D53F0B" w:rsidRPr="00B33A7B">
        <w:rPr>
          <w:rFonts w:cs="Arial"/>
          <w:color w:val="000000" w:themeColor="text1"/>
          <w:shd w:val="clear" w:color="auto" w:fill="FFFFFF"/>
        </w:rPr>
        <w:t xml:space="preserve"> improvement of a Capital Asset</w:t>
      </w:r>
      <w:r w:rsidR="49796493" w:rsidRPr="00B33A7B">
        <w:rPr>
          <w:rFonts w:cs="Arial"/>
          <w:color w:val="000000" w:themeColor="text1"/>
          <w:shd w:val="clear" w:color="auto" w:fill="FFFFFF"/>
        </w:rPr>
        <w:t xml:space="preserve"> that is an integral part of, or necessary t</w:t>
      </w:r>
      <w:r w:rsidR="75D53F0B" w:rsidRPr="00B33A7B">
        <w:rPr>
          <w:rFonts w:cs="Arial"/>
          <w:color w:val="000000" w:themeColor="text1"/>
          <w:shd w:val="clear" w:color="auto" w:fill="FFFFFF"/>
        </w:rPr>
        <w:t>o facilitate the development of</w:t>
      </w:r>
      <w:r w:rsidR="66E88571" w:rsidRPr="00B33A7B">
        <w:rPr>
          <w:rFonts w:cs="Arial"/>
          <w:color w:val="000000" w:themeColor="text1"/>
          <w:shd w:val="clear" w:color="auto" w:fill="FFFFFF"/>
        </w:rPr>
        <w:t>,</w:t>
      </w:r>
      <w:r w:rsidR="49796493" w:rsidRPr="00B33A7B">
        <w:rPr>
          <w:rFonts w:cs="Arial"/>
          <w:color w:val="000000" w:themeColor="text1"/>
          <w:shd w:val="clear" w:color="auto" w:fill="FFFFFF"/>
        </w:rPr>
        <w:t xml:space="preserve"> a </w:t>
      </w:r>
      <w:r w:rsidR="1DBD202B" w:rsidRPr="00B33A7B">
        <w:rPr>
          <w:rFonts w:cs="Arial"/>
          <w:color w:val="000000" w:themeColor="text1"/>
          <w:shd w:val="clear" w:color="auto" w:fill="FFFFFF"/>
        </w:rPr>
        <w:t>Qualifying Infill Project</w:t>
      </w:r>
      <w:r w:rsidR="49796493" w:rsidRPr="00B33A7B">
        <w:rPr>
          <w:rFonts w:cs="Arial"/>
          <w:color w:val="000000" w:themeColor="text1"/>
          <w:shd w:val="clear" w:color="auto" w:fill="FFFFFF"/>
        </w:rPr>
        <w:t xml:space="preserve"> or </w:t>
      </w:r>
      <w:r w:rsidR="32A763EA" w:rsidRPr="00B33A7B">
        <w:rPr>
          <w:rFonts w:cs="Arial"/>
          <w:color w:val="000000" w:themeColor="text1"/>
          <w:shd w:val="clear" w:color="auto" w:fill="FFFFFF"/>
        </w:rPr>
        <w:t>Qualifying Infill Area</w:t>
      </w:r>
      <w:r w:rsidR="49796493" w:rsidRPr="00B33A7B">
        <w:rPr>
          <w:rFonts w:cs="Arial"/>
          <w:color w:val="000000" w:themeColor="text1"/>
          <w:shd w:val="clear" w:color="auto" w:fill="FFFFFF"/>
        </w:rPr>
        <w:t xml:space="preserve">. Capital Improvement Projects that may be funded under the Program include, but are not limited to, those described in </w:t>
      </w:r>
      <w:r w:rsidR="4AB81220" w:rsidRPr="00B33A7B">
        <w:rPr>
          <w:rFonts w:cs="Arial"/>
          <w:color w:val="000000" w:themeColor="text1"/>
          <w:shd w:val="clear" w:color="auto" w:fill="FFFFFF"/>
        </w:rPr>
        <w:t>S</w:t>
      </w:r>
      <w:r w:rsidR="1AC84FC9" w:rsidRPr="00B33A7B">
        <w:rPr>
          <w:rFonts w:cs="Arial"/>
          <w:color w:val="000000" w:themeColor="text1"/>
          <w:shd w:val="clear" w:color="auto" w:fill="FFFFFF"/>
        </w:rPr>
        <w:t xml:space="preserve">ection </w:t>
      </w:r>
      <w:r w:rsidR="007F502E" w:rsidRPr="00B33A7B">
        <w:rPr>
          <w:rFonts w:cs="Arial"/>
          <w:color w:val="000000" w:themeColor="text1"/>
          <w:shd w:val="clear" w:color="auto" w:fill="FFFFFF"/>
        </w:rPr>
        <w:t>200 of these Guidelines</w:t>
      </w:r>
      <w:r w:rsidR="49796493" w:rsidRPr="00B33A7B">
        <w:rPr>
          <w:rFonts w:cs="Arial"/>
          <w:color w:val="000000" w:themeColor="text1"/>
          <w:shd w:val="clear" w:color="auto" w:fill="FFFFFF"/>
        </w:rPr>
        <w:t>.</w:t>
      </w:r>
    </w:p>
    <w:p w14:paraId="041CEC23" w14:textId="432CAA72" w:rsidR="009862FF" w:rsidRPr="00B33A7B" w:rsidRDefault="009862FF" w:rsidP="009862FF">
      <w:pPr>
        <w:ind w:right="90"/>
        <w:rPr>
          <w:rFonts w:cs="Arial"/>
          <w:color w:val="000000" w:themeColor="text1"/>
          <w:shd w:val="clear" w:color="auto" w:fill="FFFFFF"/>
        </w:rPr>
      </w:pPr>
    </w:p>
    <w:p w14:paraId="6C79D368" w14:textId="38F93277" w:rsidR="0089074C" w:rsidRPr="00B33A7B" w:rsidRDefault="00C22B1C" w:rsidP="00993D09">
      <w:pPr>
        <w:pStyle w:val="Default"/>
        <w:numPr>
          <w:ilvl w:val="0"/>
          <w:numId w:val="2"/>
        </w:numPr>
        <w:ind w:right="-3"/>
        <w:rPr>
          <w:color w:val="auto"/>
        </w:rPr>
      </w:pPr>
      <w:r w:rsidRPr="00B33A7B">
        <w:rPr>
          <w:color w:val="auto"/>
        </w:rPr>
        <w:t>“</w:t>
      </w:r>
      <w:r w:rsidR="0089074C" w:rsidRPr="00B33A7B">
        <w:rPr>
          <w:color w:val="auto"/>
        </w:rPr>
        <w:t>Chronic Homelessness</w:t>
      </w:r>
      <w:r w:rsidRPr="00B33A7B">
        <w:rPr>
          <w:color w:val="auto"/>
        </w:rPr>
        <w:t>”</w:t>
      </w:r>
      <w:r w:rsidR="0089074C" w:rsidRPr="00B33A7B">
        <w:rPr>
          <w:color w:val="auto"/>
        </w:rPr>
        <w:t xml:space="preserve"> means the condition experienced by people defined as “Chronically Homeless” under the federal Continuum of Care Program, at 24 CFR Part 578.3.</w:t>
      </w:r>
    </w:p>
    <w:p w14:paraId="18B023BC" w14:textId="77777777" w:rsidR="0089074C" w:rsidRPr="00B33A7B" w:rsidRDefault="0089074C" w:rsidP="0089074C">
      <w:pPr>
        <w:ind w:right="-3"/>
        <w:jc w:val="both"/>
      </w:pPr>
      <w:r w:rsidRPr="00B33A7B">
        <w:rPr>
          <w:spacing w:val="-1"/>
        </w:rPr>
        <w:t xml:space="preserve"> </w:t>
      </w:r>
    </w:p>
    <w:p w14:paraId="3857ACF4" w14:textId="77777777" w:rsidR="0089074C" w:rsidRPr="00B33A7B" w:rsidRDefault="0089074C" w:rsidP="0089074C">
      <w:pPr>
        <w:pStyle w:val="Default"/>
        <w:ind w:left="720" w:right="-3"/>
        <w:rPr>
          <w:color w:val="auto"/>
        </w:rPr>
      </w:pPr>
      <w:r w:rsidRPr="00B33A7B">
        <w:rPr>
          <w:color w:val="auto"/>
        </w:rPr>
        <w:t>It also includes the condition of individuals and families:</w:t>
      </w:r>
    </w:p>
    <w:p w14:paraId="1692D553" w14:textId="77777777" w:rsidR="0089074C" w:rsidRPr="00B33A7B" w:rsidRDefault="0089074C" w:rsidP="0089074C">
      <w:pPr>
        <w:widowControl w:val="0"/>
        <w:autoSpaceDE w:val="0"/>
        <w:autoSpaceDN w:val="0"/>
        <w:ind w:right="-3"/>
      </w:pPr>
    </w:p>
    <w:p w14:paraId="1A0E8BF9" w14:textId="231C9CE2" w:rsidR="0089074C" w:rsidRPr="00B33A7B" w:rsidRDefault="0089074C" w:rsidP="00993D09">
      <w:pPr>
        <w:pStyle w:val="ListParagraph"/>
        <w:numPr>
          <w:ilvl w:val="0"/>
          <w:numId w:val="58"/>
        </w:numPr>
        <w:ind w:right="360" w:hanging="720"/>
        <w:rPr>
          <w:rFonts w:cs="Arial"/>
        </w:rPr>
      </w:pPr>
      <w:r w:rsidRPr="00B33A7B">
        <w:rPr>
          <w:rFonts w:cs="Arial"/>
        </w:rPr>
        <w:t xml:space="preserve">Residing in a place not meant for human habitation, </w:t>
      </w:r>
      <w:r w:rsidR="003824EE">
        <w:rPr>
          <w:rFonts w:cs="Arial"/>
        </w:rPr>
        <w:t>e</w:t>
      </w:r>
      <w:r w:rsidR="003824EE" w:rsidRPr="00B33A7B">
        <w:rPr>
          <w:rFonts w:cs="Arial"/>
        </w:rPr>
        <w:t xml:space="preserve">mergency </w:t>
      </w:r>
      <w:r w:rsidR="003824EE">
        <w:rPr>
          <w:rFonts w:cs="Arial"/>
        </w:rPr>
        <w:t>s</w:t>
      </w:r>
      <w:r w:rsidR="003824EE" w:rsidRPr="00B33A7B">
        <w:rPr>
          <w:rFonts w:cs="Arial"/>
        </w:rPr>
        <w:t>helter</w:t>
      </w:r>
      <w:r w:rsidRPr="00B33A7B">
        <w:rPr>
          <w:rFonts w:cs="Arial"/>
        </w:rPr>
        <w:t>, or Safe Haven, after experiencing Chronic Homelessness as</w:t>
      </w:r>
      <w:r w:rsidR="00150F3B">
        <w:rPr>
          <w:rFonts w:cs="Arial"/>
        </w:rPr>
        <w:t xml:space="preserve"> </w:t>
      </w:r>
      <w:r w:rsidRPr="00B33A7B">
        <w:rPr>
          <w:rFonts w:cs="Arial"/>
        </w:rPr>
        <w:t>defined in 24 CFR Section 578.3, and subsequently residing in a permanent housing project within the last year.</w:t>
      </w:r>
    </w:p>
    <w:p w14:paraId="3B1C997D" w14:textId="77777777" w:rsidR="0089074C" w:rsidRPr="00B33A7B" w:rsidRDefault="0089074C" w:rsidP="0089074C">
      <w:pPr>
        <w:pStyle w:val="ListParagraph"/>
        <w:ind w:left="1440" w:right="360"/>
        <w:rPr>
          <w:rFonts w:cs="Arial"/>
        </w:rPr>
      </w:pPr>
    </w:p>
    <w:p w14:paraId="53391591" w14:textId="77777777" w:rsidR="0089074C" w:rsidRPr="00B33A7B" w:rsidRDefault="0089074C" w:rsidP="00993D09">
      <w:pPr>
        <w:pStyle w:val="ListParagraph"/>
        <w:numPr>
          <w:ilvl w:val="0"/>
          <w:numId w:val="58"/>
        </w:numPr>
        <w:ind w:right="360" w:hanging="720"/>
        <w:rPr>
          <w:rFonts w:cs="Arial"/>
        </w:rPr>
      </w:pPr>
      <w:r w:rsidRPr="00B33A7B">
        <w:rPr>
          <w:rFonts w:cs="Arial"/>
        </w:rPr>
        <w:t>Residing in Transitional Housing who were experiencing Chronic Homelessness as defined in 24 CFR Section 578.3 prior to entering the Transitional Housing; or</w:t>
      </w:r>
    </w:p>
    <w:p w14:paraId="4FFD4E9D" w14:textId="77777777" w:rsidR="0089074C" w:rsidRPr="00B33A7B" w:rsidRDefault="0089074C" w:rsidP="0089074C">
      <w:pPr>
        <w:pStyle w:val="ListParagraph"/>
        <w:ind w:left="1440" w:right="360"/>
        <w:rPr>
          <w:rFonts w:cs="Arial"/>
        </w:rPr>
      </w:pPr>
    </w:p>
    <w:p w14:paraId="43BDCF4D" w14:textId="08D363E1" w:rsidR="0089074C" w:rsidRPr="00B33A7B" w:rsidRDefault="0089074C" w:rsidP="00993D09">
      <w:pPr>
        <w:pStyle w:val="ListParagraph"/>
        <w:numPr>
          <w:ilvl w:val="0"/>
          <w:numId w:val="58"/>
        </w:numPr>
        <w:ind w:right="360" w:hanging="720"/>
        <w:rPr>
          <w:rFonts w:cs="Arial"/>
        </w:rPr>
      </w:pPr>
      <w:r w:rsidRPr="00B33A7B">
        <w:rPr>
          <w:rFonts w:cs="Arial"/>
        </w:rPr>
        <w:t xml:space="preserve">Residing in an existing Supportive Housing </w:t>
      </w:r>
      <w:r w:rsidR="006B106E" w:rsidRPr="00B33A7B">
        <w:rPr>
          <w:rFonts w:cs="Arial"/>
        </w:rPr>
        <w:t>p</w:t>
      </w:r>
      <w:r w:rsidRPr="00B33A7B">
        <w:rPr>
          <w:rFonts w:cs="Arial"/>
        </w:rPr>
        <w:t>roject receiving MHP funding for Rehabilitation or being replaced by an MHP-funded project, provided that, upon initial occupancy, the individuals were experiencing chronic homeless as defined in 24 CFR Section 578.3 or qualified under Section 7303(f).</w:t>
      </w:r>
    </w:p>
    <w:p w14:paraId="5EB54DE3" w14:textId="77777777" w:rsidR="0089074C" w:rsidRPr="00B33A7B" w:rsidRDefault="0089074C" w:rsidP="00D1290A">
      <w:pPr>
        <w:pStyle w:val="ListParagraph"/>
        <w:rPr>
          <w:rFonts w:cs="Arial"/>
          <w:shd w:val="clear" w:color="auto" w:fill="FFFFFF"/>
        </w:rPr>
      </w:pPr>
    </w:p>
    <w:p w14:paraId="3738AB2A" w14:textId="1BBB5D46" w:rsidR="00E43841" w:rsidRPr="00B33A7B" w:rsidRDefault="00E43841" w:rsidP="00993D09">
      <w:pPr>
        <w:pStyle w:val="Default"/>
        <w:numPr>
          <w:ilvl w:val="0"/>
          <w:numId w:val="2"/>
        </w:numPr>
        <w:ind w:right="-3"/>
        <w:rPr>
          <w:rStyle w:val="CM45"/>
          <w:color w:val="auto"/>
        </w:rPr>
      </w:pPr>
      <w:r w:rsidRPr="00B33A7B">
        <w:rPr>
          <w:color w:val="auto"/>
        </w:rPr>
        <w:t xml:space="preserve">“Commercial Space” means any nonresidential space located in or on the property of an Affordable Housing Development that is, or is </w:t>
      </w:r>
      <w:r w:rsidRPr="00B33A7B">
        <w:rPr>
          <w:rStyle w:val="CM45"/>
          <w:color w:val="auto"/>
        </w:rPr>
        <w:t xml:space="preserve">proposed to be, </w:t>
      </w:r>
      <w:proofErr w:type="gramStart"/>
      <w:r w:rsidRPr="00B33A7B">
        <w:rPr>
          <w:rStyle w:val="CM45"/>
          <w:color w:val="auto"/>
        </w:rPr>
        <w:t>rented</w:t>
      </w:r>
      <w:proofErr w:type="gramEnd"/>
      <w:r w:rsidRPr="00B33A7B">
        <w:rPr>
          <w:rStyle w:val="CM45"/>
          <w:color w:val="auto"/>
        </w:rPr>
        <w:t xml:space="preserve"> or leased by the owner of the </w:t>
      </w:r>
      <w:r w:rsidR="00402AB3" w:rsidRPr="00B33A7B">
        <w:rPr>
          <w:rStyle w:val="CM45"/>
          <w:color w:val="auto"/>
        </w:rPr>
        <w:t>Affordable Housing Development</w:t>
      </w:r>
      <w:r w:rsidRPr="00B33A7B">
        <w:rPr>
          <w:rStyle w:val="CM45"/>
          <w:color w:val="auto"/>
        </w:rPr>
        <w:t xml:space="preserve"> and that is or will be used to serve clients or customers. The income from the Commercial Space shall be included as Operating Income. </w:t>
      </w:r>
    </w:p>
    <w:p w14:paraId="375B493A" w14:textId="77777777" w:rsidR="00E43841" w:rsidRPr="00B33A7B" w:rsidRDefault="00E43841" w:rsidP="00E43841">
      <w:pPr>
        <w:pStyle w:val="ListParagraph"/>
        <w:shd w:val="clear" w:color="auto" w:fill="FFFFFF" w:themeFill="background1"/>
      </w:pPr>
    </w:p>
    <w:p w14:paraId="5EEA636F" w14:textId="7DF611BB" w:rsidR="00D04A15" w:rsidRPr="00B33A7B" w:rsidRDefault="00D5022D" w:rsidP="00993D09">
      <w:pPr>
        <w:pStyle w:val="ListParagraph"/>
        <w:numPr>
          <w:ilvl w:val="0"/>
          <w:numId w:val="2"/>
        </w:numPr>
        <w:shd w:val="clear" w:color="auto" w:fill="FFFFFF" w:themeFill="background1"/>
      </w:pPr>
      <w:r w:rsidRPr="00B33A7B">
        <w:t>“</w:t>
      </w:r>
      <w:r w:rsidR="00D04A15" w:rsidRPr="00B33A7B">
        <w:t xml:space="preserve">Community-Based Developer” </w:t>
      </w:r>
      <w:r w:rsidR="00D1290A" w:rsidRPr="00B33A7B">
        <w:t xml:space="preserve">means </w:t>
      </w:r>
      <w:r w:rsidR="00B877A9" w:rsidRPr="00B33A7B">
        <w:t>a nonprofit and/or for-profit entity</w:t>
      </w:r>
      <w:r w:rsidR="00AC3E12" w:rsidRPr="00B33A7B">
        <w:t xml:space="preserve"> </w:t>
      </w:r>
      <w:r w:rsidR="00B877A9" w:rsidRPr="00B33A7B">
        <w:t xml:space="preserve">(including a Tribal Entity) that has, for the past twenty-four (24) consecutive months, been </w:t>
      </w:r>
      <w:r w:rsidR="00B877A9" w:rsidRPr="00B33A7B">
        <w:lastRenderedPageBreak/>
        <w:t xml:space="preserve">located and operating exclusively from or primarily in a Low or Moderate Resource or High Segregation &amp; Poverty area (their community), as designated in the most recently updated TCAC/HCD Opportunity Area Map or such other map as federal designations may issue that have been approved by the Department for this purpose. The entity must have at least five (5) years of experience in the delivery of culturally competent services and/or community development programs to </w:t>
      </w:r>
      <w:proofErr w:type="gramStart"/>
      <w:r w:rsidR="001E0B90" w:rsidRPr="00B33A7B">
        <w:t>L</w:t>
      </w:r>
      <w:r w:rsidR="00B877A9" w:rsidRPr="00B33A7B">
        <w:t xml:space="preserve">ow or </w:t>
      </w:r>
      <w:r w:rsidR="001E0B90" w:rsidRPr="00B33A7B">
        <w:t>L</w:t>
      </w:r>
      <w:r w:rsidR="00B877A9" w:rsidRPr="00B33A7B">
        <w:t>ower</w:t>
      </w:r>
      <w:r w:rsidR="001E0B90" w:rsidRPr="00B33A7B">
        <w:t xml:space="preserve"> I</w:t>
      </w:r>
      <w:r w:rsidR="00B877A9" w:rsidRPr="00B33A7B">
        <w:t>ncome</w:t>
      </w:r>
      <w:proofErr w:type="gramEnd"/>
      <w:r w:rsidR="00B877A9" w:rsidRPr="00B33A7B">
        <w:t xml:space="preserve"> households in their community (or census tract). For the purposes of these </w:t>
      </w:r>
      <w:r w:rsidR="002037D0" w:rsidRPr="00B33A7B">
        <w:t>G</w:t>
      </w:r>
      <w:r w:rsidR="00B877A9" w:rsidRPr="00B33A7B">
        <w:t xml:space="preserve">uidelines, “culturally competent services” means services that respect diversity in the community and respond effectively across cultures, regardless of differences in language, communication styles, abilities, disabilities, beliefs, attitudes, and behaviors. Please note Community-Based Developers are subject to additional application requirements as set forth in Section 7318 </w:t>
      </w:r>
      <w:r w:rsidR="00B81D45" w:rsidRPr="00B33A7B">
        <w:t xml:space="preserve">of the MHP </w:t>
      </w:r>
      <w:r w:rsidR="002037D0" w:rsidRPr="00B33A7B">
        <w:t>G</w:t>
      </w:r>
      <w:r w:rsidR="00B81D45" w:rsidRPr="00B33A7B">
        <w:t>uidelines</w:t>
      </w:r>
      <w:r w:rsidR="00B877A9" w:rsidRPr="00B33A7B">
        <w:t>.</w:t>
      </w:r>
    </w:p>
    <w:p w14:paraId="6AC055A3" w14:textId="784E87B4" w:rsidR="00321199" w:rsidRPr="00B33A7B" w:rsidRDefault="00321199" w:rsidP="009A2606">
      <w:pPr>
        <w:pStyle w:val="ListParagraph"/>
        <w:ind w:right="90"/>
        <w:rPr>
          <w:rFonts w:cs="Arial"/>
          <w:color w:val="000000" w:themeColor="text1"/>
          <w:shd w:val="clear" w:color="auto" w:fill="FFFFFF"/>
        </w:rPr>
      </w:pPr>
    </w:p>
    <w:p w14:paraId="7CD93C20" w14:textId="6AC74BEB" w:rsidR="00D50ED9" w:rsidRPr="00B33A7B" w:rsidRDefault="5548E207" w:rsidP="00993D09">
      <w:pPr>
        <w:pStyle w:val="ListParagraph"/>
        <w:numPr>
          <w:ilvl w:val="0"/>
          <w:numId w:val="2"/>
        </w:numPr>
        <w:ind w:right="90"/>
        <w:rPr>
          <w:rFonts w:cs="Arial"/>
          <w:color w:val="000000" w:themeColor="text1"/>
          <w:shd w:val="clear" w:color="auto" w:fill="FFFFFF"/>
        </w:rPr>
      </w:pPr>
      <w:r w:rsidRPr="00B33A7B">
        <w:rPr>
          <w:rFonts w:cs="Arial"/>
          <w:color w:val="000000" w:themeColor="text1"/>
        </w:rPr>
        <w:t>“Covenant” or “Affordability Covenant” means</w:t>
      </w:r>
      <w:r w:rsidR="4C57008D" w:rsidRPr="00B33A7B">
        <w:rPr>
          <w:rFonts w:cs="Arial"/>
          <w:color w:val="000000" w:themeColor="text1"/>
        </w:rPr>
        <w:t xml:space="preserve"> </w:t>
      </w:r>
      <w:r w:rsidR="26F99038" w:rsidRPr="00B33A7B">
        <w:rPr>
          <w:rFonts w:cs="Arial"/>
          <w:color w:val="000000" w:themeColor="text1"/>
        </w:rPr>
        <w:t xml:space="preserve">an </w:t>
      </w:r>
      <w:r w:rsidR="00725EC6" w:rsidRPr="00B33A7B">
        <w:t>instrument which imposes development, use, and affordability restrictions on the real property site(s) of the Qualifying Infill Project or of the designated housing in the Qualifying Infill Area, and which is recorded against the fee interest in such real property site(s). The Covenant is executed as consideration for the IIG Program award to the Recipient</w:t>
      </w:r>
      <w:r w:rsidR="4C57008D" w:rsidRPr="00B33A7B">
        <w:t>.</w:t>
      </w:r>
    </w:p>
    <w:p w14:paraId="3FDB1AC3" w14:textId="77777777" w:rsidR="00D50ED9" w:rsidRPr="00B33A7B" w:rsidRDefault="00D50ED9" w:rsidP="007A2403">
      <w:pPr>
        <w:ind w:right="90"/>
        <w:rPr>
          <w:rFonts w:cs="Arial"/>
          <w:color w:val="000000" w:themeColor="text1"/>
          <w:shd w:val="clear" w:color="auto" w:fill="FFFFFF"/>
        </w:rPr>
      </w:pPr>
    </w:p>
    <w:p w14:paraId="0A981BB9" w14:textId="77777777" w:rsidR="009862FF" w:rsidRPr="00B33A7B" w:rsidRDefault="56151B1D" w:rsidP="009862FF">
      <w:pPr>
        <w:pStyle w:val="ListParagraph"/>
        <w:numPr>
          <w:ilvl w:val="0"/>
          <w:numId w:val="2"/>
        </w:numPr>
        <w:ind w:right="90"/>
        <w:rPr>
          <w:rFonts w:cs="Arial"/>
          <w:color w:val="000000" w:themeColor="text1"/>
          <w:shd w:val="clear" w:color="auto" w:fill="FFFFFF"/>
        </w:rPr>
      </w:pPr>
      <w:r w:rsidRPr="00B33A7B">
        <w:rPr>
          <w:rFonts w:cs="Arial"/>
          <w:color w:val="000000" w:themeColor="text1"/>
          <w:shd w:val="clear" w:color="auto" w:fill="FFFFFF"/>
        </w:rPr>
        <w:t xml:space="preserve">“Department” </w:t>
      </w:r>
      <w:r w:rsidR="4EEAA2AD" w:rsidRPr="00B33A7B">
        <w:rPr>
          <w:rFonts w:cs="Arial"/>
          <w:color w:val="000000" w:themeColor="text1"/>
          <w:shd w:val="clear" w:color="auto" w:fill="FFFFFF"/>
        </w:rPr>
        <w:t xml:space="preserve">or “HCD” </w:t>
      </w:r>
      <w:r w:rsidRPr="00B33A7B">
        <w:rPr>
          <w:rFonts w:cs="Arial"/>
          <w:color w:val="000000" w:themeColor="text1"/>
          <w:shd w:val="clear" w:color="auto" w:fill="FFFFFF"/>
        </w:rPr>
        <w:t xml:space="preserve">means the </w:t>
      </w:r>
      <w:r w:rsidR="47710BCC" w:rsidRPr="00B33A7B">
        <w:rPr>
          <w:rFonts w:cs="Arial"/>
          <w:color w:val="000000" w:themeColor="text1"/>
          <w:shd w:val="clear" w:color="auto" w:fill="FFFFFF"/>
        </w:rPr>
        <w:t xml:space="preserve">California </w:t>
      </w:r>
      <w:r w:rsidRPr="00B33A7B">
        <w:rPr>
          <w:rFonts w:cs="Arial"/>
          <w:color w:val="000000" w:themeColor="text1"/>
          <w:shd w:val="clear" w:color="auto" w:fill="FFFFFF"/>
        </w:rPr>
        <w:t>Department of Housing and Community</w:t>
      </w:r>
      <w:r w:rsidR="49C271C1" w:rsidRPr="00B33A7B">
        <w:rPr>
          <w:rFonts w:cs="Arial"/>
          <w:color w:val="000000" w:themeColor="text1"/>
          <w:shd w:val="clear" w:color="auto" w:fill="FFFFFF"/>
        </w:rPr>
        <w:t xml:space="preserve"> </w:t>
      </w:r>
      <w:r w:rsidRPr="00B33A7B">
        <w:rPr>
          <w:rFonts w:cs="Arial"/>
          <w:color w:val="000000" w:themeColor="text1"/>
          <w:shd w:val="clear" w:color="auto" w:fill="FFFFFF"/>
        </w:rPr>
        <w:t>Develo</w:t>
      </w:r>
      <w:r w:rsidR="47710BCC" w:rsidRPr="00B33A7B">
        <w:rPr>
          <w:rFonts w:cs="Arial"/>
          <w:color w:val="000000" w:themeColor="text1"/>
          <w:shd w:val="clear" w:color="auto" w:fill="FFFFFF"/>
        </w:rPr>
        <w:t>pment</w:t>
      </w:r>
      <w:r w:rsidRPr="00B33A7B">
        <w:rPr>
          <w:rFonts w:cs="Arial"/>
          <w:color w:val="000000" w:themeColor="text1"/>
          <w:shd w:val="clear" w:color="auto" w:fill="FFFFFF"/>
        </w:rPr>
        <w:t>.</w:t>
      </w:r>
    </w:p>
    <w:p w14:paraId="29B5CB07" w14:textId="77777777" w:rsidR="009862FF" w:rsidRPr="00B33A7B" w:rsidRDefault="009862FF" w:rsidP="009862FF">
      <w:pPr>
        <w:pStyle w:val="ListParagraph"/>
        <w:rPr>
          <w:rFonts w:cs="Arial"/>
          <w:color w:val="000000" w:themeColor="text1"/>
          <w:shd w:val="clear" w:color="auto" w:fill="FFFFFF"/>
        </w:rPr>
      </w:pPr>
    </w:p>
    <w:p w14:paraId="62D593DC" w14:textId="641321D3" w:rsidR="0009623D" w:rsidRPr="00B33A7B" w:rsidRDefault="38E7B9E5" w:rsidP="009862FF">
      <w:pPr>
        <w:pStyle w:val="ListParagraph"/>
        <w:numPr>
          <w:ilvl w:val="0"/>
          <w:numId w:val="2"/>
        </w:numPr>
        <w:ind w:right="90"/>
        <w:rPr>
          <w:rFonts w:cs="Arial"/>
          <w:color w:val="000000" w:themeColor="text1"/>
          <w:shd w:val="clear" w:color="auto" w:fill="FFFFFF"/>
        </w:rPr>
      </w:pPr>
      <w:r w:rsidRPr="00B33A7B">
        <w:rPr>
          <w:rFonts w:cs="Arial"/>
          <w:color w:val="000000" w:themeColor="text1"/>
          <w:shd w:val="clear" w:color="auto" w:fill="FFFFFF"/>
        </w:rPr>
        <w:t xml:space="preserve">“Developer” means </w:t>
      </w:r>
      <w:r w:rsidR="66C249D1" w:rsidRPr="00B33A7B">
        <w:rPr>
          <w:rFonts w:cs="Arial"/>
          <w:color w:val="000000" w:themeColor="text1"/>
          <w:shd w:val="clear" w:color="auto" w:fill="FFFFFF"/>
        </w:rPr>
        <w:t xml:space="preserve">the legal entity </w:t>
      </w:r>
      <w:r w:rsidRPr="00B33A7B">
        <w:rPr>
          <w:rFonts w:cs="Arial"/>
          <w:color w:val="000000" w:themeColor="text1"/>
          <w:shd w:val="clear" w:color="auto" w:fill="FFFFFF"/>
        </w:rPr>
        <w:t xml:space="preserve">that the </w:t>
      </w:r>
      <w:r w:rsidR="0D2ED61E" w:rsidRPr="00B33A7B">
        <w:rPr>
          <w:rFonts w:cs="Arial"/>
          <w:color w:val="000000" w:themeColor="text1"/>
          <w:shd w:val="clear" w:color="auto" w:fill="FFFFFF"/>
        </w:rPr>
        <w:t>Department</w:t>
      </w:r>
      <w:r w:rsidRPr="00B33A7B">
        <w:rPr>
          <w:rFonts w:cs="Arial"/>
          <w:color w:val="000000" w:themeColor="text1"/>
          <w:shd w:val="clear" w:color="auto" w:fill="FFFFFF"/>
        </w:rPr>
        <w:t xml:space="preserve"> rel</w:t>
      </w:r>
      <w:r w:rsidR="66C249D1" w:rsidRPr="00B33A7B">
        <w:rPr>
          <w:rFonts w:cs="Arial"/>
          <w:color w:val="000000" w:themeColor="text1"/>
          <w:shd w:val="clear" w:color="auto" w:fill="FFFFFF"/>
        </w:rPr>
        <w:t>ies</w:t>
      </w:r>
      <w:r w:rsidRPr="00B33A7B">
        <w:rPr>
          <w:rFonts w:cs="Arial"/>
          <w:color w:val="000000" w:themeColor="text1"/>
          <w:shd w:val="clear" w:color="auto" w:fill="FFFFFF"/>
        </w:rPr>
        <w:t xml:space="preserve"> upon for </w:t>
      </w:r>
      <w:r w:rsidR="66C249D1" w:rsidRPr="00B33A7B">
        <w:rPr>
          <w:rFonts w:cs="Arial"/>
          <w:color w:val="000000" w:themeColor="text1"/>
          <w:shd w:val="clear" w:color="auto" w:fill="FFFFFF"/>
        </w:rPr>
        <w:t>capacity, experience</w:t>
      </w:r>
      <w:r w:rsidR="07DB0775" w:rsidRPr="00B33A7B">
        <w:rPr>
          <w:rFonts w:cs="Arial"/>
          <w:color w:val="000000" w:themeColor="text1"/>
          <w:shd w:val="clear" w:color="auto" w:fill="FFFFFF"/>
        </w:rPr>
        <w:t xml:space="preserve">, and </w:t>
      </w:r>
      <w:r w:rsidR="57F3ADBA" w:rsidRPr="00B33A7B">
        <w:rPr>
          <w:rFonts w:cs="Arial"/>
          <w:color w:val="000000" w:themeColor="text1"/>
          <w:shd w:val="clear" w:color="auto" w:fill="FFFFFF"/>
        </w:rPr>
        <w:t xml:space="preserve">site control </w:t>
      </w:r>
      <w:r w:rsidRPr="00B33A7B">
        <w:rPr>
          <w:rFonts w:cs="Arial"/>
          <w:color w:val="000000" w:themeColor="text1"/>
          <w:shd w:val="clear" w:color="auto" w:fill="FFFFFF"/>
        </w:rPr>
        <w:t xml:space="preserve">of either the </w:t>
      </w:r>
      <w:r w:rsidR="74431741" w:rsidRPr="00B33A7B">
        <w:rPr>
          <w:rFonts w:cs="Arial"/>
          <w:color w:val="000000" w:themeColor="text1"/>
          <w:shd w:val="clear" w:color="auto" w:fill="FFFFFF"/>
        </w:rPr>
        <w:t>Qualifying Infill Project</w:t>
      </w:r>
      <w:r w:rsidRPr="00B33A7B">
        <w:rPr>
          <w:rFonts w:cs="Arial"/>
          <w:color w:val="000000" w:themeColor="text1"/>
          <w:shd w:val="clear" w:color="auto" w:fill="FFFFFF"/>
        </w:rPr>
        <w:t xml:space="preserve"> or </w:t>
      </w:r>
      <w:r w:rsidR="28B9BD8C" w:rsidRPr="00B33A7B">
        <w:rPr>
          <w:rFonts w:cs="Arial"/>
          <w:color w:val="000000" w:themeColor="text1"/>
          <w:shd w:val="clear" w:color="auto" w:fill="FFFFFF"/>
        </w:rPr>
        <w:t xml:space="preserve">the </w:t>
      </w:r>
      <w:r w:rsidR="7E099753" w:rsidRPr="00B33A7B">
        <w:rPr>
          <w:rFonts w:cs="Arial"/>
          <w:color w:val="000000" w:themeColor="text1"/>
          <w:shd w:val="clear" w:color="auto" w:fill="FFFFFF"/>
        </w:rPr>
        <w:t>Qualifying Infill Area</w:t>
      </w:r>
      <w:r w:rsidR="07DB0775" w:rsidRPr="00B33A7B">
        <w:rPr>
          <w:rFonts w:cs="Arial"/>
          <w:color w:val="000000" w:themeColor="text1"/>
          <w:shd w:val="clear" w:color="auto" w:fill="FFFFFF"/>
        </w:rPr>
        <w:t xml:space="preserve">, </w:t>
      </w:r>
      <w:r w:rsidR="372952A9" w:rsidRPr="00B33A7B">
        <w:rPr>
          <w:rFonts w:cs="Arial"/>
          <w:color w:val="000000" w:themeColor="text1"/>
          <w:shd w:val="clear" w:color="auto" w:fill="FFFFFF"/>
        </w:rPr>
        <w:t xml:space="preserve">and which </w:t>
      </w:r>
      <w:r w:rsidR="372952A9" w:rsidRPr="00B33A7B">
        <w:rPr>
          <w:rFonts w:cs="Arial"/>
          <w:shd w:val="clear" w:color="auto" w:fill="FFFFFF"/>
        </w:rPr>
        <w:t>controls the Rental Housing Development during development and through occupancy</w:t>
      </w:r>
      <w:r w:rsidRPr="00B33A7B">
        <w:rPr>
          <w:rFonts w:cs="Arial"/>
          <w:shd w:val="clear" w:color="auto" w:fill="FFFFFF"/>
        </w:rPr>
        <w:t>.</w:t>
      </w:r>
      <w:r w:rsidR="7BE99418" w:rsidRPr="00B33A7B">
        <w:rPr>
          <w:rFonts w:cs="Arial"/>
          <w:shd w:val="clear" w:color="auto" w:fill="FFFFFF"/>
        </w:rPr>
        <w:t xml:space="preserve"> A</w:t>
      </w:r>
      <w:r w:rsidR="7BE99418" w:rsidRPr="00B33A7B">
        <w:rPr>
          <w:rFonts w:cs="Arial"/>
        </w:rPr>
        <w:t xml:space="preserve"> nonprofit or for-profit Developer may include a Tribal</w:t>
      </w:r>
      <w:r w:rsidR="002D6D25">
        <w:rPr>
          <w:rFonts w:cs="Arial"/>
        </w:rPr>
        <w:t xml:space="preserve"> </w:t>
      </w:r>
      <w:r w:rsidR="7BE99418" w:rsidRPr="00B33A7B">
        <w:rPr>
          <w:rFonts w:cs="Arial"/>
        </w:rPr>
        <w:t xml:space="preserve">Entity as defined herein. </w:t>
      </w:r>
    </w:p>
    <w:p w14:paraId="5DE35BFF" w14:textId="77777777" w:rsidR="0009623D" w:rsidRPr="00B33A7B" w:rsidRDefault="0009623D" w:rsidP="005E658C">
      <w:pPr>
        <w:pStyle w:val="ListParagraph"/>
        <w:rPr>
          <w:rFonts w:cs="Arial"/>
          <w:color w:val="000000" w:themeColor="text1"/>
          <w:shd w:val="clear" w:color="auto" w:fill="FFFFFF"/>
        </w:rPr>
      </w:pPr>
    </w:p>
    <w:p w14:paraId="684FBCCE" w14:textId="7339DB5C" w:rsidR="003D4E4A" w:rsidRPr="00B33A7B" w:rsidRDefault="6F566303" w:rsidP="00993D09">
      <w:pPr>
        <w:pStyle w:val="ListParagraph"/>
        <w:numPr>
          <w:ilvl w:val="0"/>
          <w:numId w:val="2"/>
        </w:numPr>
        <w:ind w:right="90"/>
        <w:rPr>
          <w:rFonts w:cs="Arial"/>
          <w:color w:val="000000" w:themeColor="text1"/>
          <w:shd w:val="clear" w:color="auto" w:fill="FFFFFF"/>
        </w:rPr>
      </w:pPr>
      <w:r w:rsidRPr="00B33A7B">
        <w:rPr>
          <w:rFonts w:cs="Arial"/>
          <w:color w:val="000000" w:themeColor="text1"/>
          <w:shd w:val="clear" w:color="auto" w:fill="FFFFFF"/>
        </w:rPr>
        <w:t>“</w:t>
      </w:r>
      <w:r w:rsidR="29927620" w:rsidRPr="00B33A7B">
        <w:rPr>
          <w:rFonts w:cs="Arial"/>
          <w:color w:val="000000" w:themeColor="text1"/>
          <w:shd w:val="clear" w:color="auto" w:fill="FFFFFF"/>
        </w:rPr>
        <w:t>Disability</w:t>
      </w:r>
      <w:r w:rsidRPr="00B33A7B">
        <w:rPr>
          <w:rFonts w:cs="Arial"/>
          <w:color w:val="000000" w:themeColor="text1"/>
          <w:shd w:val="clear" w:color="auto" w:fill="FFFFFF"/>
        </w:rPr>
        <w:t>”</w:t>
      </w:r>
      <w:r w:rsidR="29927620" w:rsidRPr="00B33A7B">
        <w:rPr>
          <w:rFonts w:cs="Arial"/>
          <w:color w:val="000000" w:themeColor="text1"/>
          <w:shd w:val="clear" w:color="auto" w:fill="FFFFFF"/>
        </w:rPr>
        <w:t xml:space="preserve"> means the definitions of Disability in the Americans with Disabilities Act (42 U.S.C. Section 12102) or the California Fair Employment and Housing Act (Part 2.8 (commencing with Section 12900) of Division 3 of Title 2 of the </w:t>
      </w:r>
      <w:r w:rsidR="5DEB56B3" w:rsidRPr="00B33A7B">
        <w:rPr>
          <w:rFonts w:cs="Arial"/>
          <w:color w:val="000000" w:themeColor="text1"/>
          <w:shd w:val="clear" w:color="auto" w:fill="FFFFFF"/>
        </w:rPr>
        <w:t>GC</w:t>
      </w:r>
      <w:r w:rsidR="29927620" w:rsidRPr="00B33A7B">
        <w:rPr>
          <w:rFonts w:cs="Arial"/>
          <w:color w:val="000000" w:themeColor="text1"/>
          <w:shd w:val="clear" w:color="auto" w:fill="FFFFFF"/>
        </w:rPr>
        <w:t xml:space="preserve">) and shall be broadly construed to include: </w:t>
      </w:r>
    </w:p>
    <w:p w14:paraId="560B117D" w14:textId="77777777" w:rsidR="003D4E4A" w:rsidRPr="00B33A7B" w:rsidRDefault="003D4E4A" w:rsidP="003D4E4A">
      <w:pPr>
        <w:tabs>
          <w:tab w:val="left" w:pos="919"/>
        </w:tabs>
        <w:ind w:right="164"/>
      </w:pPr>
    </w:p>
    <w:p w14:paraId="01AABC69" w14:textId="3CCDCC77" w:rsidR="003D4E4A" w:rsidRPr="00CA6705" w:rsidRDefault="003D4E4A" w:rsidP="00993D09">
      <w:pPr>
        <w:pStyle w:val="ListParagraph"/>
        <w:numPr>
          <w:ilvl w:val="0"/>
          <w:numId w:val="77"/>
        </w:numPr>
        <w:ind w:right="360" w:hanging="720"/>
        <w:rPr>
          <w:rFonts w:cs="Arial"/>
        </w:rPr>
      </w:pPr>
      <w:r w:rsidRPr="00B33A7B">
        <w:rPr>
          <w:rFonts w:cs="Arial"/>
        </w:rPr>
        <w:t xml:space="preserve">individuals with </w:t>
      </w:r>
      <w:r w:rsidRPr="00CA6705">
        <w:rPr>
          <w:rFonts w:cs="Arial"/>
        </w:rPr>
        <w:t xml:space="preserve">a </w:t>
      </w:r>
      <w:r w:rsidR="002F6648" w:rsidRPr="00CA6705">
        <w:rPr>
          <w:rFonts w:cs="Arial"/>
        </w:rPr>
        <w:t xml:space="preserve">Mental </w:t>
      </w:r>
      <w:r w:rsidRPr="00CA6705">
        <w:rPr>
          <w:rFonts w:cs="Arial"/>
        </w:rPr>
        <w:t xml:space="preserve">or </w:t>
      </w:r>
      <w:r w:rsidR="002F6648" w:rsidRPr="00CA6705">
        <w:rPr>
          <w:rFonts w:cs="Arial"/>
        </w:rPr>
        <w:t xml:space="preserve">Physical </w:t>
      </w:r>
      <w:r w:rsidRPr="00CA6705">
        <w:rPr>
          <w:rFonts w:cs="Arial"/>
        </w:rPr>
        <w:t xml:space="preserve">Disability that limits a </w:t>
      </w:r>
      <w:r w:rsidR="001D6F39" w:rsidRPr="00CA6705">
        <w:rPr>
          <w:rFonts w:cs="Arial"/>
        </w:rPr>
        <w:t>M</w:t>
      </w:r>
      <w:r w:rsidRPr="00CA6705">
        <w:rPr>
          <w:rFonts w:cs="Arial"/>
        </w:rPr>
        <w:t xml:space="preserve">ajor </w:t>
      </w:r>
      <w:r w:rsidR="001D6F39" w:rsidRPr="00CA6705">
        <w:rPr>
          <w:rFonts w:cs="Arial"/>
        </w:rPr>
        <w:t>L</w:t>
      </w:r>
      <w:r w:rsidRPr="00CA6705">
        <w:rPr>
          <w:rFonts w:cs="Arial"/>
        </w:rPr>
        <w:t xml:space="preserve">ife </w:t>
      </w:r>
      <w:proofErr w:type="gramStart"/>
      <w:r w:rsidR="001D6F39" w:rsidRPr="00CA6705">
        <w:rPr>
          <w:rFonts w:cs="Arial"/>
        </w:rPr>
        <w:t>A</w:t>
      </w:r>
      <w:r w:rsidRPr="00CA6705">
        <w:rPr>
          <w:rFonts w:cs="Arial"/>
        </w:rPr>
        <w:t>ctivity;</w:t>
      </w:r>
      <w:proofErr w:type="gramEnd"/>
    </w:p>
    <w:p w14:paraId="0E0AAD03" w14:textId="04E72EC9" w:rsidR="003D4E4A" w:rsidRPr="00CA6705" w:rsidRDefault="003D4E4A" w:rsidP="005E658C">
      <w:pPr>
        <w:pStyle w:val="ListParagraph"/>
        <w:ind w:left="1440" w:right="360"/>
        <w:rPr>
          <w:rFonts w:cs="Arial"/>
        </w:rPr>
      </w:pPr>
    </w:p>
    <w:p w14:paraId="4A9C0DA7" w14:textId="20353F3A" w:rsidR="003D4E4A" w:rsidRPr="00CA6705" w:rsidRDefault="003D4E4A" w:rsidP="00993D09">
      <w:pPr>
        <w:pStyle w:val="ListParagraph"/>
        <w:numPr>
          <w:ilvl w:val="0"/>
          <w:numId w:val="77"/>
        </w:numPr>
        <w:ind w:right="360" w:hanging="720"/>
        <w:rPr>
          <w:rFonts w:cs="Arial"/>
        </w:rPr>
      </w:pPr>
      <w:r w:rsidRPr="00CA6705">
        <w:rPr>
          <w:rFonts w:cs="Arial"/>
        </w:rPr>
        <w:t xml:space="preserve">individuals regarded or perceived as having a mental or physical Disability that limits a </w:t>
      </w:r>
      <w:r w:rsidR="001D6F39" w:rsidRPr="00CA6705">
        <w:rPr>
          <w:rFonts w:cs="Arial"/>
        </w:rPr>
        <w:t>M</w:t>
      </w:r>
      <w:r w:rsidRPr="00CA6705">
        <w:rPr>
          <w:rFonts w:cs="Arial"/>
        </w:rPr>
        <w:t xml:space="preserve">ajor </w:t>
      </w:r>
      <w:r w:rsidR="001D6F39" w:rsidRPr="00CA6705">
        <w:rPr>
          <w:rFonts w:cs="Arial"/>
        </w:rPr>
        <w:t>L</w:t>
      </w:r>
      <w:r w:rsidRPr="00CA6705">
        <w:rPr>
          <w:rFonts w:cs="Arial"/>
        </w:rPr>
        <w:t xml:space="preserve">ife </w:t>
      </w:r>
      <w:r w:rsidR="001D6F39" w:rsidRPr="00CA6705">
        <w:rPr>
          <w:rFonts w:cs="Arial"/>
        </w:rPr>
        <w:t>A</w:t>
      </w:r>
      <w:r w:rsidRPr="00CA6705">
        <w:rPr>
          <w:rFonts w:cs="Arial"/>
        </w:rPr>
        <w:t xml:space="preserve">ctivity. This includes being perceived as having or having had a disorder or condition that has no present disabling effect but may become a </w:t>
      </w:r>
      <w:r w:rsidR="002F6648" w:rsidRPr="00CA6705">
        <w:rPr>
          <w:rFonts w:cs="Arial"/>
        </w:rPr>
        <w:t xml:space="preserve">Mental </w:t>
      </w:r>
      <w:r w:rsidRPr="00CA6705">
        <w:rPr>
          <w:rFonts w:cs="Arial"/>
        </w:rPr>
        <w:t xml:space="preserve">or </w:t>
      </w:r>
      <w:r w:rsidR="002F6648" w:rsidRPr="00CA6705">
        <w:rPr>
          <w:rFonts w:cs="Arial"/>
        </w:rPr>
        <w:t xml:space="preserve">Physical </w:t>
      </w:r>
      <w:proofErr w:type="gramStart"/>
      <w:r w:rsidRPr="00CA6705">
        <w:rPr>
          <w:rFonts w:cs="Arial"/>
        </w:rPr>
        <w:t>Disability;</w:t>
      </w:r>
      <w:proofErr w:type="gramEnd"/>
      <w:r w:rsidRPr="00CA6705">
        <w:rPr>
          <w:rFonts w:cs="Arial"/>
        </w:rPr>
        <w:t xml:space="preserve"> </w:t>
      </w:r>
    </w:p>
    <w:p w14:paraId="6D53E1D9" w14:textId="77777777" w:rsidR="002D6D25" w:rsidRPr="00CA6705" w:rsidRDefault="002D6D25" w:rsidP="00AC4FDB">
      <w:pPr>
        <w:ind w:left="720" w:right="360"/>
        <w:rPr>
          <w:rFonts w:cs="Arial"/>
        </w:rPr>
      </w:pPr>
    </w:p>
    <w:p w14:paraId="17557E77" w14:textId="72C41084" w:rsidR="003D4E4A" w:rsidRPr="00CA6705" w:rsidRDefault="003D4E4A" w:rsidP="00993D09">
      <w:pPr>
        <w:pStyle w:val="ListParagraph"/>
        <w:numPr>
          <w:ilvl w:val="0"/>
          <w:numId w:val="77"/>
        </w:numPr>
        <w:ind w:right="360" w:hanging="720"/>
        <w:rPr>
          <w:rFonts w:cs="Arial"/>
        </w:rPr>
      </w:pPr>
      <w:r w:rsidRPr="00CA6705">
        <w:rPr>
          <w:rFonts w:cs="Arial"/>
        </w:rPr>
        <w:t xml:space="preserve">individuals having a record of a </w:t>
      </w:r>
      <w:r w:rsidR="002F6648" w:rsidRPr="00CA6705">
        <w:rPr>
          <w:rFonts w:cs="Arial"/>
        </w:rPr>
        <w:t xml:space="preserve">Mental </w:t>
      </w:r>
      <w:r w:rsidRPr="00CA6705">
        <w:rPr>
          <w:rFonts w:cs="Arial"/>
        </w:rPr>
        <w:t xml:space="preserve">or </w:t>
      </w:r>
      <w:r w:rsidR="002F6648" w:rsidRPr="00CA6705">
        <w:rPr>
          <w:rFonts w:cs="Arial"/>
        </w:rPr>
        <w:t xml:space="preserve">Physical </w:t>
      </w:r>
      <w:r w:rsidRPr="00CA6705">
        <w:rPr>
          <w:rFonts w:cs="Arial"/>
        </w:rPr>
        <w:t xml:space="preserve">Disability that limits a </w:t>
      </w:r>
      <w:r w:rsidR="001D6F39" w:rsidRPr="00CA6705">
        <w:rPr>
          <w:rFonts w:cs="Arial"/>
        </w:rPr>
        <w:t>M</w:t>
      </w:r>
      <w:r w:rsidRPr="00CA6705">
        <w:rPr>
          <w:rFonts w:cs="Arial"/>
        </w:rPr>
        <w:t xml:space="preserve">ajor </w:t>
      </w:r>
      <w:r w:rsidR="001D6F39" w:rsidRPr="00CA6705">
        <w:rPr>
          <w:rFonts w:cs="Arial"/>
        </w:rPr>
        <w:t>L</w:t>
      </w:r>
      <w:r w:rsidRPr="00CA6705">
        <w:rPr>
          <w:rFonts w:cs="Arial"/>
        </w:rPr>
        <w:t xml:space="preserve">ife </w:t>
      </w:r>
      <w:r w:rsidR="001D6F39" w:rsidRPr="00CA6705">
        <w:rPr>
          <w:rFonts w:cs="Arial"/>
        </w:rPr>
        <w:t>A</w:t>
      </w:r>
      <w:r w:rsidRPr="00CA6705">
        <w:rPr>
          <w:rFonts w:cs="Arial"/>
        </w:rPr>
        <w:t>ctivity. A “record” of mental or physical Disability includes previously having, or being misclassified as having, a record or history of a mental or physical Disability; and/or</w:t>
      </w:r>
    </w:p>
    <w:p w14:paraId="45E163FC" w14:textId="77777777" w:rsidR="003D4E4A" w:rsidRPr="00B33A7B" w:rsidRDefault="003D4E4A" w:rsidP="005E658C">
      <w:pPr>
        <w:pStyle w:val="ListParagraph"/>
        <w:ind w:left="1440" w:right="360"/>
        <w:rPr>
          <w:rFonts w:cs="Arial"/>
        </w:rPr>
      </w:pPr>
    </w:p>
    <w:p w14:paraId="72C5A2B2" w14:textId="2DAD0A3A" w:rsidR="003D4E4A" w:rsidRPr="00B33A7B" w:rsidRDefault="003D4E4A" w:rsidP="00993D09">
      <w:pPr>
        <w:pStyle w:val="ListParagraph"/>
        <w:numPr>
          <w:ilvl w:val="0"/>
          <w:numId w:val="77"/>
        </w:numPr>
        <w:ind w:right="360" w:hanging="720"/>
        <w:rPr>
          <w:rFonts w:cs="Arial"/>
        </w:rPr>
      </w:pPr>
      <w:r w:rsidRPr="00B33A7B">
        <w:rPr>
          <w:rFonts w:cs="Arial"/>
        </w:rPr>
        <w:lastRenderedPageBreak/>
        <w:t xml:space="preserve">individuals who are, or are perceived as, associated with a person who has, or is perceived to have, a mental or physical Disability. </w:t>
      </w:r>
    </w:p>
    <w:p w14:paraId="22FF72F0" w14:textId="77777777" w:rsidR="003D4E4A" w:rsidRPr="00B33A7B" w:rsidRDefault="003D4E4A" w:rsidP="005E658C">
      <w:pPr>
        <w:pStyle w:val="ListParagraph"/>
        <w:ind w:left="1440" w:right="360"/>
        <w:rPr>
          <w:rFonts w:cs="Arial"/>
        </w:rPr>
      </w:pPr>
    </w:p>
    <w:p w14:paraId="3CE926CC" w14:textId="62AEF6BB" w:rsidR="003D4E4A" w:rsidRPr="00B33A7B" w:rsidRDefault="003D4E4A" w:rsidP="00993D09">
      <w:pPr>
        <w:pStyle w:val="ListParagraph"/>
        <w:numPr>
          <w:ilvl w:val="0"/>
          <w:numId w:val="77"/>
        </w:numPr>
        <w:ind w:right="360" w:hanging="720"/>
        <w:rPr>
          <w:rFonts w:cs="Arial"/>
        </w:rPr>
      </w:pPr>
      <w:r w:rsidRPr="00B33A7B">
        <w:rPr>
          <w:rFonts w:cs="Arial"/>
        </w:rPr>
        <w:t>For purposes of this definition:</w:t>
      </w:r>
    </w:p>
    <w:p w14:paraId="57823022" w14:textId="77777777" w:rsidR="003D4E4A" w:rsidRPr="00B33A7B" w:rsidRDefault="003D4E4A" w:rsidP="005E658C">
      <w:pPr>
        <w:pStyle w:val="ListParagraph"/>
        <w:ind w:left="1440" w:right="360"/>
        <w:rPr>
          <w:rFonts w:cs="Arial"/>
        </w:rPr>
      </w:pPr>
    </w:p>
    <w:p w14:paraId="387D61E4" w14:textId="4D059543" w:rsidR="003D4E4A" w:rsidRPr="00CA6705" w:rsidRDefault="003D4E4A" w:rsidP="00993D09">
      <w:pPr>
        <w:pStyle w:val="ListParagraph"/>
        <w:numPr>
          <w:ilvl w:val="0"/>
          <w:numId w:val="59"/>
        </w:numPr>
        <w:ind w:left="2160" w:right="90" w:hanging="720"/>
        <w:rPr>
          <w:rFonts w:cs="Arial"/>
        </w:rPr>
      </w:pPr>
      <w:r w:rsidRPr="00CA6705">
        <w:rPr>
          <w:rFonts w:cs="Arial"/>
        </w:rPr>
        <w:t xml:space="preserve">“Mental Disability” includes, but is not limited to, having any mental or psychological disorder or condition, </w:t>
      </w:r>
      <w:r w:rsidR="00F45EA8" w:rsidRPr="00CA6705">
        <w:rPr>
          <w:rFonts w:cs="Arial"/>
        </w:rPr>
        <w:t>I</w:t>
      </w:r>
      <w:r w:rsidRPr="00CA6705">
        <w:rPr>
          <w:rFonts w:cs="Arial"/>
        </w:rPr>
        <w:t xml:space="preserve">ntellectual Disability, organic brain syndrome, emotional or mental illness, or specific learning disabilities, and chronic or episodic conditions that limits a </w:t>
      </w:r>
      <w:r w:rsidR="001D6F39" w:rsidRPr="00CA6705">
        <w:rPr>
          <w:rFonts w:cs="Arial"/>
        </w:rPr>
        <w:t>M</w:t>
      </w:r>
      <w:r w:rsidRPr="00CA6705">
        <w:rPr>
          <w:rFonts w:cs="Arial"/>
        </w:rPr>
        <w:t xml:space="preserve">ajor </w:t>
      </w:r>
      <w:r w:rsidR="001D6F39" w:rsidRPr="00CA6705">
        <w:rPr>
          <w:rFonts w:cs="Arial"/>
        </w:rPr>
        <w:t>L</w:t>
      </w:r>
      <w:r w:rsidRPr="00CA6705">
        <w:rPr>
          <w:rFonts w:cs="Arial"/>
        </w:rPr>
        <w:t xml:space="preserve">ife </w:t>
      </w:r>
      <w:r w:rsidR="001D6F39" w:rsidRPr="00CA6705">
        <w:rPr>
          <w:rFonts w:cs="Arial"/>
        </w:rPr>
        <w:t>A</w:t>
      </w:r>
      <w:r w:rsidRPr="00CA6705">
        <w:rPr>
          <w:rFonts w:cs="Arial"/>
        </w:rPr>
        <w:t>ctivity. This includes disabilities such as, autism spectrum disorders, schizophrenia, clinical depression, bipolar disorder, post-traumatic stress disorder, and obsessive-compulsive disorder.</w:t>
      </w:r>
    </w:p>
    <w:p w14:paraId="3D2143FE" w14:textId="77777777" w:rsidR="003D4E4A" w:rsidRPr="00CA6705" w:rsidRDefault="003D4E4A" w:rsidP="005E658C">
      <w:pPr>
        <w:pStyle w:val="ListParagraph"/>
        <w:ind w:left="2160" w:right="90"/>
        <w:rPr>
          <w:rFonts w:cs="Arial"/>
        </w:rPr>
      </w:pPr>
    </w:p>
    <w:p w14:paraId="403A2AC9" w14:textId="6000819D" w:rsidR="003D4E4A" w:rsidRPr="00B33A7B" w:rsidRDefault="003D4E4A" w:rsidP="00993D09">
      <w:pPr>
        <w:pStyle w:val="ListParagraph"/>
        <w:numPr>
          <w:ilvl w:val="0"/>
          <w:numId w:val="59"/>
        </w:numPr>
        <w:ind w:left="2160" w:right="90" w:hanging="720"/>
        <w:rPr>
          <w:rFonts w:cs="Arial"/>
        </w:rPr>
      </w:pPr>
      <w:r w:rsidRPr="00CA6705">
        <w:rPr>
          <w:rFonts w:cs="Arial"/>
        </w:rPr>
        <w:t>“Physical Disability” includes, but is not limited to, having any physiological disease, disorder, condition, cosmetic disfigurement, anatomical loss that affects</w:t>
      </w:r>
      <w:r w:rsidRPr="00B33A7B">
        <w:rPr>
          <w:rFonts w:cs="Arial"/>
        </w:rPr>
        <w:t xml:space="preserve"> one or more of the following body systems or the operation of an individual organ within a body system: neurological; immunological; musculoskeletal; special sense organs; respiratory, including speech organs; cardiovascular; reproductive; digestive; genitourinary; hemic and lymphatic; circulatory; skin; endocrine; brain; and normal cell growth; and that limits a </w:t>
      </w:r>
      <w:r w:rsidR="001D6F39" w:rsidRPr="00B33A7B">
        <w:rPr>
          <w:rFonts w:cs="Arial"/>
        </w:rPr>
        <w:t>M</w:t>
      </w:r>
      <w:r w:rsidRPr="00B33A7B">
        <w:rPr>
          <w:rFonts w:cs="Arial"/>
        </w:rPr>
        <w:t xml:space="preserve">ajor </w:t>
      </w:r>
      <w:r w:rsidR="001D6F39" w:rsidRPr="00B33A7B">
        <w:rPr>
          <w:rFonts w:cs="Arial"/>
        </w:rPr>
        <w:t>L</w:t>
      </w:r>
      <w:r w:rsidRPr="00B33A7B">
        <w:rPr>
          <w:rFonts w:cs="Arial"/>
        </w:rPr>
        <w:t xml:space="preserve">ife </w:t>
      </w:r>
      <w:r w:rsidR="001D6F39" w:rsidRPr="00B33A7B">
        <w:rPr>
          <w:rFonts w:cs="Arial"/>
        </w:rPr>
        <w:t>A</w:t>
      </w:r>
      <w:r w:rsidRPr="00B33A7B">
        <w:rPr>
          <w:rFonts w:cs="Arial"/>
        </w:rPr>
        <w:t xml:space="preserve">ctivity. </w:t>
      </w:r>
    </w:p>
    <w:p w14:paraId="12882DC0" w14:textId="77777777" w:rsidR="003D4E4A" w:rsidRPr="00B33A7B" w:rsidRDefault="003D4E4A" w:rsidP="005E658C">
      <w:pPr>
        <w:pStyle w:val="ListParagraph"/>
        <w:ind w:left="2160" w:right="90"/>
        <w:rPr>
          <w:rFonts w:cs="Arial"/>
        </w:rPr>
      </w:pPr>
    </w:p>
    <w:p w14:paraId="0D4FD23B" w14:textId="2DFFD787" w:rsidR="003D4E4A" w:rsidRPr="00B33A7B" w:rsidRDefault="003D4E4A" w:rsidP="00993D09">
      <w:pPr>
        <w:pStyle w:val="ListParagraph"/>
        <w:numPr>
          <w:ilvl w:val="0"/>
          <w:numId w:val="59"/>
        </w:numPr>
        <w:ind w:left="2160" w:right="90" w:hanging="720"/>
        <w:rPr>
          <w:rFonts w:cs="Arial"/>
        </w:rPr>
      </w:pPr>
      <w:r w:rsidRPr="00B33A7B">
        <w:rPr>
          <w:rFonts w:cs="Arial"/>
        </w:rPr>
        <w:t xml:space="preserve">“Major </w:t>
      </w:r>
      <w:r w:rsidR="001D6F39" w:rsidRPr="00B33A7B">
        <w:rPr>
          <w:rFonts w:cs="Arial"/>
        </w:rPr>
        <w:t>L</w:t>
      </w:r>
      <w:r w:rsidRPr="00B33A7B">
        <w:rPr>
          <w:rFonts w:cs="Arial"/>
        </w:rPr>
        <w:t xml:space="preserve">ife </w:t>
      </w:r>
      <w:r w:rsidR="001D6F39" w:rsidRPr="00B33A7B">
        <w:rPr>
          <w:rFonts w:cs="Arial"/>
        </w:rPr>
        <w:t>A</w:t>
      </w:r>
      <w:r w:rsidRPr="00B33A7B">
        <w:rPr>
          <w:rFonts w:cs="Arial"/>
        </w:rPr>
        <w:t>ctivity” shall be construed broadly and includes, but is not limited to, caring for oneself, performing manual tasks, seeing, hearing, eating, sleeping, walking, standing, sitting, reaching, lifting, bending, speaking, breathing, learning, reading, concentrating, thinking, communicating, interacting with others, working, and social activities.</w:t>
      </w:r>
    </w:p>
    <w:p w14:paraId="4A40CCBE" w14:textId="77777777" w:rsidR="003D4E4A" w:rsidRPr="00B33A7B" w:rsidRDefault="003D4E4A" w:rsidP="005E658C">
      <w:pPr>
        <w:pStyle w:val="ListParagraph"/>
        <w:ind w:left="2160" w:right="90"/>
        <w:rPr>
          <w:rFonts w:cs="Arial"/>
        </w:rPr>
      </w:pPr>
    </w:p>
    <w:p w14:paraId="32FB6E6A" w14:textId="659F54DB" w:rsidR="003D4E4A" w:rsidRPr="00CA6705" w:rsidRDefault="003D4E4A" w:rsidP="00993D09">
      <w:pPr>
        <w:pStyle w:val="ListParagraph"/>
        <w:numPr>
          <w:ilvl w:val="0"/>
          <w:numId w:val="59"/>
        </w:numPr>
        <w:ind w:left="2160" w:right="90" w:hanging="720"/>
        <w:rPr>
          <w:rFonts w:cs="Arial"/>
        </w:rPr>
      </w:pPr>
      <w:r w:rsidRPr="00B33A7B">
        <w:rPr>
          <w:rFonts w:cs="Arial"/>
        </w:rPr>
        <w:t xml:space="preserve">“Limits” shall be determined without regard to mitigating measures, such as </w:t>
      </w:r>
      <w:r w:rsidRPr="00CA6705">
        <w:rPr>
          <w:rFonts w:cs="Arial"/>
        </w:rPr>
        <w:t xml:space="preserve">medications, assistive devices, or reasonable accommodations, unless the mitigating measure itself limits a </w:t>
      </w:r>
      <w:r w:rsidR="001D6F39" w:rsidRPr="00CA6705">
        <w:rPr>
          <w:rFonts w:cs="Arial"/>
        </w:rPr>
        <w:t>M</w:t>
      </w:r>
      <w:r w:rsidRPr="00CA6705">
        <w:rPr>
          <w:rFonts w:cs="Arial"/>
        </w:rPr>
        <w:t xml:space="preserve">ajor </w:t>
      </w:r>
      <w:r w:rsidR="001D6F39" w:rsidRPr="00CA6705">
        <w:rPr>
          <w:rFonts w:cs="Arial"/>
        </w:rPr>
        <w:t>L</w:t>
      </w:r>
      <w:r w:rsidRPr="00CA6705">
        <w:rPr>
          <w:rFonts w:cs="Arial"/>
        </w:rPr>
        <w:t xml:space="preserve">ife </w:t>
      </w:r>
      <w:r w:rsidR="001D6F39" w:rsidRPr="00CA6705">
        <w:rPr>
          <w:rFonts w:cs="Arial"/>
        </w:rPr>
        <w:t>A</w:t>
      </w:r>
      <w:r w:rsidRPr="00CA6705">
        <w:rPr>
          <w:rFonts w:cs="Arial"/>
        </w:rPr>
        <w:t xml:space="preserve">ctivity. A </w:t>
      </w:r>
      <w:r w:rsidR="002F6648" w:rsidRPr="00CA6705">
        <w:rPr>
          <w:rFonts w:cs="Arial"/>
        </w:rPr>
        <w:t xml:space="preserve">Mental </w:t>
      </w:r>
      <w:r w:rsidRPr="00CA6705">
        <w:rPr>
          <w:rFonts w:cs="Arial"/>
        </w:rPr>
        <w:t xml:space="preserve">or </w:t>
      </w:r>
      <w:r w:rsidR="002F6648" w:rsidRPr="00CA6705">
        <w:rPr>
          <w:rFonts w:cs="Arial"/>
        </w:rPr>
        <w:t xml:space="preserve">Physical </w:t>
      </w:r>
      <w:r w:rsidRPr="00CA6705">
        <w:rPr>
          <w:rFonts w:cs="Arial"/>
        </w:rPr>
        <w:t xml:space="preserve">Disability “limits” a </w:t>
      </w:r>
      <w:r w:rsidR="001D6F39" w:rsidRPr="00CA6705">
        <w:rPr>
          <w:rFonts w:cs="Arial"/>
        </w:rPr>
        <w:t>M</w:t>
      </w:r>
      <w:r w:rsidRPr="00CA6705">
        <w:rPr>
          <w:rFonts w:cs="Arial"/>
        </w:rPr>
        <w:t xml:space="preserve">ajor </w:t>
      </w:r>
      <w:r w:rsidR="001D6F39" w:rsidRPr="00CA6705">
        <w:rPr>
          <w:rFonts w:cs="Arial"/>
        </w:rPr>
        <w:t>L</w:t>
      </w:r>
      <w:r w:rsidRPr="00CA6705">
        <w:rPr>
          <w:rFonts w:cs="Arial"/>
        </w:rPr>
        <w:t xml:space="preserve">ife </w:t>
      </w:r>
      <w:r w:rsidR="001D6F39" w:rsidRPr="00CA6705">
        <w:rPr>
          <w:rFonts w:cs="Arial"/>
        </w:rPr>
        <w:t>A</w:t>
      </w:r>
      <w:r w:rsidRPr="00CA6705">
        <w:rPr>
          <w:rFonts w:cs="Arial"/>
        </w:rPr>
        <w:t xml:space="preserve">ctivity if it makes the achievement of the </w:t>
      </w:r>
      <w:r w:rsidR="001D6F39" w:rsidRPr="00CA6705">
        <w:rPr>
          <w:rFonts w:cs="Arial"/>
        </w:rPr>
        <w:t>M</w:t>
      </w:r>
      <w:r w:rsidRPr="00CA6705">
        <w:rPr>
          <w:rFonts w:cs="Arial"/>
        </w:rPr>
        <w:t xml:space="preserve">ajor </w:t>
      </w:r>
      <w:r w:rsidR="001D6F39" w:rsidRPr="00CA6705">
        <w:rPr>
          <w:rFonts w:cs="Arial"/>
        </w:rPr>
        <w:t>L</w:t>
      </w:r>
      <w:r w:rsidRPr="00CA6705">
        <w:rPr>
          <w:rFonts w:cs="Arial"/>
        </w:rPr>
        <w:t xml:space="preserve">ife </w:t>
      </w:r>
      <w:r w:rsidR="001D6F39" w:rsidRPr="00CA6705">
        <w:rPr>
          <w:rFonts w:cs="Arial"/>
        </w:rPr>
        <w:t>A</w:t>
      </w:r>
      <w:r w:rsidRPr="00CA6705">
        <w:rPr>
          <w:rFonts w:cs="Arial"/>
        </w:rPr>
        <w:t>ctivity difficult.</w:t>
      </w:r>
    </w:p>
    <w:p w14:paraId="72C7A6BB" w14:textId="77777777" w:rsidR="003D4E4A" w:rsidRPr="00CA6705" w:rsidRDefault="003D4E4A" w:rsidP="005E658C">
      <w:pPr>
        <w:pStyle w:val="ListParagraph"/>
        <w:ind w:left="2160" w:right="90"/>
        <w:rPr>
          <w:rFonts w:cs="Arial"/>
        </w:rPr>
      </w:pPr>
    </w:p>
    <w:p w14:paraId="1F69F629" w14:textId="2C24B85A" w:rsidR="003D4E4A" w:rsidRPr="00B33A7B" w:rsidRDefault="003D4E4A" w:rsidP="00993D09">
      <w:pPr>
        <w:pStyle w:val="ListParagraph"/>
        <w:numPr>
          <w:ilvl w:val="0"/>
          <w:numId w:val="59"/>
        </w:numPr>
        <w:ind w:left="2160" w:right="90" w:hanging="720"/>
        <w:rPr>
          <w:rFonts w:cs="Arial"/>
        </w:rPr>
      </w:pPr>
      <w:r w:rsidRPr="00CA6705">
        <w:rPr>
          <w:rFonts w:cs="Arial"/>
        </w:rPr>
        <w:t xml:space="preserve">Disabilities also include Intellectual/Developmental Disabilities as defined in these </w:t>
      </w:r>
      <w:r w:rsidR="002037D0" w:rsidRPr="00CA6705">
        <w:rPr>
          <w:rFonts w:cs="Arial"/>
        </w:rPr>
        <w:t>G</w:t>
      </w:r>
      <w:r w:rsidRPr="00CA6705">
        <w:rPr>
          <w:rFonts w:cs="Arial"/>
        </w:rPr>
        <w:t xml:space="preserve">uidelines and acquired brain injuries (which have both a </w:t>
      </w:r>
      <w:r w:rsidR="002F6648" w:rsidRPr="00CA6705">
        <w:rPr>
          <w:rFonts w:cs="Arial"/>
        </w:rPr>
        <w:t xml:space="preserve">Physical </w:t>
      </w:r>
      <w:r w:rsidRPr="00CA6705">
        <w:rPr>
          <w:rFonts w:cs="Arial"/>
        </w:rPr>
        <w:t xml:space="preserve">and </w:t>
      </w:r>
      <w:r w:rsidR="002F6648" w:rsidRPr="00CA6705">
        <w:rPr>
          <w:rFonts w:cs="Arial"/>
        </w:rPr>
        <w:t xml:space="preserve">Mental </w:t>
      </w:r>
      <w:r w:rsidRPr="00CA6705">
        <w:rPr>
          <w:rFonts w:cs="Arial"/>
        </w:rPr>
        <w:t>Disability component</w:t>
      </w:r>
      <w:r w:rsidRPr="00B33A7B">
        <w:rPr>
          <w:rFonts w:cs="Arial"/>
        </w:rPr>
        <w:t xml:space="preserve">); chronic and recurring disabilities, and medical conditions as defined in </w:t>
      </w:r>
      <w:r w:rsidR="00CA72D5" w:rsidRPr="00B33A7B">
        <w:rPr>
          <w:rFonts w:cs="Arial"/>
        </w:rPr>
        <w:t>GC</w:t>
      </w:r>
      <w:r w:rsidRPr="00B33A7B">
        <w:rPr>
          <w:rFonts w:cs="Arial"/>
        </w:rPr>
        <w:t xml:space="preserve"> Section 12926(i), such as cancer.</w:t>
      </w:r>
    </w:p>
    <w:p w14:paraId="72495D05" w14:textId="77777777" w:rsidR="00477A4A" w:rsidRPr="00B33A7B" w:rsidRDefault="00477A4A" w:rsidP="00477A4A">
      <w:pPr>
        <w:ind w:right="90"/>
        <w:rPr>
          <w:rFonts w:cs="Arial"/>
        </w:rPr>
      </w:pPr>
    </w:p>
    <w:p w14:paraId="6885BDF8" w14:textId="693FCE25" w:rsidR="00E96F07" w:rsidRPr="00B33A7B" w:rsidRDefault="00E96F07" w:rsidP="00993D09">
      <w:pPr>
        <w:pStyle w:val="ListParagraph"/>
        <w:numPr>
          <w:ilvl w:val="0"/>
          <w:numId w:val="2"/>
        </w:numPr>
        <w:ind w:right="90"/>
        <w:rPr>
          <w:rFonts w:cs="Arial"/>
          <w:color w:val="000000" w:themeColor="text1"/>
          <w:shd w:val="clear" w:color="auto" w:fill="FFFFFF"/>
        </w:rPr>
      </w:pPr>
      <w:r w:rsidRPr="00B33A7B">
        <w:rPr>
          <w:rFonts w:cs="Arial"/>
          <w:color w:val="000000" w:themeColor="text1"/>
          <w:shd w:val="clear" w:color="auto" w:fill="FFFFFF"/>
        </w:rPr>
        <w:t>“Disbursement Agreement” means</w:t>
      </w:r>
      <w:r w:rsidR="00AB3EA5" w:rsidRPr="00B33A7B">
        <w:rPr>
          <w:rFonts w:cs="Arial"/>
          <w:color w:val="000000" w:themeColor="text1"/>
          <w:shd w:val="clear" w:color="auto" w:fill="FFFFFF"/>
        </w:rPr>
        <w:t xml:space="preserve"> </w:t>
      </w:r>
      <w:r w:rsidR="00AB3EA5" w:rsidRPr="00B33A7B">
        <w:t xml:space="preserve">an agreement executed by the Recipients and the Department which governs the terms, disbursement, and uses of Program funds, and includes at a minimum, conditions for payment, a specific description of the Capital Improvement Project, a description of all </w:t>
      </w:r>
      <w:r w:rsidR="005F6860">
        <w:t>s</w:t>
      </w:r>
      <w:r w:rsidR="005F6860" w:rsidRPr="00B33A7B">
        <w:t xml:space="preserve">ources </w:t>
      </w:r>
      <w:r w:rsidR="00AB3EA5" w:rsidRPr="00B33A7B">
        <w:t xml:space="preserve">and </w:t>
      </w:r>
      <w:r w:rsidR="005F6860">
        <w:t>u</w:t>
      </w:r>
      <w:r w:rsidR="005F6860" w:rsidRPr="00B33A7B">
        <w:t>ses</w:t>
      </w:r>
      <w:r w:rsidR="00AB3EA5" w:rsidRPr="00B33A7B">
        <w:t xml:space="preserve">, and a </w:t>
      </w:r>
      <w:r w:rsidR="005B2C49" w:rsidRPr="00B33A7B">
        <w:lastRenderedPageBreak/>
        <w:t>P</w:t>
      </w:r>
      <w:r w:rsidR="00AB3EA5" w:rsidRPr="00B33A7B">
        <w:t>roject budget containing cost items for the design, development and construction of the Capital Improvement Project</w:t>
      </w:r>
      <w:r w:rsidR="00D96F5E" w:rsidRPr="00B33A7B">
        <w:t xml:space="preserve"> and </w:t>
      </w:r>
      <w:r w:rsidR="0093262B" w:rsidRPr="00B33A7B">
        <w:t xml:space="preserve">proposed </w:t>
      </w:r>
      <w:r w:rsidR="00D96F5E" w:rsidRPr="00B33A7B">
        <w:t>affordable housing.</w:t>
      </w:r>
      <w:r w:rsidR="00AB3EA5" w:rsidRPr="00B33A7B">
        <w:rPr>
          <w:rFonts w:cs="Arial"/>
          <w:color w:val="000000" w:themeColor="text1"/>
          <w:shd w:val="clear" w:color="auto" w:fill="FFFFFF"/>
        </w:rPr>
        <w:t xml:space="preserve"> </w:t>
      </w:r>
    </w:p>
    <w:p w14:paraId="3D12738F" w14:textId="77777777" w:rsidR="00E96F07" w:rsidRPr="00B33A7B" w:rsidRDefault="00E96F07" w:rsidP="00DF7FFC">
      <w:pPr>
        <w:pStyle w:val="ListParagraph"/>
        <w:ind w:right="90"/>
        <w:rPr>
          <w:rFonts w:cs="Arial"/>
          <w:color w:val="000000" w:themeColor="text1"/>
          <w:shd w:val="clear" w:color="auto" w:fill="FFFFFF"/>
        </w:rPr>
      </w:pPr>
    </w:p>
    <w:p w14:paraId="5F5DA8D7" w14:textId="48E3DC42" w:rsidR="00CE4309" w:rsidRPr="00B33A7B" w:rsidRDefault="78B3AD4E" w:rsidP="00993D09">
      <w:pPr>
        <w:pStyle w:val="ListParagraph"/>
        <w:numPr>
          <w:ilvl w:val="0"/>
          <w:numId w:val="2"/>
        </w:numPr>
        <w:ind w:right="90"/>
        <w:rPr>
          <w:rFonts w:cs="Arial"/>
          <w:color w:val="000000" w:themeColor="text1"/>
          <w:shd w:val="clear" w:color="auto" w:fill="FFFFFF"/>
        </w:rPr>
      </w:pPr>
      <w:r w:rsidRPr="00B33A7B">
        <w:rPr>
          <w:rFonts w:cs="Arial"/>
          <w:color w:val="000000" w:themeColor="text1"/>
          <w:shd w:val="clear" w:color="auto" w:fill="FFFFFF"/>
        </w:rPr>
        <w:t>“Efficiency</w:t>
      </w:r>
      <w:r w:rsidRPr="00B33A7B">
        <w:rPr>
          <w:b/>
          <w:bCs/>
        </w:rPr>
        <w:t xml:space="preserve"> </w:t>
      </w:r>
      <w:r w:rsidRPr="00B33A7B">
        <w:rPr>
          <w:rFonts w:cs="Arial"/>
          <w:color w:val="000000" w:themeColor="text1"/>
          <w:shd w:val="clear" w:color="auto" w:fill="FFFFFF"/>
        </w:rPr>
        <w:t xml:space="preserve">Unit” means a Unit containing only one habitable room. A room in a structure that is a single-family house at the time of application will not </w:t>
      </w:r>
      <w:proofErr w:type="gramStart"/>
      <w:r w:rsidRPr="00B33A7B">
        <w:rPr>
          <w:rFonts w:cs="Arial"/>
          <w:color w:val="000000" w:themeColor="text1"/>
          <w:shd w:val="clear" w:color="auto" w:fill="FFFFFF"/>
        </w:rPr>
        <w:t>be considered to be</w:t>
      </w:r>
      <w:proofErr w:type="gramEnd"/>
      <w:r w:rsidRPr="00B33A7B">
        <w:rPr>
          <w:rFonts w:cs="Arial"/>
          <w:color w:val="000000" w:themeColor="text1"/>
          <w:shd w:val="clear" w:color="auto" w:fill="FFFFFF"/>
        </w:rPr>
        <w:t xml:space="preserve"> an Efficiency Unit eligible for program funds.</w:t>
      </w:r>
    </w:p>
    <w:p w14:paraId="006CD11D" w14:textId="77777777" w:rsidR="00CE4309" w:rsidRPr="00B33A7B" w:rsidRDefault="00CE4309" w:rsidP="00811643">
      <w:pPr>
        <w:pStyle w:val="ListParagraph"/>
        <w:ind w:right="90"/>
        <w:rPr>
          <w:rFonts w:cs="Arial"/>
          <w:color w:val="000000" w:themeColor="text1"/>
          <w:shd w:val="clear" w:color="auto" w:fill="FFFFFF"/>
        </w:rPr>
      </w:pPr>
    </w:p>
    <w:p w14:paraId="50A29E45" w14:textId="1DF9628B" w:rsidR="005476C3" w:rsidRPr="00B33A7B" w:rsidRDefault="3AC43FCF" w:rsidP="00993D09">
      <w:pPr>
        <w:pStyle w:val="ListParagraph"/>
        <w:numPr>
          <w:ilvl w:val="0"/>
          <w:numId w:val="2"/>
        </w:numPr>
        <w:ind w:right="90"/>
        <w:rPr>
          <w:rFonts w:cs="Arial"/>
          <w:color w:val="000000" w:themeColor="text1"/>
          <w:shd w:val="clear" w:color="auto" w:fill="FFFFFF"/>
        </w:rPr>
      </w:pPr>
      <w:r w:rsidRPr="00B33A7B">
        <w:rPr>
          <w:rFonts w:cs="Arial"/>
          <w:color w:val="000000" w:themeColor="text1"/>
          <w:shd w:val="clear" w:color="auto" w:fill="FFFFFF"/>
        </w:rPr>
        <w:t xml:space="preserve">“Eligible Households” </w:t>
      </w:r>
      <w:r w:rsidR="1765CBBA" w:rsidRPr="00B33A7B">
        <w:rPr>
          <w:rFonts w:cs="Arial"/>
          <w:color w:val="000000" w:themeColor="text1"/>
          <w:shd w:val="clear" w:color="auto" w:fill="FFFFFF"/>
        </w:rPr>
        <w:t>means</w:t>
      </w:r>
      <w:r w:rsidRPr="00B33A7B">
        <w:rPr>
          <w:rFonts w:cs="Arial"/>
          <w:color w:val="000000" w:themeColor="text1"/>
          <w:shd w:val="clear" w:color="auto" w:fill="FFFFFF"/>
        </w:rPr>
        <w:t xml:space="preserve"> </w:t>
      </w:r>
      <w:r w:rsidR="08A65945" w:rsidRPr="00B33A7B">
        <w:t>households whose incomes do not exceed 60 percent of AMI, as</w:t>
      </w:r>
      <w:r w:rsidR="08A65945" w:rsidRPr="00B33A7B">
        <w:rPr>
          <w:spacing w:val="1"/>
        </w:rPr>
        <w:t xml:space="preserve"> </w:t>
      </w:r>
      <w:r w:rsidR="08A65945" w:rsidRPr="00B33A7B">
        <w:t xml:space="preserve">calculated in accordance with the regulations and procedures governing the </w:t>
      </w:r>
      <w:r w:rsidR="0F64E40A" w:rsidRPr="00B33A7B">
        <w:t>l</w:t>
      </w:r>
      <w:r w:rsidR="08A65945" w:rsidRPr="00B33A7B">
        <w:t>ow-</w:t>
      </w:r>
      <w:r w:rsidR="0F64E40A" w:rsidRPr="00B33A7B">
        <w:t>i</w:t>
      </w:r>
      <w:r w:rsidR="08A65945" w:rsidRPr="00B33A7B">
        <w:t>ncome housing tax credit program, as administered by TCAC, or other</w:t>
      </w:r>
      <w:r w:rsidR="00ED7362">
        <w:t xml:space="preserve"> </w:t>
      </w:r>
      <w:r w:rsidR="08A65945" w:rsidRPr="00B33A7B">
        <w:t>lower</w:t>
      </w:r>
      <w:r w:rsidR="7001C159" w:rsidRPr="00B33A7B">
        <w:t xml:space="preserve"> </w:t>
      </w:r>
      <w:r w:rsidR="08A65945" w:rsidRPr="00B33A7B">
        <w:t xml:space="preserve">income limits agreed to by </w:t>
      </w:r>
      <w:r w:rsidR="0005657D" w:rsidRPr="00B33A7B">
        <w:t>the Affordable Housing Development</w:t>
      </w:r>
      <w:r w:rsidR="08A65945" w:rsidRPr="00B33A7B">
        <w:t xml:space="preserve"> Sponsor</w:t>
      </w:r>
      <w:r w:rsidR="08A65945" w:rsidRPr="00B33A7B">
        <w:rPr>
          <w:spacing w:val="-1"/>
        </w:rPr>
        <w:t xml:space="preserve"> </w:t>
      </w:r>
      <w:r w:rsidR="08A65945" w:rsidRPr="00B33A7B">
        <w:t>and</w:t>
      </w:r>
      <w:r w:rsidR="08A65945" w:rsidRPr="00B33A7B">
        <w:rPr>
          <w:spacing w:val="1"/>
        </w:rPr>
        <w:t xml:space="preserve"> </w:t>
      </w:r>
      <w:r w:rsidR="08A65945" w:rsidRPr="00B33A7B">
        <w:t>the</w:t>
      </w:r>
      <w:r w:rsidR="08A65945" w:rsidRPr="00B33A7B">
        <w:rPr>
          <w:spacing w:val="1"/>
        </w:rPr>
        <w:t xml:space="preserve"> </w:t>
      </w:r>
      <w:r w:rsidR="08A65945" w:rsidRPr="00B33A7B">
        <w:t>Department. Household income will be calculated based on Units in accordance with TCAC rules and</w:t>
      </w:r>
      <w:r w:rsidR="08A65945" w:rsidRPr="00B33A7B">
        <w:rPr>
          <w:spacing w:val="1"/>
        </w:rPr>
        <w:t xml:space="preserve"> </w:t>
      </w:r>
      <w:r w:rsidR="08A65945" w:rsidRPr="00B33A7B">
        <w:t>procedures.</w:t>
      </w:r>
      <w:r w:rsidR="08A65945" w:rsidRPr="00B33A7B">
        <w:rPr>
          <w:spacing w:val="-2"/>
        </w:rPr>
        <w:t xml:space="preserve"> </w:t>
      </w:r>
      <w:r w:rsidR="08A65945" w:rsidRPr="00B33A7B">
        <w:t>(The</w:t>
      </w:r>
      <w:r w:rsidR="08A65945" w:rsidRPr="00B33A7B">
        <w:rPr>
          <w:spacing w:val="-3"/>
        </w:rPr>
        <w:t xml:space="preserve"> </w:t>
      </w:r>
      <w:r w:rsidR="08A65945" w:rsidRPr="00B33A7B">
        <w:t>rules</w:t>
      </w:r>
      <w:r w:rsidR="08A65945" w:rsidRPr="00B33A7B">
        <w:rPr>
          <w:spacing w:val="-4"/>
        </w:rPr>
        <w:t xml:space="preserve"> </w:t>
      </w:r>
      <w:r w:rsidR="08A65945" w:rsidRPr="00B33A7B">
        <w:t>and</w:t>
      </w:r>
      <w:r w:rsidR="08A65945" w:rsidRPr="00B33A7B">
        <w:rPr>
          <w:spacing w:val="-4"/>
        </w:rPr>
        <w:t xml:space="preserve"> </w:t>
      </w:r>
      <w:r w:rsidR="08A65945" w:rsidRPr="00B33A7B">
        <w:t>procedures</w:t>
      </w:r>
      <w:r w:rsidR="08A65945" w:rsidRPr="00B33A7B">
        <w:rPr>
          <w:spacing w:val="-2"/>
        </w:rPr>
        <w:t xml:space="preserve"> </w:t>
      </w:r>
      <w:r w:rsidR="08A65945" w:rsidRPr="00B33A7B">
        <w:t>set</w:t>
      </w:r>
      <w:r w:rsidR="08A65945" w:rsidRPr="00B33A7B">
        <w:rPr>
          <w:spacing w:val="-2"/>
        </w:rPr>
        <w:t xml:space="preserve"> </w:t>
      </w:r>
      <w:r w:rsidR="08A65945" w:rsidRPr="00B33A7B">
        <w:t>forth</w:t>
      </w:r>
      <w:r w:rsidR="08A65945" w:rsidRPr="00B33A7B">
        <w:rPr>
          <w:spacing w:val="-2"/>
        </w:rPr>
        <w:t xml:space="preserve"> </w:t>
      </w:r>
      <w:r w:rsidR="08A65945" w:rsidRPr="00B33A7B">
        <w:t>in</w:t>
      </w:r>
      <w:r w:rsidR="08A65945" w:rsidRPr="00B33A7B">
        <w:rPr>
          <w:spacing w:val="-1"/>
        </w:rPr>
        <w:t xml:space="preserve"> </w:t>
      </w:r>
      <w:r w:rsidR="08A65945" w:rsidRPr="00B33A7B">
        <w:t>25</w:t>
      </w:r>
      <w:r w:rsidR="08A65945" w:rsidRPr="00B33A7B">
        <w:rPr>
          <w:spacing w:val="-2"/>
        </w:rPr>
        <w:t xml:space="preserve"> </w:t>
      </w:r>
      <w:r w:rsidR="5C2E3286" w:rsidRPr="00B33A7B">
        <w:rPr>
          <w:rFonts w:cs="Arial"/>
        </w:rPr>
        <w:t>California Code of Regulations (</w:t>
      </w:r>
      <w:r w:rsidR="08A65945" w:rsidRPr="00B33A7B">
        <w:t>CCR</w:t>
      </w:r>
      <w:r w:rsidR="5C2E3286" w:rsidRPr="00B33A7B">
        <w:t>)</w:t>
      </w:r>
      <w:r w:rsidR="08A65945" w:rsidRPr="00B33A7B">
        <w:rPr>
          <w:spacing w:val="-2"/>
        </w:rPr>
        <w:t xml:space="preserve"> </w:t>
      </w:r>
      <w:r w:rsidR="08A65945" w:rsidRPr="00B33A7B">
        <w:t>Section</w:t>
      </w:r>
      <w:r w:rsidR="08A65945" w:rsidRPr="00B33A7B">
        <w:rPr>
          <w:spacing w:val="-3"/>
        </w:rPr>
        <w:t xml:space="preserve"> </w:t>
      </w:r>
      <w:r w:rsidR="08A65945" w:rsidRPr="00B33A7B">
        <w:t>6932</w:t>
      </w:r>
      <w:r w:rsidR="08A65945" w:rsidRPr="00B33A7B">
        <w:rPr>
          <w:spacing w:val="-2"/>
        </w:rPr>
        <w:t xml:space="preserve"> </w:t>
      </w:r>
      <w:r w:rsidR="08A65945" w:rsidRPr="00B33A7B">
        <w:t>et.</w:t>
      </w:r>
      <w:r w:rsidR="08A65945" w:rsidRPr="00B33A7B">
        <w:rPr>
          <w:spacing w:val="-1"/>
        </w:rPr>
        <w:t xml:space="preserve"> </w:t>
      </w:r>
      <w:r w:rsidR="08A65945" w:rsidRPr="00B33A7B">
        <w:t>seq.,</w:t>
      </w:r>
      <w:r w:rsidR="08A65945" w:rsidRPr="00B33A7B">
        <w:rPr>
          <w:spacing w:val="-4"/>
        </w:rPr>
        <w:t xml:space="preserve"> </w:t>
      </w:r>
      <w:r w:rsidR="08A65945" w:rsidRPr="00B33A7B">
        <w:t>do</w:t>
      </w:r>
      <w:r w:rsidR="08A65945" w:rsidRPr="00B33A7B">
        <w:rPr>
          <w:spacing w:val="-4"/>
        </w:rPr>
        <w:t xml:space="preserve"> </w:t>
      </w:r>
      <w:r w:rsidR="08A65945" w:rsidRPr="00B33A7B">
        <w:t>not</w:t>
      </w:r>
      <w:r w:rsidR="08A65945" w:rsidRPr="00B33A7B">
        <w:rPr>
          <w:spacing w:val="-4"/>
        </w:rPr>
        <w:t xml:space="preserve"> </w:t>
      </w:r>
      <w:r w:rsidR="08A65945" w:rsidRPr="00B33A7B">
        <w:t>apply.)</w:t>
      </w:r>
      <w:r w:rsidR="123CE73F" w:rsidRPr="00B33A7B">
        <w:t xml:space="preserve"> </w:t>
      </w:r>
      <w:r w:rsidR="01FAD7E1" w:rsidRPr="00B33A7B">
        <w:t>For Tribal Households, as calculated in accordance with the Native American Housing and Self Determination Act, using the greater of the income of the county/parish located within a Tribal Entity’s service area or the United States median income.</w:t>
      </w:r>
    </w:p>
    <w:p w14:paraId="0C6D98ED" w14:textId="77777777" w:rsidR="00A72D00" w:rsidRPr="00B33A7B" w:rsidRDefault="00A72D00" w:rsidP="00A72D00">
      <w:pPr>
        <w:pStyle w:val="ListParagraph"/>
        <w:ind w:right="90"/>
        <w:rPr>
          <w:rFonts w:cs="Arial"/>
          <w:color w:val="000000" w:themeColor="text1"/>
          <w:shd w:val="clear" w:color="auto" w:fill="FFFFFF"/>
        </w:rPr>
      </w:pPr>
    </w:p>
    <w:p w14:paraId="6FF0DB47" w14:textId="40845B73" w:rsidR="00A72D00" w:rsidRPr="00B33A7B" w:rsidRDefault="2D6504AF" w:rsidP="00993D09">
      <w:pPr>
        <w:pStyle w:val="ListParagraph"/>
        <w:numPr>
          <w:ilvl w:val="0"/>
          <w:numId w:val="2"/>
        </w:numPr>
        <w:ind w:right="90"/>
        <w:rPr>
          <w:rFonts w:cs="Arial"/>
          <w:color w:val="000000" w:themeColor="text1"/>
          <w:shd w:val="clear" w:color="auto" w:fill="FFFFFF"/>
        </w:rPr>
      </w:pPr>
      <w:r w:rsidRPr="00B33A7B">
        <w:rPr>
          <w:rFonts w:cstheme="minorBidi"/>
        </w:rPr>
        <w:t xml:space="preserve">“Emerging </w:t>
      </w:r>
      <w:r w:rsidRPr="00B33A7B">
        <w:t>Developer”</w:t>
      </w:r>
      <w:r w:rsidR="4C74D2F4" w:rsidRPr="00B33A7B">
        <w:t>,</w:t>
      </w:r>
      <w:r w:rsidRPr="00B33A7B">
        <w:t xml:space="preserve"> as </w:t>
      </w:r>
      <w:r w:rsidR="09D82A36" w:rsidRPr="00B33A7B">
        <w:t xml:space="preserve">determined by the Department in its reasonable discretion, means an entity, including a Tribal Entity, that has developed, owned, or operated at least one (1) but not more than three (3) Affordable Housing Developments that are equivalent to the proposed Affordable Housing Development in size, scale, amenity, and target population. The Department may determine experience by evaluating the experience of the entity itself, the experience of senior staff within the organization, or in compliance with </w:t>
      </w:r>
      <w:r w:rsidR="6BFB2FEA" w:rsidRPr="00B33A7B">
        <w:t xml:space="preserve">MHP </w:t>
      </w:r>
      <w:r w:rsidR="0BE712FC" w:rsidRPr="00B33A7B">
        <w:t>G</w:t>
      </w:r>
      <w:r w:rsidR="6BFB2FEA" w:rsidRPr="00B33A7B">
        <w:t xml:space="preserve">uidelines </w:t>
      </w:r>
      <w:r w:rsidR="28DBD51C" w:rsidRPr="00B33A7B">
        <w:t>S</w:t>
      </w:r>
      <w:r w:rsidR="09D82A36" w:rsidRPr="00B33A7B">
        <w:t>ection 7303 subdivision (d)(3) permitting an entity to contract with another entity that meets the experience requirements.</w:t>
      </w:r>
    </w:p>
    <w:p w14:paraId="7648599C" w14:textId="77777777" w:rsidR="005476C3" w:rsidRPr="00B33A7B" w:rsidRDefault="005476C3" w:rsidP="009A2606">
      <w:pPr>
        <w:pStyle w:val="ListParagraph"/>
        <w:ind w:right="90"/>
        <w:rPr>
          <w:rFonts w:cs="Arial"/>
          <w:color w:val="000000" w:themeColor="text1"/>
          <w:shd w:val="clear" w:color="auto" w:fill="FFFFFF"/>
        </w:rPr>
      </w:pPr>
    </w:p>
    <w:p w14:paraId="6C27DBE7" w14:textId="51DB3DCE" w:rsidR="00C00A1A" w:rsidRPr="00B33A7B" w:rsidRDefault="06931AAD" w:rsidP="00993D09">
      <w:pPr>
        <w:pStyle w:val="ListParagraph"/>
        <w:numPr>
          <w:ilvl w:val="0"/>
          <w:numId w:val="2"/>
        </w:numPr>
        <w:ind w:right="90"/>
        <w:rPr>
          <w:rFonts w:cs="Arial"/>
          <w:color w:val="000000" w:themeColor="text1"/>
          <w:shd w:val="clear" w:color="auto" w:fill="FFFFFF"/>
        </w:rPr>
      </w:pPr>
      <w:r w:rsidRPr="00B33A7B">
        <w:rPr>
          <w:rFonts w:cs="Arial"/>
          <w:color w:val="000000" w:themeColor="text1"/>
          <w:shd w:val="clear" w:color="auto" w:fill="FFFFFF"/>
        </w:rPr>
        <w:t xml:space="preserve">“Enforceable Funding Commitment” means </w:t>
      </w:r>
      <w:r w:rsidR="05CACC64" w:rsidRPr="00B33A7B">
        <w:rPr>
          <w:rFonts w:cs="Arial"/>
          <w:color w:val="000000" w:themeColor="text1"/>
          <w:shd w:val="clear" w:color="auto" w:fill="FFFFFF"/>
        </w:rPr>
        <w:t xml:space="preserve">a </w:t>
      </w:r>
      <w:r w:rsidR="5825661C" w:rsidRPr="00B33A7B">
        <w:t xml:space="preserve">letter or other document evidencing, to the satisfaction of the Department, a commitment of funds or a reservation of funds by a </w:t>
      </w:r>
      <w:r w:rsidR="0088119A" w:rsidRPr="00B33A7B">
        <w:t>p</w:t>
      </w:r>
      <w:r w:rsidR="5825661C" w:rsidRPr="00B33A7B">
        <w:t xml:space="preserve">roject funding source for construction or permanent financing, including, but not limited to, the following:  </w:t>
      </w:r>
    </w:p>
    <w:p w14:paraId="0EAA0C47" w14:textId="77777777" w:rsidR="00C00A1A" w:rsidRPr="00B33A7B" w:rsidRDefault="00C00A1A" w:rsidP="00A5528C">
      <w:pPr>
        <w:tabs>
          <w:tab w:val="left" w:pos="0"/>
          <w:tab w:val="left" w:pos="900"/>
        </w:tabs>
        <w:ind w:left="1440"/>
        <w:rPr>
          <w:rFonts w:cs="Arial"/>
          <w:color w:val="000000"/>
        </w:rPr>
      </w:pPr>
    </w:p>
    <w:p w14:paraId="25C7E425" w14:textId="41ABBEE7" w:rsidR="00506738" w:rsidRPr="00B33A7B" w:rsidRDefault="00506738" w:rsidP="00993D09">
      <w:pPr>
        <w:pStyle w:val="ListParagraph"/>
        <w:numPr>
          <w:ilvl w:val="0"/>
          <w:numId w:val="60"/>
        </w:numPr>
        <w:ind w:right="360" w:hanging="720"/>
        <w:rPr>
          <w:rFonts w:cs="Arial"/>
        </w:rPr>
      </w:pPr>
      <w:r w:rsidRPr="00B33A7B">
        <w:rPr>
          <w:rFonts w:cs="Arial"/>
        </w:rPr>
        <w:t xml:space="preserve">Private </w:t>
      </w:r>
      <w:r w:rsidR="008C64EE" w:rsidRPr="00B33A7B">
        <w:t>financing from a lender other than a mortgage broker, the Applicant, or an entity with an identity of interest with the Applicant, unless the Applicant is a lending institution actively and regularly engaged in residential</w:t>
      </w:r>
      <w:r w:rsidRPr="00B33A7B">
        <w:rPr>
          <w:rFonts w:cs="Arial"/>
        </w:rPr>
        <w:t xml:space="preserve"> </w:t>
      </w:r>
      <w:proofErr w:type="gramStart"/>
      <w:r w:rsidRPr="00B33A7B">
        <w:rPr>
          <w:rFonts w:cs="Arial"/>
        </w:rPr>
        <w:t>lending;</w:t>
      </w:r>
      <w:proofErr w:type="gramEnd"/>
      <w:r w:rsidRPr="00B33A7B">
        <w:rPr>
          <w:rFonts w:cs="Arial"/>
        </w:rPr>
        <w:t xml:space="preserve"> </w:t>
      </w:r>
    </w:p>
    <w:p w14:paraId="244F014F" w14:textId="77777777" w:rsidR="00FC5C7C" w:rsidRPr="00B33A7B" w:rsidRDefault="00FC5C7C" w:rsidP="00FC5C7C">
      <w:pPr>
        <w:pStyle w:val="ListParagraph"/>
        <w:ind w:left="1440" w:right="360"/>
        <w:rPr>
          <w:rFonts w:cs="Arial"/>
        </w:rPr>
      </w:pPr>
    </w:p>
    <w:p w14:paraId="3C10B9BA" w14:textId="26E31D3D" w:rsidR="00FC5C7C" w:rsidRPr="00B33A7B" w:rsidRDefault="00FC5C7C" w:rsidP="00993D09">
      <w:pPr>
        <w:pStyle w:val="ListParagraph"/>
        <w:numPr>
          <w:ilvl w:val="0"/>
          <w:numId w:val="60"/>
        </w:numPr>
        <w:ind w:right="360" w:hanging="720"/>
        <w:rPr>
          <w:rFonts w:cs="Arial"/>
        </w:rPr>
      </w:pPr>
      <w:r w:rsidRPr="00B33A7B">
        <w:rPr>
          <w:rFonts w:cs="Arial"/>
        </w:rPr>
        <w:t xml:space="preserve">Deferred-payment financing, residual receipts payment financing, grants and subsidies from public </w:t>
      </w:r>
      <w:proofErr w:type="gramStart"/>
      <w:r w:rsidRPr="00B33A7B">
        <w:rPr>
          <w:rFonts w:cs="Arial"/>
        </w:rPr>
        <w:t>agencies;</w:t>
      </w:r>
      <w:proofErr w:type="gramEnd"/>
      <w:r w:rsidRPr="00B33A7B">
        <w:rPr>
          <w:rFonts w:cs="Arial"/>
        </w:rPr>
        <w:t xml:space="preserve"> </w:t>
      </w:r>
    </w:p>
    <w:p w14:paraId="3FD87DD9" w14:textId="77777777" w:rsidR="00C00A1A" w:rsidRPr="00B33A7B" w:rsidRDefault="00C00A1A" w:rsidP="00352871">
      <w:pPr>
        <w:pStyle w:val="ListParagraph"/>
        <w:ind w:left="1440" w:right="360"/>
        <w:rPr>
          <w:rFonts w:cs="Arial"/>
        </w:rPr>
      </w:pPr>
    </w:p>
    <w:p w14:paraId="6CC51B14" w14:textId="55F12302" w:rsidR="00C00A1A" w:rsidRPr="00B33A7B" w:rsidRDefault="00C00A1A" w:rsidP="00993D09">
      <w:pPr>
        <w:pStyle w:val="ListParagraph"/>
        <w:numPr>
          <w:ilvl w:val="0"/>
          <w:numId w:val="60"/>
        </w:numPr>
        <w:ind w:right="360" w:hanging="720"/>
        <w:rPr>
          <w:rFonts w:cs="Arial"/>
        </w:rPr>
      </w:pPr>
      <w:r w:rsidRPr="00B33A7B">
        <w:rPr>
          <w:rFonts w:cs="Arial"/>
        </w:rPr>
        <w:t xml:space="preserve">Funds awarded by another Department program. Proof of </w:t>
      </w:r>
      <w:r w:rsidR="005B2350" w:rsidRPr="00B33A7B">
        <w:rPr>
          <w:rFonts w:cs="Arial"/>
        </w:rPr>
        <w:t>A</w:t>
      </w:r>
      <w:r w:rsidRPr="00B33A7B">
        <w:rPr>
          <w:rFonts w:cs="Arial"/>
        </w:rPr>
        <w:t xml:space="preserve">ward must be </w:t>
      </w:r>
      <w:r w:rsidR="00590E2E" w:rsidRPr="00B33A7B">
        <w:rPr>
          <w:rFonts w:cs="Arial"/>
        </w:rPr>
        <w:t>issued</w:t>
      </w:r>
      <w:r w:rsidRPr="00B33A7B">
        <w:rPr>
          <w:rFonts w:cs="Arial"/>
        </w:rPr>
        <w:t xml:space="preserve"> prior to final rating and ranking of the Program application. </w:t>
      </w:r>
    </w:p>
    <w:p w14:paraId="5FB06C64" w14:textId="77777777" w:rsidR="00C00A1A" w:rsidRPr="00B33A7B" w:rsidRDefault="00C00A1A" w:rsidP="00A5528C">
      <w:pPr>
        <w:tabs>
          <w:tab w:val="left" w:pos="0"/>
          <w:tab w:val="left" w:pos="900"/>
        </w:tabs>
        <w:ind w:left="1260"/>
        <w:rPr>
          <w:rFonts w:cs="Arial"/>
          <w:color w:val="000000"/>
        </w:rPr>
      </w:pPr>
    </w:p>
    <w:p w14:paraId="379BA331" w14:textId="1B7C652C" w:rsidR="002F3783" w:rsidRPr="00CA6705" w:rsidRDefault="00C00A1A" w:rsidP="00993D09">
      <w:pPr>
        <w:pStyle w:val="ListParagraph"/>
        <w:numPr>
          <w:ilvl w:val="0"/>
          <w:numId w:val="60"/>
        </w:numPr>
        <w:ind w:right="360" w:hanging="720"/>
        <w:rPr>
          <w:rFonts w:cs="Arial"/>
        </w:rPr>
      </w:pPr>
      <w:r w:rsidRPr="00CA6705">
        <w:rPr>
          <w:rFonts w:cs="Arial"/>
        </w:rPr>
        <w:t xml:space="preserve">A </w:t>
      </w:r>
      <w:r w:rsidR="00B55AF7" w:rsidRPr="00CA6705">
        <w:rPr>
          <w:rFonts w:cs="Arial"/>
        </w:rPr>
        <w:t>L</w:t>
      </w:r>
      <w:r w:rsidRPr="00CA6705">
        <w:rPr>
          <w:rFonts w:cs="Arial"/>
        </w:rPr>
        <w:t xml:space="preserve">and </w:t>
      </w:r>
      <w:r w:rsidR="00B55AF7" w:rsidRPr="00CA6705">
        <w:t>D</w:t>
      </w:r>
      <w:r w:rsidR="003A708C" w:rsidRPr="00CA6705">
        <w:t xml:space="preserve">onation in fee for no other consideration that is supported by an appraisal and/or purchase/sale agreement, or some other instrument of title transfer (“Land Donation”), or a </w:t>
      </w:r>
      <w:r w:rsidR="001F2D91" w:rsidRPr="00CA6705">
        <w:t>L</w:t>
      </w:r>
      <w:r w:rsidR="003A708C" w:rsidRPr="00CA6705">
        <w:t xml:space="preserve">ocal </w:t>
      </w:r>
      <w:r w:rsidR="001F2D91" w:rsidRPr="00CA6705">
        <w:t>F</w:t>
      </w:r>
      <w:r w:rsidR="003A708C" w:rsidRPr="00CA6705">
        <w:t xml:space="preserve">ee </w:t>
      </w:r>
      <w:r w:rsidR="001F2D91" w:rsidRPr="00CA6705">
        <w:t>W</w:t>
      </w:r>
      <w:r w:rsidR="003A708C" w:rsidRPr="00CA6705">
        <w:t xml:space="preserve">aiver resulting in </w:t>
      </w:r>
      <w:r w:rsidR="003A708C" w:rsidRPr="00CA6705">
        <w:lastRenderedPageBreak/>
        <w:t xml:space="preserve">quantifiable cost savings for the </w:t>
      </w:r>
      <w:r w:rsidR="00C248A9" w:rsidRPr="00CA6705">
        <w:t>p</w:t>
      </w:r>
      <w:r w:rsidR="003A708C" w:rsidRPr="00CA6705">
        <w:t xml:space="preserve">roject where those </w:t>
      </w:r>
      <w:r w:rsidR="000C0722" w:rsidRPr="00CA6705">
        <w:t>F</w:t>
      </w:r>
      <w:r w:rsidR="003A708C" w:rsidRPr="00CA6705">
        <w:t xml:space="preserve">ee </w:t>
      </w:r>
      <w:r w:rsidR="000C0722" w:rsidRPr="00CA6705">
        <w:t>W</w:t>
      </w:r>
      <w:r w:rsidR="003A708C" w:rsidRPr="00CA6705">
        <w:t xml:space="preserve">aivers are not otherwise required by federal or state law (“Local Fee Waiver”), shall be considered a funding commitment. The value of the Land Donation will be the greater of either the original purchase price or the current appraised value as supported by an independent third-party appraisal prepared by a Member Appraisal Institute-qualified appraiser within one year prior to the application deadline. A funding commitment in the form of a Local Fee Waiver must be supported by written documentation from the local public agency. A below market lease that meets the requirements of UMR </w:t>
      </w:r>
      <w:r w:rsidR="00295294" w:rsidRPr="00CA6705">
        <w:t>S</w:t>
      </w:r>
      <w:r w:rsidR="003A708C" w:rsidRPr="00CA6705">
        <w:t xml:space="preserve">ection 8316 would be considered a </w:t>
      </w:r>
      <w:r w:rsidR="00B55AF7" w:rsidRPr="00CA6705">
        <w:t>L</w:t>
      </w:r>
      <w:r w:rsidR="003A708C" w:rsidRPr="00CA6705">
        <w:t xml:space="preserve">and </w:t>
      </w:r>
      <w:r w:rsidR="00B55AF7" w:rsidRPr="00CA6705">
        <w:t>D</w:t>
      </w:r>
      <w:r w:rsidR="003A708C" w:rsidRPr="00CA6705">
        <w:t>onation ($1 per year).</w:t>
      </w:r>
    </w:p>
    <w:p w14:paraId="1E3FADC5" w14:textId="77777777" w:rsidR="002F3783" w:rsidRPr="00B33A7B" w:rsidRDefault="002F3783" w:rsidP="002E0875">
      <w:pPr>
        <w:pStyle w:val="ListParagraph"/>
        <w:ind w:left="1440" w:right="360"/>
        <w:rPr>
          <w:rFonts w:cs="Arial"/>
        </w:rPr>
      </w:pPr>
    </w:p>
    <w:p w14:paraId="2D14AB2B" w14:textId="3792CC37" w:rsidR="002F3783" w:rsidRPr="00B33A7B" w:rsidRDefault="002F3783" w:rsidP="00993D09">
      <w:pPr>
        <w:pStyle w:val="ListParagraph"/>
        <w:numPr>
          <w:ilvl w:val="0"/>
          <w:numId w:val="60"/>
        </w:numPr>
        <w:ind w:right="360" w:hanging="720"/>
        <w:rPr>
          <w:rFonts w:cs="Arial"/>
        </w:rPr>
      </w:pPr>
      <w:r w:rsidRPr="00B33A7B">
        <w:rPr>
          <w:rFonts w:cs="Arial"/>
        </w:rPr>
        <w:t xml:space="preserve">Owner equity </w:t>
      </w:r>
      <w:r w:rsidR="00B775B9" w:rsidRPr="00B33A7B">
        <w:t xml:space="preserve">contributions or developer funds. Such contributions or funds shall not be subsequently substituted with a different funding source or forgone if committed in the application, except that a substitution may be made for up to 50 percent of the deferred </w:t>
      </w:r>
      <w:r w:rsidR="00835332">
        <w:t>d</w:t>
      </w:r>
      <w:r w:rsidR="00835332" w:rsidRPr="00B33A7B">
        <w:t>eveloper</w:t>
      </w:r>
      <w:r w:rsidR="00B775B9" w:rsidRPr="00B33A7B">
        <w:t xml:space="preserve"> </w:t>
      </w:r>
      <w:r w:rsidR="00835332">
        <w:t>f</w:t>
      </w:r>
      <w:r w:rsidR="00835332" w:rsidRPr="00B33A7B">
        <w:t>ee</w:t>
      </w:r>
      <w:r w:rsidR="00B775B9" w:rsidRPr="00B33A7B">
        <w:t>. The Department may require the Applicant to evidence the availability of the proposed amount of owner equity or developer funds.</w:t>
      </w:r>
    </w:p>
    <w:p w14:paraId="089F9ADB" w14:textId="77777777" w:rsidR="002F3783" w:rsidRPr="00B33A7B" w:rsidRDefault="002F3783" w:rsidP="002E0875">
      <w:pPr>
        <w:pStyle w:val="ListParagraph"/>
        <w:ind w:left="1440" w:right="360"/>
        <w:rPr>
          <w:rFonts w:cs="Arial"/>
        </w:rPr>
      </w:pPr>
    </w:p>
    <w:p w14:paraId="44CF3799" w14:textId="468A0732" w:rsidR="00C00A1A" w:rsidRPr="00B33A7B" w:rsidRDefault="002F3783" w:rsidP="00993D09">
      <w:pPr>
        <w:pStyle w:val="ListParagraph"/>
        <w:numPr>
          <w:ilvl w:val="0"/>
          <w:numId w:val="60"/>
        </w:numPr>
        <w:ind w:right="360" w:hanging="720"/>
        <w:rPr>
          <w:rFonts w:cs="Arial"/>
        </w:rPr>
      </w:pPr>
      <w:r w:rsidRPr="00B33A7B">
        <w:rPr>
          <w:rFonts w:cs="Arial"/>
        </w:rPr>
        <w:t xml:space="preserve">Funds for </w:t>
      </w:r>
      <w:r w:rsidR="00A87747" w:rsidRPr="00B33A7B">
        <w:t xml:space="preserve">transportation </w:t>
      </w:r>
      <w:proofErr w:type="gramStart"/>
      <w:r w:rsidR="00A87747" w:rsidRPr="00B33A7B">
        <w:t>projects</w:t>
      </w:r>
      <w:r w:rsidR="008D3882" w:rsidRPr="00B33A7B">
        <w:t>,</w:t>
      </w:r>
      <w:r w:rsidR="00A87747" w:rsidRPr="00B33A7B">
        <w:t xml:space="preserve"> if</w:t>
      </w:r>
      <w:proofErr w:type="gramEnd"/>
      <w:r w:rsidR="00A87747" w:rsidRPr="00B33A7B">
        <w:t xml:space="preserve"> </w:t>
      </w:r>
      <w:r w:rsidR="008D3882" w:rsidRPr="00B33A7B">
        <w:t xml:space="preserve">those are </w:t>
      </w:r>
      <w:r w:rsidR="00A87747" w:rsidRPr="00B33A7B">
        <w:t>an eligible Program</w:t>
      </w:r>
      <w:r w:rsidR="00D01DC3" w:rsidRPr="00B33A7B">
        <w:t xml:space="preserve"> cost</w:t>
      </w:r>
      <w:r w:rsidR="00A87747" w:rsidRPr="00B33A7B">
        <w:t xml:space="preserve">. Funds must be programmed for allocation and expenditure in the applicable </w:t>
      </w:r>
      <w:r w:rsidR="00C248A9" w:rsidRPr="00B33A7B">
        <w:t>p</w:t>
      </w:r>
      <w:r w:rsidR="00A87747" w:rsidRPr="00B33A7B">
        <w:t>roject plan consistent with the terms and timeframes of the Standard Agreement</w:t>
      </w:r>
      <w:r w:rsidRPr="00B33A7B">
        <w:rPr>
          <w:rFonts w:cs="Arial"/>
        </w:rPr>
        <w:t>.</w:t>
      </w:r>
    </w:p>
    <w:p w14:paraId="1B6276DD" w14:textId="77777777" w:rsidR="00787A26" w:rsidRPr="00B33A7B" w:rsidRDefault="00787A26" w:rsidP="00787A26">
      <w:pPr>
        <w:ind w:right="360"/>
        <w:rPr>
          <w:rFonts w:cs="Arial"/>
        </w:rPr>
      </w:pPr>
    </w:p>
    <w:p w14:paraId="2D40233C" w14:textId="69A10D39" w:rsidR="005A62EB" w:rsidRPr="00B33A7B" w:rsidRDefault="005A62EB" w:rsidP="00993D09">
      <w:pPr>
        <w:pStyle w:val="ListParagraph"/>
        <w:numPr>
          <w:ilvl w:val="0"/>
          <w:numId w:val="60"/>
        </w:numPr>
        <w:ind w:right="360" w:hanging="720"/>
      </w:pPr>
      <w:r w:rsidRPr="00B33A7B">
        <w:t xml:space="preserve">Enforceable Funding Commitment </w:t>
      </w:r>
      <w:r w:rsidR="00787A26" w:rsidRPr="00B33A7B">
        <w:t>l</w:t>
      </w:r>
      <w:r w:rsidRPr="00B33A7B">
        <w:t>etters must contain the following:</w:t>
      </w:r>
    </w:p>
    <w:p w14:paraId="12438EFF" w14:textId="771185CB" w:rsidR="003164BB" w:rsidRPr="00B33A7B" w:rsidRDefault="00C248A9" w:rsidP="006F25D3">
      <w:pPr>
        <w:pStyle w:val="ListParagraph"/>
        <w:numPr>
          <w:ilvl w:val="3"/>
          <w:numId w:val="61"/>
        </w:numPr>
        <w:ind w:left="1800"/>
        <w:rPr>
          <w:rFonts w:cs="Arial"/>
        </w:rPr>
      </w:pPr>
      <w:r w:rsidRPr="00B33A7B">
        <w:rPr>
          <w:rFonts w:cs="Arial"/>
        </w:rPr>
        <w:t>N</w:t>
      </w:r>
      <w:r w:rsidR="005A62EB" w:rsidRPr="00B33A7B">
        <w:rPr>
          <w:rFonts w:cs="Arial"/>
        </w:rPr>
        <w:t>ame of the Applicant or Sponsor,</w:t>
      </w:r>
    </w:p>
    <w:p w14:paraId="363AB28B" w14:textId="16BAAC74" w:rsidR="003164BB" w:rsidRPr="00B33A7B" w:rsidRDefault="00477A4A" w:rsidP="00477A4A">
      <w:pPr>
        <w:pStyle w:val="ListParagraph"/>
        <w:numPr>
          <w:ilvl w:val="0"/>
          <w:numId w:val="61"/>
        </w:numPr>
        <w:ind w:left="1800" w:right="90"/>
        <w:rPr>
          <w:rFonts w:cs="Arial"/>
        </w:rPr>
      </w:pPr>
      <w:r w:rsidRPr="00B33A7B">
        <w:rPr>
          <w:rFonts w:cs="Arial"/>
        </w:rPr>
        <w:t>P</w:t>
      </w:r>
      <w:r w:rsidR="005A62EB" w:rsidRPr="00B33A7B">
        <w:rPr>
          <w:rFonts w:cs="Arial"/>
        </w:rPr>
        <w:t xml:space="preserve">roject name, </w:t>
      </w:r>
    </w:p>
    <w:p w14:paraId="73F519AE" w14:textId="77777777" w:rsidR="006F25D3" w:rsidRPr="00B33A7B" w:rsidRDefault="005A62EB" w:rsidP="00477A4A">
      <w:pPr>
        <w:pStyle w:val="ListParagraph"/>
        <w:numPr>
          <w:ilvl w:val="0"/>
          <w:numId w:val="61"/>
        </w:numPr>
        <w:ind w:left="1800" w:right="90"/>
        <w:rPr>
          <w:rFonts w:cs="Arial"/>
        </w:rPr>
      </w:pPr>
      <w:r w:rsidRPr="00B33A7B">
        <w:rPr>
          <w:rFonts w:cs="Arial"/>
        </w:rPr>
        <w:t>Project site address, assessor’s parcel number, or legal description; and</w:t>
      </w:r>
    </w:p>
    <w:p w14:paraId="06610DEC" w14:textId="087FE2BE" w:rsidR="005A62EB" w:rsidRPr="00B33A7B" w:rsidRDefault="003A415B" w:rsidP="00477A4A">
      <w:pPr>
        <w:pStyle w:val="ListParagraph"/>
        <w:numPr>
          <w:ilvl w:val="0"/>
          <w:numId w:val="61"/>
        </w:numPr>
        <w:ind w:left="1800" w:right="90"/>
        <w:rPr>
          <w:rFonts w:cs="Arial"/>
        </w:rPr>
      </w:pPr>
      <w:r w:rsidRPr="00B33A7B">
        <w:rPr>
          <w:rFonts w:cs="Arial"/>
        </w:rPr>
        <w:t>A</w:t>
      </w:r>
      <w:r w:rsidR="005A62EB" w:rsidRPr="00B33A7B">
        <w:rPr>
          <w:rFonts w:cs="Arial"/>
        </w:rPr>
        <w:t xml:space="preserve">mount, interest rate (if any), and terms of the funding source. </w:t>
      </w:r>
    </w:p>
    <w:p w14:paraId="545FBB39" w14:textId="77777777" w:rsidR="005A62EB" w:rsidRPr="00B33A7B" w:rsidRDefault="005A62EB" w:rsidP="005A62EB">
      <w:pPr>
        <w:pStyle w:val="ListParagraph"/>
        <w:ind w:left="1440" w:firstLine="180"/>
      </w:pPr>
    </w:p>
    <w:p w14:paraId="6AA445EC" w14:textId="567CDB53" w:rsidR="0041314B" w:rsidRPr="00B33A7B" w:rsidRDefault="0041314B" w:rsidP="006F25D3">
      <w:pPr>
        <w:ind w:left="720"/>
      </w:pPr>
      <w:r w:rsidRPr="00B33A7B">
        <w:t xml:space="preserve">The assistance will be deemed to be an Enforceable Funding Commitment if it has been awarded to the </w:t>
      </w:r>
      <w:r w:rsidR="003A415B" w:rsidRPr="00B33A7B">
        <w:t>p</w:t>
      </w:r>
      <w:r w:rsidRPr="00B33A7B">
        <w:t xml:space="preserve">roject or if the Department approves other evidence that the assistance will be reliably available. The Enforceable Funding Commitment may be conditioned on certain standard underwriting criteria, such as appraisals, but may not be generally conditional. Examples of unacceptable general conditions include phrases such as “subject to senior management approval”, or a statement that omits the word “commitment”, but instead indicates the lender’s “willingness to process an application” or indicates that financing is subject to loan committee approval of the </w:t>
      </w:r>
      <w:r w:rsidR="003A415B" w:rsidRPr="00B33A7B">
        <w:t>p</w:t>
      </w:r>
      <w:r w:rsidRPr="00B33A7B">
        <w:t>roject. Contingencies in commitment documents based upon the receipt of tax-exempt bonds or low-income housing tax credits will not disqualify a source from being counted as committed.</w:t>
      </w:r>
    </w:p>
    <w:p w14:paraId="11C26A5F" w14:textId="247F3854" w:rsidR="00C00A1A" w:rsidRPr="00B33A7B" w:rsidRDefault="00C00A1A" w:rsidP="008F01FA">
      <w:pPr>
        <w:pStyle w:val="ListParagraph"/>
        <w:ind w:right="90"/>
        <w:rPr>
          <w:rFonts w:cs="Arial"/>
          <w:color w:val="000000" w:themeColor="text1"/>
          <w:shd w:val="clear" w:color="auto" w:fill="FFFFFF"/>
        </w:rPr>
      </w:pPr>
    </w:p>
    <w:p w14:paraId="156CC5A8" w14:textId="5663509D" w:rsidR="00F25770" w:rsidRPr="00B33A7B" w:rsidRDefault="205F94E8" w:rsidP="00993D09">
      <w:pPr>
        <w:pStyle w:val="ListParagraph"/>
        <w:widowControl w:val="0"/>
        <w:numPr>
          <w:ilvl w:val="0"/>
          <w:numId w:val="2"/>
        </w:numPr>
        <w:autoSpaceDE w:val="0"/>
        <w:autoSpaceDN w:val="0"/>
      </w:pPr>
      <w:r w:rsidRPr="00B33A7B">
        <w:t>“Extremely Low</w:t>
      </w:r>
      <w:r w:rsidR="2F773565" w:rsidRPr="00B33A7B">
        <w:t xml:space="preserve"> </w:t>
      </w:r>
      <w:r w:rsidRPr="00B33A7B">
        <w:t xml:space="preserve">Income” means households with Gross Incomes not exceeding 30 percent of AMI as set forth in </w:t>
      </w:r>
      <w:r w:rsidR="52FF5916" w:rsidRPr="00B33A7B">
        <w:t>HSC</w:t>
      </w:r>
      <w:r w:rsidRPr="00B33A7B">
        <w:t xml:space="preserve"> </w:t>
      </w:r>
      <w:r w:rsidR="28DBD51C" w:rsidRPr="00B33A7B">
        <w:t>S</w:t>
      </w:r>
      <w:r w:rsidRPr="00B33A7B">
        <w:t xml:space="preserve">ection 50106. </w:t>
      </w:r>
    </w:p>
    <w:p w14:paraId="3FA0C32F" w14:textId="2530ED5F" w:rsidR="00F25770" w:rsidRPr="00B33A7B" w:rsidRDefault="00F25770" w:rsidP="008F01FA">
      <w:pPr>
        <w:pStyle w:val="ListParagraph"/>
        <w:ind w:right="90"/>
        <w:rPr>
          <w:rFonts w:cs="Arial"/>
          <w:color w:val="000000" w:themeColor="text1"/>
          <w:shd w:val="clear" w:color="auto" w:fill="FFFFFF"/>
        </w:rPr>
      </w:pPr>
    </w:p>
    <w:p w14:paraId="1B9EA3A4" w14:textId="7E7DB349" w:rsidR="007436BD" w:rsidRPr="00B33A7B" w:rsidRDefault="33E19A1A" w:rsidP="00993D09">
      <w:pPr>
        <w:pStyle w:val="ListParagraph"/>
        <w:widowControl w:val="0"/>
        <w:numPr>
          <w:ilvl w:val="0"/>
          <w:numId w:val="2"/>
        </w:numPr>
        <w:autoSpaceDE w:val="0"/>
        <w:autoSpaceDN w:val="0"/>
      </w:pPr>
      <w:r w:rsidRPr="00B33A7B">
        <w:t xml:space="preserve">“Farmworker Housing” means a Rental Housing Development where at least 25 percent of the units are reserved for Agricultural Households. </w:t>
      </w:r>
    </w:p>
    <w:p w14:paraId="610F1B7E" w14:textId="77777777" w:rsidR="007436BD" w:rsidRPr="00B33A7B" w:rsidRDefault="007436BD" w:rsidP="008F01FA">
      <w:pPr>
        <w:pStyle w:val="ListParagraph"/>
        <w:ind w:right="90"/>
        <w:rPr>
          <w:rFonts w:cs="Arial"/>
          <w:color w:val="000000" w:themeColor="text1"/>
          <w:shd w:val="clear" w:color="auto" w:fill="FFFFFF"/>
        </w:rPr>
      </w:pPr>
    </w:p>
    <w:p w14:paraId="00F4DFC0" w14:textId="0C073E05" w:rsidR="00557A6D" w:rsidRPr="00B33A7B" w:rsidRDefault="357A0A08" w:rsidP="00993D09">
      <w:pPr>
        <w:pStyle w:val="ListParagraph"/>
        <w:widowControl w:val="0"/>
        <w:numPr>
          <w:ilvl w:val="0"/>
          <w:numId w:val="2"/>
        </w:numPr>
        <w:autoSpaceDE w:val="0"/>
        <w:autoSpaceDN w:val="0"/>
      </w:pPr>
      <w:r w:rsidRPr="00B33A7B">
        <w:lastRenderedPageBreak/>
        <w:t xml:space="preserve">"Fiscal Integrity" means that the total </w:t>
      </w:r>
      <w:r w:rsidR="6F54772A" w:rsidRPr="00B33A7B">
        <w:t>O</w:t>
      </w:r>
      <w:r w:rsidRPr="00B33A7B">
        <w:t xml:space="preserve">perating </w:t>
      </w:r>
      <w:r w:rsidR="6F54772A" w:rsidRPr="00B33A7B">
        <w:t>I</w:t>
      </w:r>
      <w:r w:rsidRPr="00B33A7B">
        <w:t>ncome plus funds released pursuant to the</w:t>
      </w:r>
      <w:r w:rsidRPr="00B33A7B">
        <w:rPr>
          <w:spacing w:val="1"/>
        </w:rPr>
        <w:t xml:space="preserve"> </w:t>
      </w:r>
      <w:r w:rsidRPr="00B33A7B">
        <w:t>Regulatory</w:t>
      </w:r>
      <w:r w:rsidRPr="00B33A7B">
        <w:rPr>
          <w:spacing w:val="-3"/>
        </w:rPr>
        <w:t xml:space="preserve"> </w:t>
      </w:r>
      <w:r w:rsidRPr="00B33A7B">
        <w:t>Agreement</w:t>
      </w:r>
      <w:r w:rsidRPr="00B33A7B">
        <w:rPr>
          <w:spacing w:val="-5"/>
        </w:rPr>
        <w:t xml:space="preserve"> </w:t>
      </w:r>
      <w:r w:rsidRPr="00B33A7B">
        <w:t>from</w:t>
      </w:r>
      <w:r w:rsidRPr="00B33A7B">
        <w:rPr>
          <w:spacing w:val="-4"/>
        </w:rPr>
        <w:t xml:space="preserve"> </w:t>
      </w:r>
      <w:r w:rsidRPr="00B33A7B">
        <w:t>the</w:t>
      </w:r>
      <w:r w:rsidRPr="00B33A7B">
        <w:rPr>
          <w:spacing w:val="-4"/>
        </w:rPr>
        <w:t xml:space="preserve"> </w:t>
      </w:r>
      <w:r w:rsidRPr="00B33A7B">
        <w:t>operating</w:t>
      </w:r>
      <w:r w:rsidRPr="00B33A7B">
        <w:rPr>
          <w:spacing w:val="-2"/>
        </w:rPr>
        <w:t xml:space="preserve"> </w:t>
      </w:r>
      <w:r w:rsidRPr="00B33A7B">
        <w:t>reserve</w:t>
      </w:r>
      <w:r w:rsidRPr="00B33A7B">
        <w:rPr>
          <w:spacing w:val="-2"/>
        </w:rPr>
        <w:t xml:space="preserve"> </w:t>
      </w:r>
      <w:r w:rsidRPr="00B33A7B">
        <w:t>account</w:t>
      </w:r>
      <w:r w:rsidRPr="00B33A7B">
        <w:rPr>
          <w:spacing w:val="-4"/>
        </w:rPr>
        <w:t xml:space="preserve"> </w:t>
      </w:r>
      <w:r w:rsidRPr="00B33A7B">
        <w:t>is</w:t>
      </w:r>
      <w:r w:rsidRPr="00B33A7B">
        <w:rPr>
          <w:spacing w:val="-3"/>
        </w:rPr>
        <w:t xml:space="preserve"> </w:t>
      </w:r>
      <w:r w:rsidRPr="00B33A7B">
        <w:t>sufficient</w:t>
      </w:r>
      <w:r w:rsidRPr="00B33A7B">
        <w:rPr>
          <w:spacing w:val="-3"/>
        </w:rPr>
        <w:t xml:space="preserve"> </w:t>
      </w:r>
      <w:r w:rsidRPr="00B33A7B">
        <w:t>to:</w:t>
      </w:r>
      <w:r w:rsidRPr="00B33A7B">
        <w:rPr>
          <w:spacing w:val="-2"/>
        </w:rPr>
        <w:t xml:space="preserve"> </w:t>
      </w:r>
    </w:p>
    <w:p w14:paraId="4D386BBE" w14:textId="77777777" w:rsidR="00557A6D" w:rsidRPr="00B33A7B" w:rsidRDefault="00557A6D" w:rsidP="003218D9">
      <w:pPr>
        <w:pStyle w:val="ListParagraph"/>
      </w:pPr>
    </w:p>
    <w:p w14:paraId="63EE0DA4" w14:textId="6DB54CA6" w:rsidR="00557A6D" w:rsidRPr="00B33A7B" w:rsidRDefault="00D44BD6" w:rsidP="006F25D3">
      <w:pPr>
        <w:pStyle w:val="ListParagraph"/>
        <w:numPr>
          <w:ilvl w:val="0"/>
          <w:numId w:val="47"/>
        </w:numPr>
        <w:ind w:left="1080" w:right="360"/>
        <w:rPr>
          <w:rFonts w:cs="Arial"/>
        </w:rPr>
      </w:pPr>
      <w:r w:rsidRPr="00B33A7B">
        <w:rPr>
          <w:rFonts w:cs="Arial"/>
        </w:rPr>
        <w:t xml:space="preserve">pay all current </w:t>
      </w:r>
      <w:r w:rsidR="00907403" w:rsidRPr="00B33A7B">
        <w:rPr>
          <w:rFonts w:cs="Arial"/>
        </w:rPr>
        <w:t>O</w:t>
      </w:r>
      <w:r w:rsidRPr="00B33A7B">
        <w:rPr>
          <w:rFonts w:cs="Arial"/>
        </w:rPr>
        <w:t xml:space="preserve">perating </w:t>
      </w:r>
      <w:proofErr w:type="gramStart"/>
      <w:r w:rsidR="00907403" w:rsidRPr="00B33A7B">
        <w:rPr>
          <w:rFonts w:cs="Arial"/>
        </w:rPr>
        <w:t>E</w:t>
      </w:r>
      <w:r w:rsidRPr="00B33A7B">
        <w:rPr>
          <w:rFonts w:cs="Arial"/>
        </w:rPr>
        <w:t>xpenses;</w:t>
      </w:r>
      <w:proofErr w:type="gramEnd"/>
      <w:r w:rsidRPr="00B33A7B">
        <w:rPr>
          <w:rFonts w:cs="Arial"/>
        </w:rPr>
        <w:t xml:space="preserve"> </w:t>
      </w:r>
    </w:p>
    <w:p w14:paraId="6E64A88A" w14:textId="66EE01FE" w:rsidR="00557A6D" w:rsidRPr="00B33A7B" w:rsidRDefault="00D44BD6" w:rsidP="006F25D3">
      <w:pPr>
        <w:pStyle w:val="ListParagraph"/>
        <w:numPr>
          <w:ilvl w:val="0"/>
          <w:numId w:val="47"/>
        </w:numPr>
        <w:ind w:left="1080" w:right="360"/>
        <w:rPr>
          <w:rFonts w:cs="Arial"/>
        </w:rPr>
      </w:pPr>
      <w:r w:rsidRPr="00B33A7B">
        <w:rPr>
          <w:rFonts w:cs="Arial"/>
        </w:rPr>
        <w:t>pay all current debt service (excluding deferred interest</w:t>
      </w:r>
      <w:proofErr w:type="gramStart"/>
      <w:r w:rsidRPr="00B33A7B">
        <w:rPr>
          <w:rFonts w:cs="Arial"/>
        </w:rPr>
        <w:t>);</w:t>
      </w:r>
      <w:proofErr w:type="gramEnd"/>
      <w:r w:rsidRPr="00B33A7B">
        <w:rPr>
          <w:rFonts w:cs="Arial"/>
        </w:rPr>
        <w:t xml:space="preserve"> </w:t>
      </w:r>
    </w:p>
    <w:p w14:paraId="4B2893C4" w14:textId="3895AE39" w:rsidR="00557A6D" w:rsidRPr="00B33A7B" w:rsidRDefault="00D44BD6" w:rsidP="006F25D3">
      <w:pPr>
        <w:pStyle w:val="ListParagraph"/>
        <w:numPr>
          <w:ilvl w:val="0"/>
          <w:numId w:val="47"/>
        </w:numPr>
        <w:ind w:left="1080" w:right="360"/>
        <w:rPr>
          <w:rFonts w:cs="Arial"/>
        </w:rPr>
      </w:pPr>
      <w:r w:rsidRPr="00B33A7B">
        <w:rPr>
          <w:rFonts w:cs="Arial"/>
        </w:rPr>
        <w:t xml:space="preserve">fully fund all reserve accounts (other than the operating reserve account) established pursuant to the Regulatory Agreement; and </w:t>
      </w:r>
    </w:p>
    <w:p w14:paraId="05659677" w14:textId="222A2B53" w:rsidR="00D44BD6" w:rsidRPr="00B33A7B" w:rsidRDefault="00D44BD6" w:rsidP="006F25D3">
      <w:pPr>
        <w:pStyle w:val="ListParagraph"/>
        <w:numPr>
          <w:ilvl w:val="0"/>
          <w:numId w:val="47"/>
        </w:numPr>
        <w:ind w:left="1080" w:right="360"/>
        <w:rPr>
          <w:rFonts w:cs="Arial"/>
        </w:rPr>
      </w:pPr>
      <w:r w:rsidRPr="00B33A7B">
        <w:rPr>
          <w:rFonts w:cs="Arial"/>
        </w:rPr>
        <w:t xml:space="preserve">pay other extraordinary costs permitted by the Regulatory Agreement. The ability to pay any or </w:t>
      </w:r>
      <w:proofErr w:type="gramStart"/>
      <w:r w:rsidRPr="00B33A7B">
        <w:rPr>
          <w:rFonts w:cs="Arial"/>
        </w:rPr>
        <w:t>all of</w:t>
      </w:r>
      <w:proofErr w:type="gramEnd"/>
      <w:r w:rsidRPr="00B33A7B">
        <w:rPr>
          <w:rFonts w:cs="Arial"/>
        </w:rPr>
        <w:t xml:space="preserve"> the permitted annual </w:t>
      </w:r>
      <w:r w:rsidR="00994638" w:rsidRPr="00B33A7B">
        <w:rPr>
          <w:rFonts w:cs="Arial"/>
        </w:rPr>
        <w:t>d</w:t>
      </w:r>
      <w:r w:rsidRPr="00B33A7B">
        <w:rPr>
          <w:rFonts w:cs="Arial"/>
        </w:rPr>
        <w:t>istributions shall not be considered in determining Fiscal Integrity.</w:t>
      </w:r>
    </w:p>
    <w:p w14:paraId="1B24B016" w14:textId="024CA9CD" w:rsidR="00D44BD6" w:rsidRPr="00B33A7B" w:rsidRDefault="00D44BD6" w:rsidP="00D44BD6">
      <w:pPr>
        <w:pStyle w:val="ListParagraph"/>
        <w:ind w:right="90"/>
        <w:rPr>
          <w:rFonts w:cs="Arial"/>
          <w:color w:val="000000" w:themeColor="text1"/>
          <w:shd w:val="clear" w:color="auto" w:fill="FFFFFF"/>
        </w:rPr>
      </w:pPr>
    </w:p>
    <w:p w14:paraId="521AE075" w14:textId="0397FA58" w:rsidR="00447D02" w:rsidRPr="00B33A7B" w:rsidRDefault="3C82CAE1" w:rsidP="00993D09">
      <w:pPr>
        <w:pStyle w:val="ListParagraph"/>
        <w:widowControl w:val="0"/>
        <w:numPr>
          <w:ilvl w:val="0"/>
          <w:numId w:val="2"/>
        </w:numPr>
        <w:autoSpaceDE w:val="0"/>
        <w:autoSpaceDN w:val="0"/>
      </w:pPr>
      <w:r w:rsidRPr="00B33A7B">
        <w:t>“Gross Income” means all income as defined in CCR Title 25 Section 6914.</w:t>
      </w:r>
    </w:p>
    <w:p w14:paraId="37468BBE" w14:textId="77777777" w:rsidR="00447D02" w:rsidRPr="00B33A7B" w:rsidRDefault="00447D02" w:rsidP="00D44BD6">
      <w:pPr>
        <w:pStyle w:val="ListParagraph"/>
        <w:ind w:right="90"/>
        <w:rPr>
          <w:rFonts w:cs="Arial"/>
          <w:color w:val="000000" w:themeColor="text1"/>
          <w:shd w:val="clear" w:color="auto" w:fill="FFFFFF"/>
        </w:rPr>
      </w:pPr>
    </w:p>
    <w:p w14:paraId="2F531949" w14:textId="6D3EA0F9" w:rsidR="000853BD" w:rsidRPr="00B33A7B" w:rsidRDefault="77CBA7B7" w:rsidP="00993D09">
      <w:pPr>
        <w:pStyle w:val="ListParagraph"/>
        <w:numPr>
          <w:ilvl w:val="0"/>
          <w:numId w:val="2"/>
        </w:numPr>
        <w:ind w:right="90"/>
        <w:rPr>
          <w:rFonts w:cs="Arial"/>
          <w:color w:val="000000" w:themeColor="text1"/>
          <w:shd w:val="clear" w:color="auto" w:fill="FFFFFF"/>
        </w:rPr>
      </w:pPr>
      <w:r w:rsidRPr="00B33A7B">
        <w:rPr>
          <w:rFonts w:cs="Arial"/>
          <w:color w:val="000000" w:themeColor="text1"/>
          <w:shd w:val="clear" w:color="auto" w:fill="FFFFFF"/>
        </w:rPr>
        <w:t xml:space="preserve">“High-Density Development” means developments with maximum allowable densities pursuant to </w:t>
      </w:r>
      <w:r w:rsidR="5DEB56B3" w:rsidRPr="00B33A7B">
        <w:rPr>
          <w:rFonts w:cs="Arial"/>
          <w:color w:val="000000" w:themeColor="text1"/>
          <w:shd w:val="clear" w:color="auto" w:fill="FFFFFF"/>
        </w:rPr>
        <w:t>GC</w:t>
      </w:r>
      <w:r w:rsidRPr="00B33A7B">
        <w:rPr>
          <w:rFonts w:cs="Arial"/>
          <w:color w:val="000000" w:themeColor="text1"/>
          <w:shd w:val="clear" w:color="auto" w:fill="FFFFFF"/>
        </w:rPr>
        <w:t xml:space="preserve"> </w:t>
      </w:r>
      <w:r w:rsidR="28DBD51C" w:rsidRPr="00B33A7B">
        <w:rPr>
          <w:rFonts w:cs="Arial"/>
          <w:color w:val="000000" w:themeColor="text1"/>
          <w:shd w:val="clear" w:color="auto" w:fill="FFFFFF"/>
        </w:rPr>
        <w:t>S</w:t>
      </w:r>
      <w:r w:rsidRPr="00B33A7B">
        <w:rPr>
          <w:rFonts w:cs="Arial"/>
          <w:color w:val="000000" w:themeColor="text1"/>
          <w:shd w:val="clear" w:color="auto" w:fill="FFFFFF"/>
        </w:rPr>
        <w:t>ection 65583.2, subdivision (c).</w:t>
      </w:r>
    </w:p>
    <w:p w14:paraId="46AF50B6" w14:textId="77777777" w:rsidR="000853BD" w:rsidRPr="00B33A7B" w:rsidRDefault="000853BD" w:rsidP="000853BD">
      <w:pPr>
        <w:pStyle w:val="ListParagraph"/>
        <w:ind w:right="90"/>
        <w:rPr>
          <w:rFonts w:cs="Arial"/>
          <w:color w:val="000000" w:themeColor="text1"/>
          <w:shd w:val="clear" w:color="auto" w:fill="FFFFFF"/>
        </w:rPr>
      </w:pPr>
    </w:p>
    <w:p w14:paraId="73CE67ED" w14:textId="2F1700E9" w:rsidR="00C70421" w:rsidRPr="00B33A7B" w:rsidRDefault="5D616DCE" w:rsidP="00993D09">
      <w:pPr>
        <w:pStyle w:val="ListParagraph"/>
        <w:widowControl w:val="0"/>
        <w:numPr>
          <w:ilvl w:val="0"/>
          <w:numId w:val="2"/>
        </w:numPr>
        <w:autoSpaceDE w:val="0"/>
        <w:autoSpaceDN w:val="0"/>
      </w:pPr>
      <w:r w:rsidRPr="00B33A7B">
        <w:t>“Homeless</w:t>
      </w:r>
      <w:r w:rsidR="142662DE" w:rsidRPr="00B33A7B">
        <w:t>”</w:t>
      </w:r>
      <w:r w:rsidRPr="00B33A7B">
        <w:t xml:space="preserve"> or </w:t>
      </w:r>
      <w:r w:rsidR="142662DE" w:rsidRPr="00B33A7B">
        <w:t>“</w:t>
      </w:r>
      <w:r w:rsidRPr="00B33A7B">
        <w:t>Homelessness</w:t>
      </w:r>
      <w:r w:rsidR="142662DE" w:rsidRPr="00B33A7B">
        <w:t>”</w:t>
      </w:r>
      <w:r w:rsidRPr="00B33A7B">
        <w:t xml:space="preserve"> means the condition of individuals and households who meet the definition of “homeless” in 24 CFR Part 578.3. “Homelessness” includes “Chronic Homelessness” as defined in these </w:t>
      </w:r>
      <w:r w:rsidR="0BE712FC" w:rsidRPr="00B33A7B">
        <w:t>G</w:t>
      </w:r>
      <w:r w:rsidRPr="00B33A7B">
        <w:t>uidelines. Occupants of a development undergoing Rehabilitation with Program funds, or being replaced by an MHP-funded development, shall be deemed to qualify under this definition if they qualified upon initial occupancy.</w:t>
      </w:r>
    </w:p>
    <w:p w14:paraId="1F19602E" w14:textId="77777777" w:rsidR="0080602F" w:rsidRPr="00B33A7B" w:rsidRDefault="0080602F" w:rsidP="00811643">
      <w:pPr>
        <w:pStyle w:val="ListParagraph"/>
        <w:widowControl w:val="0"/>
        <w:autoSpaceDE w:val="0"/>
        <w:autoSpaceDN w:val="0"/>
      </w:pPr>
    </w:p>
    <w:p w14:paraId="549C189F" w14:textId="7EC5CE1B" w:rsidR="00C244DE" w:rsidRPr="00B33A7B" w:rsidRDefault="300B4012" w:rsidP="00993D09">
      <w:pPr>
        <w:pStyle w:val="ListParagraph"/>
        <w:widowControl w:val="0"/>
        <w:numPr>
          <w:ilvl w:val="0"/>
          <w:numId w:val="2"/>
        </w:numPr>
        <w:autoSpaceDE w:val="0"/>
        <w:autoSpaceDN w:val="0"/>
      </w:pPr>
      <w:r w:rsidRPr="00B33A7B">
        <w:t>“Housing First” is defined in accordance with Welfare and Institutions Code section (WIC) Section 8255.</w:t>
      </w:r>
    </w:p>
    <w:p w14:paraId="62D7641F" w14:textId="77777777" w:rsidR="00C244DE" w:rsidRPr="00B33A7B" w:rsidRDefault="00C244DE" w:rsidP="00811643"/>
    <w:p w14:paraId="0A0C90BD" w14:textId="12A62A26" w:rsidR="0080602F" w:rsidRPr="00B33A7B" w:rsidRDefault="411C187C" w:rsidP="00993D09">
      <w:pPr>
        <w:pStyle w:val="ListParagraph"/>
        <w:widowControl w:val="0"/>
        <w:numPr>
          <w:ilvl w:val="0"/>
          <w:numId w:val="2"/>
        </w:numPr>
        <w:autoSpaceDE w:val="0"/>
        <w:autoSpaceDN w:val="0"/>
      </w:pPr>
      <w:r w:rsidRPr="00B33A7B">
        <w:t>“HUD” means the U.S. Department of Housing and Urban Development.</w:t>
      </w:r>
    </w:p>
    <w:p w14:paraId="3B52D551" w14:textId="77777777" w:rsidR="00C70421" w:rsidRPr="00B33A7B" w:rsidRDefault="00C70421" w:rsidP="008F01FA">
      <w:pPr>
        <w:pStyle w:val="ListParagraph"/>
        <w:ind w:right="90"/>
        <w:rPr>
          <w:rFonts w:cs="Arial"/>
          <w:color w:val="000000" w:themeColor="text1"/>
          <w:shd w:val="clear" w:color="auto" w:fill="FFFFFF"/>
        </w:rPr>
      </w:pPr>
    </w:p>
    <w:p w14:paraId="30742EFE" w14:textId="7A55DF5F" w:rsidR="255D1F0B" w:rsidRPr="00B33A7B" w:rsidRDefault="255D1F0B" w:rsidP="255D1F0B">
      <w:pPr>
        <w:pStyle w:val="ListParagraph"/>
        <w:widowControl w:val="0"/>
        <w:numPr>
          <w:ilvl w:val="0"/>
          <w:numId w:val="2"/>
        </w:numPr>
      </w:pPr>
      <w:r w:rsidRPr="00B33A7B">
        <w:t xml:space="preserve">“Indian Area” means the area within which a Tribally Designated Housing Entity is authorized by one or more Indian tribes to </w:t>
      </w:r>
      <w:proofErr w:type="gramStart"/>
      <w:r w:rsidRPr="00B33A7B">
        <w:t>provide assistance for</w:t>
      </w:r>
      <w:proofErr w:type="gramEnd"/>
      <w:r w:rsidRPr="00B33A7B">
        <w:t xml:space="preserve"> affordable housing pursuant to the Native American Housing and Self Determination Act (NAHASDA) at 25 U.S.C. section 4103.</w:t>
      </w:r>
    </w:p>
    <w:p w14:paraId="6E6C344B" w14:textId="575A722A" w:rsidR="255D1F0B" w:rsidRPr="00B33A7B" w:rsidRDefault="255D1F0B" w:rsidP="00B67E1F">
      <w:pPr>
        <w:widowControl w:val="0"/>
      </w:pPr>
    </w:p>
    <w:p w14:paraId="0D285201" w14:textId="15B1364C" w:rsidR="00AA48A0" w:rsidRPr="00B33A7B" w:rsidRDefault="627AF493" w:rsidP="00993D09">
      <w:pPr>
        <w:pStyle w:val="ListParagraph"/>
        <w:widowControl w:val="0"/>
        <w:numPr>
          <w:ilvl w:val="0"/>
          <w:numId w:val="2"/>
        </w:numPr>
        <w:autoSpaceDE w:val="0"/>
        <w:autoSpaceDN w:val="0"/>
      </w:pPr>
      <w:r w:rsidRPr="00B33A7B">
        <w:t>“Indian</w:t>
      </w:r>
      <w:r w:rsidRPr="00B33A7B">
        <w:rPr>
          <w:spacing w:val="-2"/>
        </w:rPr>
        <w:t xml:space="preserve"> </w:t>
      </w:r>
      <w:r w:rsidR="65D292F9" w:rsidRPr="00B33A7B">
        <w:t>C</w:t>
      </w:r>
      <w:r w:rsidRPr="00B33A7B">
        <w:t>ountry”</w:t>
      </w:r>
      <w:r w:rsidRPr="00B33A7B">
        <w:rPr>
          <w:spacing w:val="-3"/>
        </w:rPr>
        <w:t xml:space="preserve"> </w:t>
      </w:r>
      <w:r w:rsidRPr="00B33A7B">
        <w:t>means</w:t>
      </w:r>
      <w:r w:rsidRPr="00B33A7B">
        <w:rPr>
          <w:spacing w:val="-1"/>
        </w:rPr>
        <w:t xml:space="preserve"> </w:t>
      </w:r>
      <w:r w:rsidRPr="00B33A7B">
        <w:t>all land</w:t>
      </w:r>
      <w:r w:rsidRPr="00B33A7B">
        <w:rPr>
          <w:spacing w:val="-2"/>
        </w:rPr>
        <w:t xml:space="preserve"> </w:t>
      </w:r>
      <w:r w:rsidRPr="00B33A7B">
        <w:t>located</w:t>
      </w:r>
      <w:r w:rsidRPr="00B33A7B">
        <w:rPr>
          <w:spacing w:val="-3"/>
        </w:rPr>
        <w:t xml:space="preserve"> </w:t>
      </w:r>
      <w:r w:rsidRPr="00B33A7B">
        <w:t>in</w:t>
      </w:r>
      <w:r w:rsidRPr="00B33A7B">
        <w:rPr>
          <w:spacing w:val="-2"/>
        </w:rPr>
        <w:t xml:space="preserve"> </w:t>
      </w:r>
      <w:r w:rsidRPr="00B33A7B">
        <w:t>“Indian</w:t>
      </w:r>
      <w:r w:rsidRPr="00B33A7B">
        <w:rPr>
          <w:spacing w:val="-1"/>
        </w:rPr>
        <w:t xml:space="preserve"> </w:t>
      </w:r>
      <w:r w:rsidR="002B5B5D">
        <w:t>C</w:t>
      </w:r>
      <w:r w:rsidR="002B5B5D" w:rsidRPr="00B33A7B">
        <w:t>ountry</w:t>
      </w:r>
      <w:r w:rsidRPr="00B33A7B">
        <w:t>”</w:t>
      </w:r>
      <w:r w:rsidRPr="00B33A7B">
        <w:rPr>
          <w:spacing w:val="-3"/>
        </w:rPr>
        <w:t xml:space="preserve"> </w:t>
      </w:r>
      <w:r w:rsidRPr="00B33A7B">
        <w:t>as</w:t>
      </w:r>
      <w:r w:rsidRPr="00B33A7B">
        <w:rPr>
          <w:spacing w:val="-4"/>
        </w:rPr>
        <w:t xml:space="preserve"> </w:t>
      </w:r>
      <w:r w:rsidRPr="00B33A7B">
        <w:t>defined</w:t>
      </w:r>
      <w:r w:rsidRPr="00B33A7B">
        <w:rPr>
          <w:spacing w:val="-3"/>
        </w:rPr>
        <w:t xml:space="preserve"> </w:t>
      </w:r>
      <w:r w:rsidRPr="00B33A7B">
        <w:t>by</w:t>
      </w:r>
      <w:r w:rsidRPr="00B33A7B">
        <w:rPr>
          <w:spacing w:val="-3"/>
        </w:rPr>
        <w:t xml:space="preserve"> </w:t>
      </w:r>
      <w:r w:rsidRPr="00B33A7B">
        <w:t>18</w:t>
      </w:r>
      <w:r w:rsidRPr="00B33A7B">
        <w:rPr>
          <w:spacing w:val="-1"/>
        </w:rPr>
        <w:t xml:space="preserve"> </w:t>
      </w:r>
      <w:r w:rsidRPr="00B33A7B">
        <w:t>U.S.</w:t>
      </w:r>
      <w:r w:rsidRPr="00B33A7B">
        <w:rPr>
          <w:spacing w:val="-2"/>
        </w:rPr>
        <w:t xml:space="preserve"> </w:t>
      </w:r>
      <w:r w:rsidRPr="00B33A7B">
        <w:t>Code</w:t>
      </w:r>
      <w:r w:rsidRPr="00B33A7B">
        <w:rPr>
          <w:spacing w:val="-1"/>
        </w:rPr>
        <w:t xml:space="preserve"> </w:t>
      </w:r>
      <w:r w:rsidRPr="00B33A7B">
        <w:t>(USC)</w:t>
      </w:r>
      <w:r w:rsidRPr="00B33A7B">
        <w:rPr>
          <w:spacing w:val="-4"/>
        </w:rPr>
        <w:t xml:space="preserve"> </w:t>
      </w:r>
      <w:r w:rsidRPr="00B33A7B">
        <w:t>1151.</w:t>
      </w:r>
    </w:p>
    <w:p w14:paraId="15BA595F" w14:textId="77777777" w:rsidR="004C74F7" w:rsidRPr="00B33A7B" w:rsidRDefault="004C74F7" w:rsidP="00A941D0">
      <w:pPr>
        <w:pStyle w:val="ListParagraph"/>
      </w:pPr>
    </w:p>
    <w:p w14:paraId="4C04EBDA" w14:textId="746E6D64" w:rsidR="004C74F7" w:rsidRPr="00B33A7B" w:rsidRDefault="48E5F88B" w:rsidP="00993D09">
      <w:pPr>
        <w:pStyle w:val="ListParagraph"/>
        <w:widowControl w:val="0"/>
        <w:numPr>
          <w:ilvl w:val="0"/>
          <w:numId w:val="2"/>
        </w:numPr>
        <w:autoSpaceDE w:val="0"/>
        <w:autoSpaceDN w:val="0"/>
      </w:pPr>
      <w:r w:rsidRPr="00B33A7B">
        <w:t>“</w:t>
      </w:r>
      <w:r w:rsidR="0A94174B" w:rsidRPr="00B33A7B">
        <w:t>Intellectual/Developmental Disability</w:t>
      </w:r>
      <w:r w:rsidRPr="00B33A7B">
        <w:t>”</w:t>
      </w:r>
      <w:r w:rsidR="0A94174B" w:rsidRPr="00B33A7B">
        <w:t xml:space="preserve"> </w:t>
      </w:r>
      <w:r w:rsidR="4AC5B023" w:rsidRPr="00B33A7B">
        <w:t xml:space="preserve">means </w:t>
      </w:r>
      <w:r w:rsidR="0A94174B" w:rsidRPr="00B33A7B">
        <w:t xml:space="preserve">a Disability that is covered under the federal Developmental Disabilities Assistance and Bill of Rights Act of 2000 (42 USC Sections 15001 and 15002(8) and implementing regulations at 45 CFR </w:t>
      </w:r>
      <w:r w:rsidR="0B33FE3D" w:rsidRPr="00B33A7B">
        <w:t>S</w:t>
      </w:r>
      <w:r w:rsidR="0A94174B" w:rsidRPr="00B33A7B">
        <w:t>ection 1325.3) or WIC 4512(a), and disabilities that make a person eligible for services from the California Regional Center System. It includes a severe, chronic Disability that:</w:t>
      </w:r>
    </w:p>
    <w:p w14:paraId="73D8F7D0" w14:textId="77777777" w:rsidR="004C74F7" w:rsidRPr="00B33A7B" w:rsidRDefault="004C74F7" w:rsidP="004C74F7">
      <w:pPr>
        <w:pStyle w:val="ListParagraph"/>
        <w:tabs>
          <w:tab w:val="left" w:pos="810"/>
        </w:tabs>
        <w:ind w:left="650" w:right="698"/>
        <w:rPr>
          <w:color w:val="FF0000"/>
        </w:rPr>
      </w:pPr>
    </w:p>
    <w:p w14:paraId="65A7DCCC" w14:textId="77777777" w:rsidR="004C74F7" w:rsidRPr="00B33A7B" w:rsidRDefault="004C74F7" w:rsidP="00993D09">
      <w:pPr>
        <w:pStyle w:val="ListParagraph"/>
        <w:numPr>
          <w:ilvl w:val="0"/>
          <w:numId w:val="62"/>
        </w:numPr>
        <w:ind w:right="360" w:hanging="720"/>
        <w:rPr>
          <w:rFonts w:cs="Arial"/>
        </w:rPr>
      </w:pPr>
      <w:r w:rsidRPr="00B33A7B">
        <w:rPr>
          <w:rFonts w:cs="Arial"/>
        </w:rPr>
        <w:t xml:space="preserve">is attributable to a mental or physical impairment or combination of mental and physical </w:t>
      </w:r>
      <w:proofErr w:type="gramStart"/>
      <w:r w:rsidRPr="00B33A7B">
        <w:rPr>
          <w:rFonts w:cs="Arial"/>
        </w:rPr>
        <w:t>impairments;</w:t>
      </w:r>
      <w:proofErr w:type="gramEnd"/>
    </w:p>
    <w:p w14:paraId="73CE7039" w14:textId="77777777" w:rsidR="004C74F7" w:rsidRPr="00B33A7B" w:rsidRDefault="004C74F7" w:rsidP="001E3C5E">
      <w:pPr>
        <w:pStyle w:val="ListParagraph"/>
        <w:ind w:left="1440" w:right="360"/>
        <w:rPr>
          <w:rFonts w:cs="Arial"/>
        </w:rPr>
      </w:pPr>
    </w:p>
    <w:p w14:paraId="51B42D0C" w14:textId="77777777" w:rsidR="004C74F7" w:rsidRPr="00B33A7B" w:rsidRDefault="004C74F7" w:rsidP="00993D09">
      <w:pPr>
        <w:pStyle w:val="ListParagraph"/>
        <w:numPr>
          <w:ilvl w:val="0"/>
          <w:numId w:val="62"/>
        </w:numPr>
        <w:ind w:right="360" w:hanging="720"/>
        <w:rPr>
          <w:rFonts w:cs="Arial"/>
        </w:rPr>
      </w:pPr>
      <w:r w:rsidRPr="00B33A7B">
        <w:rPr>
          <w:rFonts w:cs="Arial"/>
        </w:rPr>
        <w:lastRenderedPageBreak/>
        <w:t>manifests before the age of twenty-two (22</w:t>
      </w:r>
      <w:proofErr w:type="gramStart"/>
      <w:r w:rsidRPr="00B33A7B">
        <w:rPr>
          <w:rFonts w:cs="Arial"/>
        </w:rPr>
        <w:t>);</w:t>
      </w:r>
      <w:proofErr w:type="gramEnd"/>
    </w:p>
    <w:p w14:paraId="08310665" w14:textId="77777777" w:rsidR="004C74F7" w:rsidRPr="00B33A7B" w:rsidRDefault="004C74F7" w:rsidP="001E3C5E">
      <w:pPr>
        <w:pStyle w:val="ListParagraph"/>
        <w:ind w:left="1440" w:right="360"/>
        <w:rPr>
          <w:rFonts w:cs="Arial"/>
        </w:rPr>
      </w:pPr>
    </w:p>
    <w:p w14:paraId="5BCF0CC8" w14:textId="77777777" w:rsidR="004C74F7" w:rsidRPr="00B33A7B" w:rsidRDefault="004C74F7" w:rsidP="00993D09">
      <w:pPr>
        <w:pStyle w:val="ListParagraph"/>
        <w:numPr>
          <w:ilvl w:val="0"/>
          <w:numId w:val="62"/>
        </w:numPr>
        <w:ind w:right="360" w:hanging="720"/>
        <w:rPr>
          <w:rFonts w:cs="Arial"/>
        </w:rPr>
      </w:pPr>
      <w:r w:rsidRPr="00B33A7B">
        <w:rPr>
          <w:rFonts w:cs="Arial"/>
        </w:rPr>
        <w:t xml:space="preserve">is likely to continue </w:t>
      </w:r>
      <w:proofErr w:type="gramStart"/>
      <w:r w:rsidRPr="00B33A7B">
        <w:rPr>
          <w:rFonts w:cs="Arial"/>
        </w:rPr>
        <w:t>indefinitely;</w:t>
      </w:r>
      <w:proofErr w:type="gramEnd"/>
    </w:p>
    <w:p w14:paraId="312A486C" w14:textId="77777777" w:rsidR="004C74F7" w:rsidRPr="00B33A7B" w:rsidRDefault="004C74F7" w:rsidP="001E3C5E">
      <w:pPr>
        <w:pStyle w:val="ListParagraph"/>
        <w:ind w:left="1440" w:right="360"/>
        <w:rPr>
          <w:rFonts w:cs="Arial"/>
        </w:rPr>
      </w:pPr>
    </w:p>
    <w:p w14:paraId="4B32EFC2" w14:textId="54158A65" w:rsidR="004C74F7" w:rsidRPr="00B33A7B" w:rsidRDefault="004C74F7" w:rsidP="000B69EE">
      <w:pPr>
        <w:pStyle w:val="ListParagraph"/>
        <w:numPr>
          <w:ilvl w:val="0"/>
          <w:numId w:val="62"/>
        </w:numPr>
        <w:ind w:right="360" w:hanging="720"/>
        <w:rPr>
          <w:rFonts w:cs="Arial"/>
        </w:rPr>
      </w:pPr>
      <w:r w:rsidRPr="00B33A7B">
        <w:rPr>
          <w:rFonts w:cs="Arial"/>
        </w:rPr>
        <w:t xml:space="preserve">results in substantial functional limitations in </w:t>
      </w:r>
      <w:r w:rsidR="00EA176F" w:rsidRPr="00B33A7B">
        <w:rPr>
          <w:rFonts w:cs="Arial"/>
        </w:rPr>
        <w:t>three</w:t>
      </w:r>
      <w:r w:rsidRPr="00B33A7B">
        <w:rPr>
          <w:rFonts w:cs="Arial"/>
        </w:rPr>
        <w:t xml:space="preserve"> or more of the following areas of </w:t>
      </w:r>
      <w:r w:rsidR="001D6F39" w:rsidRPr="00B33A7B">
        <w:rPr>
          <w:rFonts w:cs="Arial"/>
        </w:rPr>
        <w:t>M</w:t>
      </w:r>
      <w:r w:rsidRPr="00B33A7B">
        <w:rPr>
          <w:rFonts w:cs="Arial"/>
        </w:rPr>
        <w:t xml:space="preserve">ajor </w:t>
      </w:r>
      <w:r w:rsidR="001D6F39" w:rsidRPr="00B33A7B">
        <w:rPr>
          <w:rFonts w:cs="Arial"/>
        </w:rPr>
        <w:t>L</w:t>
      </w:r>
      <w:r w:rsidRPr="00B33A7B">
        <w:rPr>
          <w:rFonts w:cs="Arial"/>
        </w:rPr>
        <w:t xml:space="preserve">ife </w:t>
      </w:r>
      <w:r w:rsidR="001D6F39" w:rsidRPr="00B33A7B">
        <w:rPr>
          <w:rFonts w:cs="Arial"/>
        </w:rPr>
        <w:t>A</w:t>
      </w:r>
      <w:r w:rsidRPr="00B33A7B">
        <w:rPr>
          <w:rFonts w:cs="Arial"/>
        </w:rPr>
        <w:t>ctivity:</w:t>
      </w:r>
    </w:p>
    <w:p w14:paraId="156B5A1C" w14:textId="77777777" w:rsidR="000B69EE" w:rsidRPr="00B33A7B" w:rsidRDefault="004C74F7" w:rsidP="000B69EE">
      <w:pPr>
        <w:pStyle w:val="ListParagraph"/>
        <w:numPr>
          <w:ilvl w:val="0"/>
          <w:numId w:val="63"/>
        </w:numPr>
        <w:ind w:left="1800" w:right="90"/>
        <w:rPr>
          <w:rFonts w:cs="Arial"/>
        </w:rPr>
      </w:pPr>
      <w:r w:rsidRPr="00B33A7B">
        <w:rPr>
          <w:rFonts w:cs="Arial"/>
        </w:rPr>
        <w:t>self-care,</w:t>
      </w:r>
    </w:p>
    <w:p w14:paraId="4C94DD97" w14:textId="77777777" w:rsidR="000B69EE" w:rsidRPr="00B33A7B" w:rsidRDefault="004C74F7" w:rsidP="000B69EE">
      <w:pPr>
        <w:pStyle w:val="ListParagraph"/>
        <w:numPr>
          <w:ilvl w:val="0"/>
          <w:numId w:val="63"/>
        </w:numPr>
        <w:ind w:left="1800" w:right="90"/>
        <w:rPr>
          <w:rFonts w:cs="Arial"/>
        </w:rPr>
      </w:pPr>
      <w:r w:rsidRPr="00B33A7B">
        <w:rPr>
          <w:rFonts w:cs="Arial"/>
        </w:rPr>
        <w:t>receptive and expressive language,</w:t>
      </w:r>
    </w:p>
    <w:p w14:paraId="77A42F55" w14:textId="77777777" w:rsidR="000B69EE" w:rsidRPr="00B33A7B" w:rsidRDefault="004C74F7" w:rsidP="000B69EE">
      <w:pPr>
        <w:pStyle w:val="ListParagraph"/>
        <w:numPr>
          <w:ilvl w:val="0"/>
          <w:numId w:val="63"/>
        </w:numPr>
        <w:ind w:left="1800" w:right="90"/>
        <w:rPr>
          <w:rFonts w:cs="Arial"/>
        </w:rPr>
      </w:pPr>
      <w:r w:rsidRPr="00B33A7B">
        <w:rPr>
          <w:rFonts w:cs="Arial"/>
        </w:rPr>
        <w:t>learning,</w:t>
      </w:r>
    </w:p>
    <w:p w14:paraId="04E9D53A" w14:textId="77777777" w:rsidR="000B69EE" w:rsidRPr="00B33A7B" w:rsidRDefault="004C74F7" w:rsidP="000B69EE">
      <w:pPr>
        <w:pStyle w:val="ListParagraph"/>
        <w:numPr>
          <w:ilvl w:val="0"/>
          <w:numId w:val="63"/>
        </w:numPr>
        <w:ind w:left="1800" w:right="90"/>
        <w:rPr>
          <w:rFonts w:cs="Arial"/>
        </w:rPr>
      </w:pPr>
      <w:r w:rsidRPr="00B33A7B">
        <w:rPr>
          <w:rFonts w:cs="Arial"/>
        </w:rPr>
        <w:t>mobility,</w:t>
      </w:r>
    </w:p>
    <w:p w14:paraId="0C370FCB" w14:textId="77777777" w:rsidR="000B69EE" w:rsidRPr="00B33A7B" w:rsidRDefault="004C74F7" w:rsidP="000B69EE">
      <w:pPr>
        <w:pStyle w:val="ListParagraph"/>
        <w:numPr>
          <w:ilvl w:val="0"/>
          <w:numId w:val="63"/>
        </w:numPr>
        <w:ind w:left="1800" w:right="90"/>
        <w:rPr>
          <w:rFonts w:cs="Arial"/>
        </w:rPr>
      </w:pPr>
      <w:r w:rsidRPr="00B33A7B">
        <w:rPr>
          <w:rFonts w:cs="Arial"/>
        </w:rPr>
        <w:t>self-direction,</w:t>
      </w:r>
    </w:p>
    <w:p w14:paraId="36097A72" w14:textId="77777777" w:rsidR="000B69EE" w:rsidRPr="00B33A7B" w:rsidRDefault="004C74F7" w:rsidP="000B69EE">
      <w:pPr>
        <w:pStyle w:val="ListParagraph"/>
        <w:numPr>
          <w:ilvl w:val="0"/>
          <w:numId w:val="63"/>
        </w:numPr>
        <w:ind w:left="1800" w:right="90"/>
        <w:rPr>
          <w:rFonts w:cs="Arial"/>
        </w:rPr>
      </w:pPr>
      <w:r w:rsidRPr="00B33A7B">
        <w:rPr>
          <w:rFonts w:cs="Arial"/>
        </w:rPr>
        <w:t xml:space="preserve">capacity for independent living, or </w:t>
      </w:r>
    </w:p>
    <w:p w14:paraId="2C904BA8" w14:textId="1E0B6409" w:rsidR="004C74F7" w:rsidRPr="00B33A7B" w:rsidRDefault="004C74F7" w:rsidP="000B69EE">
      <w:pPr>
        <w:pStyle w:val="ListParagraph"/>
        <w:numPr>
          <w:ilvl w:val="0"/>
          <w:numId w:val="63"/>
        </w:numPr>
        <w:ind w:left="1800" w:right="90"/>
        <w:rPr>
          <w:rFonts w:cs="Arial"/>
        </w:rPr>
      </w:pPr>
      <w:r w:rsidRPr="00B33A7B">
        <w:rPr>
          <w:rFonts w:cs="Arial"/>
        </w:rPr>
        <w:t>economic self-sufficiency; and</w:t>
      </w:r>
    </w:p>
    <w:p w14:paraId="36B33589" w14:textId="77777777" w:rsidR="004C74F7" w:rsidRPr="00B33A7B" w:rsidRDefault="004C74F7" w:rsidP="004C74F7">
      <w:pPr>
        <w:pStyle w:val="ListParagraph"/>
        <w:ind w:left="1082" w:hanging="810"/>
        <w:rPr>
          <w:color w:val="FF0000"/>
        </w:rPr>
      </w:pPr>
    </w:p>
    <w:p w14:paraId="1419A9E1" w14:textId="77777777" w:rsidR="004C74F7" w:rsidRPr="00B33A7B" w:rsidRDefault="004C74F7" w:rsidP="00993D09">
      <w:pPr>
        <w:pStyle w:val="ListParagraph"/>
        <w:numPr>
          <w:ilvl w:val="0"/>
          <w:numId w:val="62"/>
        </w:numPr>
        <w:ind w:right="360" w:hanging="720"/>
        <w:rPr>
          <w:rFonts w:cs="Arial"/>
        </w:rPr>
      </w:pPr>
      <w:r w:rsidRPr="00B33A7B">
        <w:rPr>
          <w:rFonts w:cs="Arial"/>
        </w:rPr>
        <w:t>reflects the individual’s need for a combination and sequence of special, interdisciplinary, or generic services, individualized supports, or other forms of assistance that are of lifelong or extended duration and are individually planned and coordinated.</w:t>
      </w:r>
    </w:p>
    <w:p w14:paraId="3796DFCD" w14:textId="77777777" w:rsidR="004C74F7" w:rsidRPr="00B33A7B" w:rsidRDefault="004C74F7" w:rsidP="004C74F7">
      <w:pPr>
        <w:pStyle w:val="ListParagraph"/>
        <w:ind w:left="1082" w:hanging="810"/>
        <w:rPr>
          <w:color w:val="FF0000"/>
        </w:rPr>
      </w:pPr>
    </w:p>
    <w:p w14:paraId="5835AC50" w14:textId="790B5419" w:rsidR="004C74F7" w:rsidRPr="00B33A7B" w:rsidRDefault="004C74F7" w:rsidP="009070F8">
      <w:pPr>
        <w:widowControl w:val="0"/>
        <w:autoSpaceDE w:val="0"/>
        <w:autoSpaceDN w:val="0"/>
        <w:ind w:left="720"/>
      </w:pPr>
      <w:r w:rsidRPr="00B33A7B">
        <w:t>The definition includes Intellectual Disabilities, cerebral palsy, epilepsy, and autism spectrum disorder. It also includes conditions that are closely related to Intellectual Disability or that require similar treatment (WIC Section 4512(a)).</w:t>
      </w:r>
    </w:p>
    <w:p w14:paraId="42A6313A" w14:textId="77777777" w:rsidR="001E3C5E" w:rsidRPr="00B33A7B" w:rsidRDefault="001E3C5E" w:rsidP="004C74F7">
      <w:pPr>
        <w:pStyle w:val="BodyText"/>
        <w:ind w:right="378"/>
      </w:pPr>
    </w:p>
    <w:p w14:paraId="44A1FED7" w14:textId="634659AB" w:rsidR="004C74F7" w:rsidRPr="00B33A7B" w:rsidRDefault="5A7602C5" w:rsidP="00993D09">
      <w:pPr>
        <w:pStyle w:val="ListParagraph"/>
        <w:widowControl w:val="0"/>
        <w:numPr>
          <w:ilvl w:val="0"/>
          <w:numId w:val="2"/>
        </w:numPr>
        <w:autoSpaceDE w:val="0"/>
        <w:autoSpaceDN w:val="0"/>
      </w:pPr>
      <w:r w:rsidRPr="00B33A7B">
        <w:t>“</w:t>
      </w:r>
      <w:r w:rsidR="0A94174B" w:rsidRPr="00B33A7B">
        <w:t>Intellectual Disability</w:t>
      </w:r>
      <w:r w:rsidRPr="00B33A7B">
        <w:t>”</w:t>
      </w:r>
      <w:r w:rsidR="0A94174B" w:rsidRPr="00B33A7B">
        <w:t xml:space="preserve"> </w:t>
      </w:r>
      <w:r w:rsidR="4AC5B023" w:rsidRPr="00B33A7B">
        <w:t xml:space="preserve">means </w:t>
      </w:r>
      <w:r w:rsidR="0A94174B" w:rsidRPr="00B33A7B">
        <w:t xml:space="preserve">a condition characterized by either significant limitations in intellectual functioning (reasoning, learning, problem-solving) or adaptive behavior (everyday social and practical skills). </w:t>
      </w:r>
    </w:p>
    <w:p w14:paraId="0C067230" w14:textId="77777777" w:rsidR="00AF2770" w:rsidRPr="00B33A7B" w:rsidRDefault="00AF2770" w:rsidP="00AF2770">
      <w:pPr>
        <w:pStyle w:val="ListParagraph"/>
        <w:widowControl w:val="0"/>
        <w:autoSpaceDE w:val="0"/>
        <w:autoSpaceDN w:val="0"/>
      </w:pPr>
    </w:p>
    <w:p w14:paraId="46F7AB30" w14:textId="716ACC80" w:rsidR="00E5120E" w:rsidRPr="00B33A7B" w:rsidRDefault="0B7EDAC6" w:rsidP="00993D09">
      <w:pPr>
        <w:pStyle w:val="ListParagraph"/>
        <w:widowControl w:val="0"/>
        <w:numPr>
          <w:ilvl w:val="0"/>
          <w:numId w:val="2"/>
        </w:numPr>
        <w:autoSpaceDE w:val="0"/>
        <w:autoSpaceDN w:val="0"/>
      </w:pPr>
      <w:r w:rsidRPr="00B33A7B">
        <w:t xml:space="preserve">“Joint Venture” means </w:t>
      </w:r>
      <w:r w:rsidR="6A6AED0B" w:rsidRPr="00B33A7B">
        <w:t>an association of two or more persons, or entities who combine their</w:t>
      </w:r>
      <w:r w:rsidR="6A6AED0B" w:rsidRPr="00B33A7B">
        <w:rPr>
          <w:spacing w:val="1"/>
        </w:rPr>
        <w:t xml:space="preserve"> </w:t>
      </w:r>
      <w:r w:rsidR="6A6AED0B" w:rsidRPr="00B33A7B">
        <w:t xml:space="preserve">property, skill, or knowledge to carry out a single business enterprise for profit. </w:t>
      </w:r>
      <w:r w:rsidR="3CBE8DA1" w:rsidRPr="00B33A7B">
        <w:t>Where the</w:t>
      </w:r>
      <w:r w:rsidR="6A6AED0B" w:rsidRPr="00B33A7B">
        <w:t xml:space="preserve"> Sponsor </w:t>
      </w:r>
      <w:r w:rsidR="3CBE8DA1" w:rsidRPr="00B33A7B">
        <w:t xml:space="preserve">of a Qualifying Infill Project is </w:t>
      </w:r>
      <w:r w:rsidR="6A6AED0B" w:rsidRPr="00B33A7B">
        <w:t>formed</w:t>
      </w:r>
      <w:r w:rsidR="6A6AED0B" w:rsidRPr="00B33A7B">
        <w:rPr>
          <w:spacing w:val="-64"/>
        </w:rPr>
        <w:t xml:space="preserve">    </w:t>
      </w:r>
      <w:r w:rsidR="6A6AED0B" w:rsidRPr="00B33A7B">
        <w:t xml:space="preserve"> as a Joint Venture in accordance with </w:t>
      </w:r>
      <w:r w:rsidR="552DC237" w:rsidRPr="00B33A7B">
        <w:t xml:space="preserve">MHP </w:t>
      </w:r>
      <w:r w:rsidR="0BE712FC" w:rsidRPr="00B33A7B">
        <w:t>G</w:t>
      </w:r>
      <w:r w:rsidR="552DC237" w:rsidRPr="00B33A7B">
        <w:t xml:space="preserve">uidelines </w:t>
      </w:r>
      <w:r w:rsidR="6A6AED0B" w:rsidRPr="00B33A7B">
        <w:t>Section 7303(a)</w:t>
      </w:r>
      <w:r w:rsidR="309637FC" w:rsidRPr="00B33A7B">
        <w:t>, that Sponsor is subject to and</w:t>
      </w:r>
      <w:r w:rsidR="6A6AED0B" w:rsidRPr="00B33A7B">
        <w:t xml:space="preserve"> shall comply with the requirements of</w:t>
      </w:r>
      <w:r w:rsidR="6A6AED0B" w:rsidRPr="00B33A7B">
        <w:rPr>
          <w:spacing w:val="1"/>
        </w:rPr>
        <w:t xml:space="preserve"> </w:t>
      </w:r>
      <w:r w:rsidR="761EC7B4" w:rsidRPr="00B33A7B">
        <w:rPr>
          <w:spacing w:val="1"/>
        </w:rPr>
        <w:t xml:space="preserve">MHP </w:t>
      </w:r>
      <w:r w:rsidR="0BE712FC" w:rsidRPr="00B33A7B">
        <w:rPr>
          <w:spacing w:val="1"/>
        </w:rPr>
        <w:t>G</w:t>
      </w:r>
      <w:r w:rsidR="761EC7B4" w:rsidRPr="00B33A7B">
        <w:rPr>
          <w:spacing w:val="1"/>
        </w:rPr>
        <w:t>uidelines</w:t>
      </w:r>
      <w:r w:rsidR="6A6AED0B" w:rsidRPr="00B33A7B">
        <w:t>. The borrowing entity Limited Partnership is not a Joint Venture within the meaning of</w:t>
      </w:r>
      <w:r w:rsidR="6A6AED0B" w:rsidRPr="00B33A7B">
        <w:rPr>
          <w:spacing w:val="1"/>
        </w:rPr>
        <w:t xml:space="preserve"> </w:t>
      </w:r>
      <w:r w:rsidR="6A6AED0B" w:rsidRPr="00B33A7B">
        <w:t>Section</w:t>
      </w:r>
      <w:r w:rsidR="6A6AED0B" w:rsidRPr="00B33A7B">
        <w:rPr>
          <w:spacing w:val="-2"/>
        </w:rPr>
        <w:t xml:space="preserve"> </w:t>
      </w:r>
      <w:r w:rsidR="6A6AED0B" w:rsidRPr="00B33A7B">
        <w:t>7303(a).</w:t>
      </w:r>
    </w:p>
    <w:p w14:paraId="36586152" w14:textId="77777777" w:rsidR="00883F7E" w:rsidRPr="00B33A7B" w:rsidRDefault="00883F7E" w:rsidP="00883F7E">
      <w:pPr>
        <w:widowControl w:val="0"/>
        <w:autoSpaceDE w:val="0"/>
        <w:autoSpaceDN w:val="0"/>
      </w:pPr>
    </w:p>
    <w:p w14:paraId="7CCA00CA" w14:textId="59D14355" w:rsidR="0016753A" w:rsidRPr="00B33A7B" w:rsidRDefault="1730FCE7" w:rsidP="00993D09">
      <w:pPr>
        <w:pStyle w:val="ListParagraph"/>
        <w:numPr>
          <w:ilvl w:val="0"/>
          <w:numId w:val="2"/>
        </w:numPr>
        <w:ind w:right="90"/>
        <w:rPr>
          <w:rFonts w:cs="Arial"/>
          <w:color w:val="000000" w:themeColor="text1"/>
          <w:shd w:val="clear" w:color="auto" w:fill="FFFFFF"/>
        </w:rPr>
      </w:pPr>
      <w:r w:rsidRPr="00B33A7B">
        <w:rPr>
          <w:rFonts w:cs="Arial"/>
          <w:color w:val="000000" w:themeColor="text1"/>
          <w:shd w:val="clear" w:color="auto" w:fill="FFFFFF"/>
        </w:rPr>
        <w:t xml:space="preserve">“Large </w:t>
      </w:r>
      <w:r w:rsidR="0932E138" w:rsidRPr="00B33A7B">
        <w:rPr>
          <w:rFonts w:cs="Arial"/>
          <w:color w:val="000000" w:themeColor="text1"/>
          <w:shd w:val="clear" w:color="auto" w:fill="FFFFFF"/>
        </w:rPr>
        <w:t>J</w:t>
      </w:r>
      <w:r w:rsidRPr="00B33A7B">
        <w:rPr>
          <w:rFonts w:cs="Arial"/>
          <w:color w:val="000000" w:themeColor="text1"/>
          <w:shd w:val="clear" w:color="auto" w:fill="FFFFFF"/>
        </w:rPr>
        <w:t xml:space="preserve">urisdiction” </w:t>
      </w:r>
      <w:r w:rsidR="0932E138" w:rsidRPr="00B33A7B">
        <w:rPr>
          <w:rFonts w:cs="Arial"/>
          <w:color w:val="000000" w:themeColor="text1"/>
          <w:shd w:val="clear" w:color="auto" w:fill="FFFFFF"/>
        </w:rPr>
        <w:t xml:space="preserve">means a county that is not a </w:t>
      </w:r>
      <w:r w:rsidR="0AEBFD9D" w:rsidRPr="00B33A7B">
        <w:rPr>
          <w:rFonts w:cs="Arial"/>
          <w:color w:val="000000" w:themeColor="text1"/>
          <w:shd w:val="clear" w:color="auto" w:fill="FFFFFF"/>
        </w:rPr>
        <w:t>S</w:t>
      </w:r>
      <w:r w:rsidR="0932E138" w:rsidRPr="00B33A7B">
        <w:rPr>
          <w:rFonts w:cs="Arial"/>
          <w:color w:val="000000" w:themeColor="text1"/>
          <w:shd w:val="clear" w:color="auto" w:fill="FFFFFF"/>
        </w:rPr>
        <w:t xml:space="preserve">mall </w:t>
      </w:r>
      <w:r w:rsidR="0AEBFD9D" w:rsidRPr="00B33A7B">
        <w:rPr>
          <w:rFonts w:cs="Arial"/>
          <w:color w:val="000000" w:themeColor="text1"/>
          <w:shd w:val="clear" w:color="auto" w:fill="FFFFFF"/>
        </w:rPr>
        <w:t>J</w:t>
      </w:r>
      <w:r w:rsidR="0932E138" w:rsidRPr="00B33A7B">
        <w:rPr>
          <w:rFonts w:cs="Arial"/>
          <w:color w:val="000000" w:themeColor="text1"/>
          <w:shd w:val="clear" w:color="auto" w:fill="FFFFFF"/>
        </w:rPr>
        <w:t>urisdiction, or any city within that county.</w:t>
      </w:r>
    </w:p>
    <w:p w14:paraId="70DE7F80" w14:textId="4ADFA955" w:rsidR="009037C5" w:rsidRPr="00B33A7B" w:rsidRDefault="009037C5" w:rsidP="00BA351E">
      <w:pPr>
        <w:ind w:right="90"/>
        <w:rPr>
          <w:rFonts w:cs="Arial"/>
          <w:color w:val="000000" w:themeColor="text1"/>
          <w:shd w:val="clear" w:color="auto" w:fill="FFFFFF"/>
        </w:rPr>
      </w:pPr>
    </w:p>
    <w:p w14:paraId="45921D4F" w14:textId="35024596" w:rsidR="009037C5" w:rsidRPr="00B33A7B" w:rsidRDefault="72F46A83" w:rsidP="00993D09">
      <w:pPr>
        <w:pStyle w:val="ListParagraph"/>
        <w:numPr>
          <w:ilvl w:val="0"/>
          <w:numId w:val="2"/>
        </w:numPr>
        <w:ind w:right="90"/>
        <w:rPr>
          <w:rFonts w:cs="Arial"/>
          <w:color w:val="000000" w:themeColor="text1"/>
          <w:shd w:val="clear" w:color="auto" w:fill="FFFFFF"/>
        </w:rPr>
      </w:pPr>
      <w:r w:rsidRPr="00B33A7B">
        <w:t xml:space="preserve">"Local Public Entity” </w:t>
      </w:r>
      <w:r w:rsidR="783619A1" w:rsidRPr="00B33A7B">
        <w:t xml:space="preserve">or “Locality” </w:t>
      </w:r>
      <w:r w:rsidRPr="00B33A7B">
        <w:t xml:space="preserve">means </w:t>
      </w:r>
      <w:r w:rsidR="2C6EFFBE" w:rsidRPr="00B33A7B">
        <w:t xml:space="preserve">any county, city, city and county, Tribal Entity, a community redevelopment </w:t>
      </w:r>
      <w:r w:rsidR="2C6EFFBE" w:rsidRPr="00B33A7B" w:rsidDel="006D3EF5">
        <w:t>agency</w:t>
      </w:r>
      <w:r w:rsidR="006D3EF5" w:rsidRPr="00B33A7B">
        <w:t>,</w:t>
      </w:r>
      <w:r w:rsidR="2C6EFFBE" w:rsidRPr="00B33A7B">
        <w:t xml:space="preserve"> or successor agency organized pursuant to Part 1 (commencing with Section 33000) of Division 24, or housing authority organized pursuant to Part 2 (commencing with Section 34200) of Division 24, and any instrumentality thereof, which is authorized to engage in or assist in the development or operation of housing for persons and families of Low</w:t>
      </w:r>
      <w:r w:rsidR="2F773565" w:rsidRPr="00B33A7B">
        <w:t xml:space="preserve"> </w:t>
      </w:r>
      <w:r w:rsidR="2C6EFFBE" w:rsidRPr="00B33A7B">
        <w:t>Income. It also includes two or more local public entities acting jointly</w:t>
      </w:r>
      <w:r w:rsidRPr="00B33A7B">
        <w:t>.</w:t>
      </w:r>
    </w:p>
    <w:p w14:paraId="34CE15E9" w14:textId="77777777" w:rsidR="00912D84" w:rsidRPr="00B33A7B" w:rsidRDefault="00912D84" w:rsidP="00912D84">
      <w:pPr>
        <w:pStyle w:val="ListParagraph"/>
        <w:rPr>
          <w:rFonts w:cs="Arial"/>
          <w:color w:val="000000" w:themeColor="text1"/>
          <w:shd w:val="clear" w:color="auto" w:fill="FFFFFF"/>
        </w:rPr>
      </w:pPr>
    </w:p>
    <w:p w14:paraId="23D0789C" w14:textId="51F7B471" w:rsidR="009037C5" w:rsidRPr="00B33A7B" w:rsidRDefault="0F97D9DF" w:rsidP="00993D09">
      <w:pPr>
        <w:pStyle w:val="ListParagraph"/>
        <w:numPr>
          <w:ilvl w:val="0"/>
          <w:numId w:val="2"/>
        </w:numPr>
        <w:ind w:right="90"/>
        <w:rPr>
          <w:rFonts w:cs="Arial"/>
          <w:color w:val="000000" w:themeColor="text1"/>
          <w:shd w:val="clear" w:color="auto" w:fill="FFFFFF"/>
        </w:rPr>
      </w:pPr>
      <w:r w:rsidRPr="00B33A7B">
        <w:rPr>
          <w:rFonts w:cs="Arial"/>
          <w:color w:val="000000" w:themeColor="text1"/>
          <w:shd w:val="clear" w:color="auto" w:fill="FFFFFF"/>
        </w:rPr>
        <w:lastRenderedPageBreak/>
        <w:t>“Lower</w:t>
      </w:r>
      <w:r w:rsidR="2F773565" w:rsidRPr="00B33A7B">
        <w:rPr>
          <w:rFonts w:cs="Arial"/>
          <w:color w:val="000000" w:themeColor="text1"/>
          <w:shd w:val="clear" w:color="auto" w:fill="FFFFFF"/>
        </w:rPr>
        <w:t xml:space="preserve"> </w:t>
      </w:r>
      <w:r w:rsidRPr="00B33A7B">
        <w:rPr>
          <w:rFonts w:cs="Arial"/>
          <w:color w:val="000000" w:themeColor="text1"/>
          <w:shd w:val="clear" w:color="auto" w:fill="FFFFFF"/>
        </w:rPr>
        <w:t xml:space="preserve">Income” </w:t>
      </w:r>
      <w:r w:rsidR="14EC5843" w:rsidRPr="00B33A7B">
        <w:rPr>
          <w:rFonts w:cs="Arial"/>
          <w:color w:val="000000" w:themeColor="text1"/>
          <w:shd w:val="clear" w:color="auto" w:fill="FFFFFF"/>
        </w:rPr>
        <w:t>or “Low</w:t>
      </w:r>
      <w:r w:rsidR="2F773565" w:rsidRPr="00B33A7B">
        <w:rPr>
          <w:rFonts w:cs="Arial"/>
          <w:color w:val="000000" w:themeColor="text1"/>
          <w:shd w:val="clear" w:color="auto" w:fill="FFFFFF"/>
        </w:rPr>
        <w:t xml:space="preserve"> </w:t>
      </w:r>
      <w:r w:rsidR="14EC5843" w:rsidRPr="00B33A7B">
        <w:rPr>
          <w:rFonts w:cs="Arial"/>
          <w:color w:val="000000" w:themeColor="text1"/>
          <w:shd w:val="clear" w:color="auto" w:fill="FFFFFF"/>
        </w:rPr>
        <w:t xml:space="preserve">Income” </w:t>
      </w:r>
      <w:r w:rsidR="0E99C21C" w:rsidRPr="00B33A7B">
        <w:rPr>
          <w:rFonts w:cs="Arial"/>
          <w:color w:val="000000" w:themeColor="text1"/>
          <w:shd w:val="clear" w:color="auto" w:fill="FFFFFF"/>
        </w:rPr>
        <w:t xml:space="preserve">means </w:t>
      </w:r>
      <w:r w:rsidR="0E99C21C" w:rsidRPr="00B33A7B">
        <w:t xml:space="preserve">households with Gross Incomes not exceeding 80 percent of AMI as set forth in </w:t>
      </w:r>
      <w:r w:rsidR="52FF5916" w:rsidRPr="00B33A7B">
        <w:rPr>
          <w:rFonts w:cs="Arial"/>
        </w:rPr>
        <w:t>HSC</w:t>
      </w:r>
      <w:r w:rsidR="0E99C21C" w:rsidRPr="00B33A7B">
        <w:t xml:space="preserve"> Section 50079.5.</w:t>
      </w:r>
    </w:p>
    <w:p w14:paraId="4BEA8442" w14:textId="77777777" w:rsidR="00AD312C" w:rsidRPr="00B33A7B" w:rsidRDefault="00AD312C" w:rsidP="008F01FA">
      <w:pPr>
        <w:pStyle w:val="ListParagraph"/>
        <w:ind w:right="90"/>
        <w:rPr>
          <w:rFonts w:cs="Arial"/>
          <w:color w:val="000000" w:themeColor="text1"/>
          <w:shd w:val="clear" w:color="auto" w:fill="FFFFFF"/>
        </w:rPr>
      </w:pPr>
    </w:p>
    <w:p w14:paraId="3C97CA47" w14:textId="33346C44" w:rsidR="00864549" w:rsidRPr="00B33A7B" w:rsidRDefault="14B5723E" w:rsidP="00993D09">
      <w:pPr>
        <w:pStyle w:val="ListParagraph"/>
        <w:widowControl w:val="0"/>
        <w:numPr>
          <w:ilvl w:val="0"/>
          <w:numId w:val="2"/>
        </w:numPr>
        <w:tabs>
          <w:tab w:val="left" w:pos="911"/>
          <w:tab w:val="left" w:pos="912"/>
        </w:tabs>
        <w:autoSpaceDE w:val="0"/>
        <w:autoSpaceDN w:val="0"/>
        <w:rPr>
          <w:rFonts w:cs="Arial"/>
        </w:rPr>
      </w:pPr>
      <w:r w:rsidRPr="00B33A7B">
        <w:rPr>
          <w:rFonts w:cs="Arial"/>
        </w:rPr>
        <w:t xml:space="preserve">“Major Transit Stop” means a site containing any of the following: </w:t>
      </w:r>
    </w:p>
    <w:p w14:paraId="2637E088" w14:textId="77777777" w:rsidR="00864549" w:rsidRPr="00B33A7B" w:rsidRDefault="00864549" w:rsidP="00864549">
      <w:pPr>
        <w:pStyle w:val="ListParagraph"/>
        <w:rPr>
          <w:rFonts w:cs="Arial"/>
        </w:rPr>
      </w:pPr>
    </w:p>
    <w:p w14:paraId="476A761B" w14:textId="53F07C96" w:rsidR="00864549" w:rsidRPr="00B33A7B" w:rsidRDefault="00DA0E74" w:rsidP="00795A84">
      <w:pPr>
        <w:pStyle w:val="ListParagraph"/>
        <w:numPr>
          <w:ilvl w:val="0"/>
          <w:numId w:val="64"/>
        </w:numPr>
        <w:ind w:right="360" w:hanging="720"/>
        <w:rPr>
          <w:rFonts w:cs="Arial"/>
        </w:rPr>
      </w:pPr>
      <w:r w:rsidRPr="00B33A7B">
        <w:rPr>
          <w:rFonts w:cs="Arial"/>
        </w:rPr>
        <w:t xml:space="preserve">An existing rail or bus rapid </w:t>
      </w:r>
      <w:r w:rsidR="00A95C72" w:rsidRPr="00B33A7B">
        <w:rPr>
          <w:rFonts w:cs="Arial"/>
        </w:rPr>
        <w:t>T</w:t>
      </w:r>
      <w:r w:rsidRPr="00B33A7B">
        <w:rPr>
          <w:rFonts w:cs="Arial"/>
        </w:rPr>
        <w:t xml:space="preserve">ransit </w:t>
      </w:r>
      <w:r w:rsidR="00A95C72" w:rsidRPr="00B33A7B">
        <w:rPr>
          <w:rFonts w:cs="Arial"/>
        </w:rPr>
        <w:t>S</w:t>
      </w:r>
      <w:r w:rsidRPr="00B33A7B">
        <w:rPr>
          <w:rFonts w:cs="Arial"/>
        </w:rPr>
        <w:t xml:space="preserve">tation. </w:t>
      </w:r>
    </w:p>
    <w:p w14:paraId="5907C002" w14:textId="4EB584D3" w:rsidR="00864549" w:rsidRPr="00B33A7B" w:rsidRDefault="00DA0E74" w:rsidP="00864549">
      <w:pPr>
        <w:pStyle w:val="ListParagraph"/>
        <w:numPr>
          <w:ilvl w:val="0"/>
          <w:numId w:val="64"/>
        </w:numPr>
        <w:ind w:right="360" w:hanging="720"/>
        <w:rPr>
          <w:rFonts w:cs="Arial"/>
        </w:rPr>
      </w:pPr>
      <w:r w:rsidRPr="00B33A7B">
        <w:rPr>
          <w:rFonts w:cs="Arial"/>
        </w:rPr>
        <w:t xml:space="preserve">A ferry terminal served by either a bus or rail transit service. </w:t>
      </w:r>
    </w:p>
    <w:p w14:paraId="01D03B26" w14:textId="7D2A3A96" w:rsidR="00DA0E74" w:rsidRPr="00B33A7B" w:rsidRDefault="00DA0E74" w:rsidP="00993D09">
      <w:pPr>
        <w:pStyle w:val="ListParagraph"/>
        <w:numPr>
          <w:ilvl w:val="0"/>
          <w:numId w:val="64"/>
        </w:numPr>
        <w:ind w:right="360" w:hanging="720"/>
        <w:rPr>
          <w:rFonts w:cs="Arial"/>
        </w:rPr>
      </w:pPr>
      <w:r w:rsidRPr="00B33A7B">
        <w:rPr>
          <w:rFonts w:cs="Arial"/>
        </w:rPr>
        <w:t xml:space="preserve">The intersection of two or more major bus routes with a frequency of service interval of 15 minutes or less during peak hours. Peak hours are limited to the time between 7 a.m. to 10 a.m., inclusive, and 3 p.m. to 7 p.m., inclusive, Monday through Friday, or the alternative peak hours designated for the transportation corridor by the transit agency. This level of service must have been publicly posted by the provider in the </w:t>
      </w:r>
      <w:r w:rsidR="0094760A">
        <w:rPr>
          <w:rFonts w:cs="Arial"/>
        </w:rPr>
        <w:t xml:space="preserve">12 </w:t>
      </w:r>
      <w:r w:rsidRPr="00B33A7B">
        <w:rPr>
          <w:rFonts w:cs="Arial"/>
        </w:rPr>
        <w:t>months preceding the application due date.</w:t>
      </w:r>
    </w:p>
    <w:p w14:paraId="10182177" w14:textId="77777777" w:rsidR="00AD312C" w:rsidRPr="00B33A7B" w:rsidRDefault="00AD312C" w:rsidP="008F01FA">
      <w:pPr>
        <w:pStyle w:val="ListParagraph"/>
        <w:ind w:right="90"/>
        <w:rPr>
          <w:rFonts w:cs="Arial"/>
          <w:color w:val="000000" w:themeColor="text1"/>
          <w:shd w:val="clear" w:color="auto" w:fill="FFFFFF"/>
        </w:rPr>
      </w:pPr>
    </w:p>
    <w:p w14:paraId="2F493336" w14:textId="187E69FA" w:rsidR="00321199" w:rsidRPr="00B33A7B" w:rsidRDefault="5687DA9A" w:rsidP="00993D09">
      <w:pPr>
        <w:pStyle w:val="ListParagraph"/>
        <w:numPr>
          <w:ilvl w:val="0"/>
          <w:numId w:val="2"/>
        </w:numPr>
        <w:ind w:right="90"/>
        <w:rPr>
          <w:rFonts w:cs="Arial"/>
          <w:color w:val="000000" w:themeColor="text1"/>
          <w:shd w:val="clear" w:color="auto" w:fill="FFFFFF"/>
        </w:rPr>
      </w:pPr>
      <w:r w:rsidRPr="00B33A7B">
        <w:rPr>
          <w:rFonts w:cs="Arial"/>
          <w:color w:val="000000" w:themeColor="text1"/>
          <w:shd w:val="clear" w:color="auto" w:fill="FFFFFF"/>
        </w:rPr>
        <w:t>“</w:t>
      </w:r>
      <w:r w:rsidR="44AEB3E7" w:rsidRPr="00B33A7B">
        <w:rPr>
          <w:rFonts w:cs="Arial"/>
          <w:color w:val="000000" w:themeColor="text1"/>
          <w:shd w:val="clear" w:color="auto" w:fill="FFFFFF"/>
        </w:rPr>
        <w:t>M</w:t>
      </w:r>
      <w:r w:rsidR="75AA7188" w:rsidRPr="00B33A7B">
        <w:rPr>
          <w:rFonts w:cs="Arial"/>
          <w:color w:val="000000" w:themeColor="text1"/>
          <w:shd w:val="clear" w:color="auto" w:fill="FFFFFF"/>
        </w:rPr>
        <w:t>oderate</w:t>
      </w:r>
      <w:r w:rsidR="3A8D01EE" w:rsidRPr="00B33A7B">
        <w:rPr>
          <w:rFonts w:cs="Arial"/>
          <w:color w:val="000000" w:themeColor="text1"/>
          <w:shd w:val="clear" w:color="auto" w:fill="FFFFFF"/>
        </w:rPr>
        <w:t xml:space="preserve"> </w:t>
      </w:r>
      <w:r w:rsidR="129922E8" w:rsidRPr="00B33A7B">
        <w:rPr>
          <w:rFonts w:cs="Arial"/>
          <w:color w:val="000000" w:themeColor="text1"/>
          <w:shd w:val="clear" w:color="auto" w:fill="FFFFFF"/>
        </w:rPr>
        <w:t xml:space="preserve">Income” </w:t>
      </w:r>
      <w:r w:rsidR="0A19608B" w:rsidRPr="00B33A7B">
        <w:rPr>
          <w:rFonts w:cs="Arial"/>
          <w:color w:val="000000" w:themeColor="text1"/>
          <w:shd w:val="clear" w:color="auto" w:fill="FFFFFF"/>
        </w:rPr>
        <w:t xml:space="preserve">means households with Gross Income not exceeding </w:t>
      </w:r>
      <w:r w:rsidR="294D82CF" w:rsidRPr="00B33A7B">
        <w:rPr>
          <w:rFonts w:cs="Arial"/>
          <w:color w:val="000000" w:themeColor="text1"/>
          <w:shd w:val="clear" w:color="auto" w:fill="FFFFFF"/>
        </w:rPr>
        <w:t>120</w:t>
      </w:r>
      <w:r w:rsidR="6AB459E4" w:rsidRPr="00B33A7B">
        <w:rPr>
          <w:rFonts w:cs="Arial"/>
          <w:color w:val="000000" w:themeColor="text1"/>
          <w:shd w:val="clear" w:color="auto" w:fill="FFFFFF"/>
        </w:rPr>
        <w:t xml:space="preserve"> percent of AMI as</w:t>
      </w:r>
      <w:r w:rsidR="129922E8" w:rsidRPr="00B33A7B">
        <w:rPr>
          <w:rFonts w:cs="Arial"/>
          <w:color w:val="000000" w:themeColor="text1"/>
          <w:shd w:val="clear" w:color="auto" w:fill="FFFFFF"/>
        </w:rPr>
        <w:t xml:space="preserve"> set forth in </w:t>
      </w:r>
      <w:r w:rsidR="52FF5916" w:rsidRPr="00B33A7B">
        <w:rPr>
          <w:rFonts w:cs="Arial"/>
          <w:color w:val="000000" w:themeColor="text1"/>
          <w:shd w:val="clear" w:color="auto" w:fill="FFFFFF"/>
        </w:rPr>
        <w:t>HSC</w:t>
      </w:r>
      <w:r w:rsidR="129922E8" w:rsidRPr="00B33A7B">
        <w:rPr>
          <w:rFonts w:cs="Arial"/>
          <w:color w:val="000000" w:themeColor="text1"/>
          <w:shd w:val="clear" w:color="auto" w:fill="FFFFFF"/>
        </w:rPr>
        <w:t xml:space="preserve"> </w:t>
      </w:r>
      <w:r w:rsidR="0B33FE3D" w:rsidRPr="00B33A7B">
        <w:rPr>
          <w:rFonts w:cs="Arial"/>
          <w:color w:val="000000" w:themeColor="text1"/>
          <w:shd w:val="clear" w:color="auto" w:fill="FFFFFF"/>
        </w:rPr>
        <w:t xml:space="preserve">Section </w:t>
      </w:r>
      <w:r w:rsidR="129922E8" w:rsidRPr="00B33A7B">
        <w:rPr>
          <w:rFonts w:cs="Arial"/>
          <w:color w:val="000000" w:themeColor="text1"/>
          <w:shd w:val="clear" w:color="auto" w:fill="FFFFFF"/>
        </w:rPr>
        <w:t>50093.</w:t>
      </w:r>
    </w:p>
    <w:p w14:paraId="263E705E" w14:textId="77777777" w:rsidR="00321199" w:rsidRPr="00B33A7B" w:rsidRDefault="00321199" w:rsidP="008F01FA">
      <w:pPr>
        <w:pStyle w:val="ListParagraph"/>
        <w:ind w:right="90"/>
        <w:rPr>
          <w:rFonts w:cs="Arial"/>
          <w:color w:val="000000" w:themeColor="text1"/>
          <w:shd w:val="clear" w:color="auto" w:fill="FFFFFF"/>
        </w:rPr>
      </w:pPr>
    </w:p>
    <w:p w14:paraId="44698025" w14:textId="25F82FF7" w:rsidR="00321199" w:rsidRPr="00B33A7B" w:rsidRDefault="129922E8" w:rsidP="00993D09">
      <w:pPr>
        <w:pStyle w:val="ListParagraph"/>
        <w:numPr>
          <w:ilvl w:val="0"/>
          <w:numId w:val="2"/>
        </w:numPr>
        <w:ind w:right="90"/>
        <w:rPr>
          <w:rFonts w:cs="Arial"/>
          <w:color w:val="000000" w:themeColor="text1"/>
          <w:shd w:val="clear" w:color="auto" w:fill="FFFFFF"/>
        </w:rPr>
      </w:pPr>
      <w:r w:rsidRPr="00B33A7B">
        <w:rPr>
          <w:rFonts w:cs="Arial"/>
          <w:color w:val="000000" w:themeColor="text1"/>
          <w:shd w:val="clear" w:color="auto" w:fill="FFFFFF"/>
        </w:rPr>
        <w:t>“MHP” shall mean the Multifamily Housing Program au</w:t>
      </w:r>
      <w:r w:rsidR="7A364E8C" w:rsidRPr="00B33A7B">
        <w:rPr>
          <w:rFonts w:cs="Arial"/>
          <w:color w:val="000000" w:themeColor="text1"/>
          <w:shd w:val="clear" w:color="auto" w:fill="FFFFFF"/>
        </w:rPr>
        <w:t xml:space="preserve">thorized and governed by </w:t>
      </w:r>
      <w:r w:rsidR="485FD266" w:rsidRPr="00B33A7B">
        <w:rPr>
          <w:rFonts w:cs="Arial"/>
          <w:color w:val="000000" w:themeColor="text1"/>
        </w:rPr>
        <w:t xml:space="preserve">Chapter 6.7 (commencing </w:t>
      </w:r>
      <w:r w:rsidR="6606DC12" w:rsidRPr="00B33A7B">
        <w:rPr>
          <w:rFonts w:cs="Arial"/>
          <w:color w:val="000000" w:themeColor="text1"/>
        </w:rPr>
        <w:t xml:space="preserve">with </w:t>
      </w:r>
      <w:r w:rsidR="0B33FE3D" w:rsidRPr="00B33A7B">
        <w:rPr>
          <w:rFonts w:cs="Arial"/>
          <w:color w:val="000000" w:themeColor="text1"/>
          <w:shd w:val="clear" w:color="auto" w:fill="FFFFFF"/>
        </w:rPr>
        <w:t xml:space="preserve">Section </w:t>
      </w:r>
      <w:r w:rsidR="7A364E8C" w:rsidRPr="00B33A7B">
        <w:rPr>
          <w:rFonts w:cs="Arial"/>
          <w:color w:val="000000" w:themeColor="text1"/>
          <w:shd w:val="clear" w:color="auto" w:fill="FFFFFF"/>
        </w:rPr>
        <w:t>50675</w:t>
      </w:r>
      <w:r w:rsidR="6606DC12" w:rsidRPr="00B33A7B">
        <w:rPr>
          <w:rFonts w:cs="Arial"/>
          <w:color w:val="000000" w:themeColor="text1"/>
        </w:rPr>
        <w:t xml:space="preserve">) of Part 2 of Division 31 of the </w:t>
      </w:r>
      <w:r w:rsidR="04E98A1F" w:rsidRPr="00B33A7B">
        <w:rPr>
          <w:rFonts w:cs="Arial"/>
          <w:color w:val="000000" w:themeColor="text1"/>
        </w:rPr>
        <w:t>HSC</w:t>
      </w:r>
      <w:r w:rsidRPr="00B33A7B">
        <w:rPr>
          <w:rFonts w:cs="Arial"/>
          <w:color w:val="000000" w:themeColor="text1"/>
          <w:shd w:val="clear" w:color="auto" w:fill="FFFFFF"/>
        </w:rPr>
        <w:t xml:space="preserve"> and the </w:t>
      </w:r>
      <w:r w:rsidR="7FC43D3F" w:rsidRPr="00B33A7B">
        <w:rPr>
          <w:rFonts w:cs="Arial"/>
          <w:color w:val="000000" w:themeColor="text1"/>
          <w:shd w:val="clear" w:color="auto" w:fill="FFFFFF"/>
        </w:rPr>
        <w:t xml:space="preserve">Multifamily Housing Program </w:t>
      </w:r>
      <w:r w:rsidR="485FD266" w:rsidRPr="00B33A7B">
        <w:rPr>
          <w:rFonts w:cs="Arial"/>
          <w:color w:val="000000" w:themeColor="text1"/>
        </w:rPr>
        <w:t xml:space="preserve">Final </w:t>
      </w:r>
      <w:r w:rsidR="7FC43D3F" w:rsidRPr="00B33A7B">
        <w:rPr>
          <w:rFonts w:cs="Arial"/>
          <w:color w:val="000000" w:themeColor="text1"/>
          <w:shd w:val="clear" w:color="auto" w:fill="FFFFFF"/>
        </w:rPr>
        <w:t>Guidelines</w:t>
      </w:r>
      <w:r w:rsidR="485FD266" w:rsidRPr="00B33A7B">
        <w:rPr>
          <w:rFonts w:cs="Arial"/>
          <w:color w:val="000000" w:themeColor="text1"/>
        </w:rPr>
        <w:t xml:space="preserve"> dated March 30, 2022, and as subsequently amended</w:t>
      </w:r>
      <w:r w:rsidRPr="00B33A7B">
        <w:rPr>
          <w:rFonts w:cs="Arial"/>
          <w:color w:val="000000" w:themeColor="text1"/>
          <w:shd w:val="clear" w:color="auto" w:fill="FFFFFF"/>
        </w:rPr>
        <w:t xml:space="preserve">. </w:t>
      </w:r>
    </w:p>
    <w:p w14:paraId="1E65D58C" w14:textId="77777777" w:rsidR="00321199" w:rsidRPr="00B33A7B" w:rsidRDefault="00321199" w:rsidP="008F01FA">
      <w:pPr>
        <w:pStyle w:val="ListParagraph"/>
        <w:ind w:right="90"/>
        <w:rPr>
          <w:rFonts w:cs="Arial"/>
          <w:color w:val="000000" w:themeColor="text1"/>
          <w:shd w:val="clear" w:color="auto" w:fill="FFFFFF"/>
        </w:rPr>
      </w:pPr>
    </w:p>
    <w:p w14:paraId="30EBE297" w14:textId="7DBA1D90" w:rsidR="00354B06" w:rsidRPr="00B33A7B" w:rsidRDefault="229DE580" w:rsidP="00993D09">
      <w:pPr>
        <w:pStyle w:val="ListParagraph"/>
        <w:numPr>
          <w:ilvl w:val="0"/>
          <w:numId w:val="2"/>
        </w:numPr>
        <w:ind w:right="90"/>
        <w:rPr>
          <w:rFonts w:cs="Arial"/>
          <w:color w:val="000000" w:themeColor="text1"/>
          <w:shd w:val="clear" w:color="auto" w:fill="FFFFFF"/>
        </w:rPr>
      </w:pPr>
      <w:r w:rsidRPr="00B33A7B">
        <w:rPr>
          <w:rFonts w:cs="Arial"/>
          <w:color w:val="000000" w:themeColor="text1"/>
          <w:shd w:val="clear" w:color="auto" w:fill="FFFFFF"/>
        </w:rPr>
        <w:t xml:space="preserve">“Net Density” means the total number of dwelling </w:t>
      </w:r>
      <w:r w:rsidR="7F28FACB" w:rsidRPr="00B33A7B">
        <w:rPr>
          <w:rFonts w:cs="Arial"/>
          <w:color w:val="000000" w:themeColor="text1"/>
          <w:shd w:val="clear" w:color="auto" w:fill="FFFFFF"/>
        </w:rPr>
        <w:t xml:space="preserve">Units </w:t>
      </w:r>
      <w:r w:rsidRPr="00B33A7B">
        <w:rPr>
          <w:rFonts w:cs="Arial"/>
          <w:color w:val="000000" w:themeColor="text1"/>
          <w:shd w:val="clear" w:color="auto" w:fill="FFFFFF"/>
        </w:rPr>
        <w:t xml:space="preserve">per acre of land to be developed for residential or mixed use, excluding allowed deductible areas. Allowed deductible areas are public dedications of land which are for public streets, public sidewalks, public </w:t>
      </w:r>
      <w:r w:rsidR="2BB4C45D" w:rsidRPr="00B33A7B">
        <w:rPr>
          <w:rFonts w:cs="Arial"/>
          <w:color w:val="000000" w:themeColor="text1"/>
          <w:shd w:val="clear" w:color="auto" w:fill="FFFFFF"/>
        </w:rPr>
        <w:t>Open Space</w:t>
      </w:r>
      <w:r w:rsidRPr="00B33A7B">
        <w:rPr>
          <w:rFonts w:cs="Arial"/>
          <w:color w:val="000000" w:themeColor="text1"/>
          <w:shd w:val="clear" w:color="auto" w:fill="FFFFFF"/>
        </w:rPr>
        <w:t xml:space="preserve">, </w:t>
      </w:r>
      <w:r w:rsidR="2C2003FF" w:rsidRPr="00B33A7B">
        <w:rPr>
          <w:rFonts w:cs="Arial"/>
          <w:color w:val="000000" w:themeColor="text1"/>
          <w:shd w:val="clear" w:color="auto" w:fill="FFFFFF"/>
        </w:rPr>
        <w:t>and public</w:t>
      </w:r>
      <w:r w:rsidRPr="00B33A7B">
        <w:rPr>
          <w:rFonts w:cs="Arial"/>
          <w:color w:val="000000" w:themeColor="text1"/>
          <w:shd w:val="clear" w:color="auto" w:fill="FFFFFF"/>
        </w:rPr>
        <w:t xml:space="preserve"> drainage facilities. Non-allowed deductible areas include utility easements, setbacks, private drives and walkways, general landscaping, common areas and facilities, off street parking, and traditional drainage facilities exclusive to a development project. Mitigations required for development will not be included in the allowed deductible areas.</w:t>
      </w:r>
    </w:p>
    <w:p w14:paraId="0999BD19" w14:textId="77777777" w:rsidR="000722A8" w:rsidRPr="00B33A7B" w:rsidRDefault="000722A8" w:rsidP="000722A8">
      <w:pPr>
        <w:pStyle w:val="ListParagraph"/>
        <w:rPr>
          <w:rFonts w:cs="Arial"/>
          <w:color w:val="000000" w:themeColor="text1"/>
          <w:shd w:val="clear" w:color="auto" w:fill="FFFFFF"/>
        </w:rPr>
      </w:pPr>
    </w:p>
    <w:p w14:paraId="2F092B6D" w14:textId="134FD13D" w:rsidR="00321199" w:rsidRPr="00B33A7B" w:rsidRDefault="129922E8" w:rsidP="00993D09">
      <w:pPr>
        <w:pStyle w:val="ListParagraph"/>
        <w:numPr>
          <w:ilvl w:val="0"/>
          <w:numId w:val="2"/>
        </w:numPr>
        <w:ind w:right="90"/>
        <w:rPr>
          <w:rFonts w:cs="Arial"/>
          <w:color w:val="000000" w:themeColor="text1"/>
          <w:shd w:val="clear" w:color="auto" w:fill="FFFFFF"/>
        </w:rPr>
      </w:pPr>
      <w:r w:rsidRPr="00B33A7B">
        <w:rPr>
          <w:rFonts w:cs="Arial"/>
          <w:color w:val="000000" w:themeColor="text1"/>
          <w:shd w:val="clear" w:color="auto" w:fill="FFFFFF"/>
        </w:rPr>
        <w:t xml:space="preserve">“NOFA” means a Notice of Funding Availability </w:t>
      </w:r>
      <w:r w:rsidR="17F2BAC8" w:rsidRPr="00B33A7B">
        <w:rPr>
          <w:rFonts w:cs="Arial"/>
          <w:color w:val="000000" w:themeColor="text1"/>
          <w:shd w:val="clear" w:color="auto" w:fill="FFFFFF"/>
        </w:rPr>
        <w:t xml:space="preserve">issued by the Department to announce that </w:t>
      </w:r>
      <w:r w:rsidR="31F0FB78" w:rsidRPr="00B33A7B">
        <w:rPr>
          <w:rFonts w:cs="Arial"/>
          <w:color w:val="000000" w:themeColor="text1"/>
          <w:shd w:val="clear" w:color="auto" w:fill="FFFFFF"/>
        </w:rPr>
        <w:t>funds are available and that application</w:t>
      </w:r>
      <w:r w:rsidR="31F0FB78" w:rsidRPr="00B33A7B">
        <w:rPr>
          <w:rFonts w:cs="Arial"/>
          <w:color w:val="000000" w:themeColor="text1"/>
        </w:rPr>
        <w:t>s</w:t>
      </w:r>
      <w:r w:rsidR="31F0FB78" w:rsidRPr="00B33A7B">
        <w:rPr>
          <w:rFonts w:cs="Arial"/>
          <w:color w:val="000000" w:themeColor="text1"/>
          <w:shd w:val="clear" w:color="auto" w:fill="FFFFFF"/>
        </w:rPr>
        <w:t xml:space="preserve"> </w:t>
      </w:r>
      <w:r w:rsidRPr="00B33A7B">
        <w:rPr>
          <w:rFonts w:cs="Arial"/>
          <w:color w:val="000000" w:themeColor="text1"/>
          <w:shd w:val="clear" w:color="auto" w:fill="FFFFFF"/>
        </w:rPr>
        <w:t xml:space="preserve">for </w:t>
      </w:r>
      <w:r w:rsidR="7386C311" w:rsidRPr="00B33A7B">
        <w:rPr>
          <w:rFonts w:cs="Arial"/>
          <w:color w:val="000000" w:themeColor="text1"/>
          <w:shd w:val="clear" w:color="auto" w:fill="FFFFFF"/>
        </w:rPr>
        <w:t>that funding may be submitted</w:t>
      </w:r>
      <w:r w:rsidRPr="00B33A7B">
        <w:rPr>
          <w:rFonts w:cs="Arial"/>
          <w:color w:val="000000" w:themeColor="text1"/>
          <w:shd w:val="clear" w:color="auto" w:fill="FFFFFF"/>
        </w:rPr>
        <w:t>.</w:t>
      </w:r>
    </w:p>
    <w:p w14:paraId="32FE6456" w14:textId="77777777" w:rsidR="00AD1D82" w:rsidRPr="00B33A7B" w:rsidRDefault="00AD1D82" w:rsidP="005550B3">
      <w:pPr>
        <w:pStyle w:val="ListParagraph"/>
        <w:ind w:right="90"/>
        <w:rPr>
          <w:rFonts w:cs="Arial"/>
          <w:color w:val="000000" w:themeColor="text1"/>
          <w:shd w:val="clear" w:color="auto" w:fill="FFFFFF"/>
        </w:rPr>
      </w:pPr>
    </w:p>
    <w:p w14:paraId="520417FC" w14:textId="2B89BBD6" w:rsidR="007E01E7" w:rsidRPr="00B33A7B" w:rsidRDefault="1A27CA88" w:rsidP="00993D09">
      <w:pPr>
        <w:pStyle w:val="ListParagraph"/>
        <w:numPr>
          <w:ilvl w:val="0"/>
          <w:numId w:val="2"/>
        </w:numPr>
        <w:ind w:right="90"/>
        <w:rPr>
          <w:rFonts w:cs="Arial"/>
          <w:color w:val="000000" w:themeColor="text1"/>
          <w:shd w:val="clear" w:color="auto" w:fill="FFFFFF"/>
        </w:rPr>
      </w:pPr>
      <w:r w:rsidRPr="00B33A7B">
        <w:rPr>
          <w:rFonts w:cs="Arial"/>
          <w:color w:val="000000" w:themeColor="text1"/>
          <w:shd w:val="clear" w:color="auto" w:fill="FFFFFF"/>
        </w:rPr>
        <w:t xml:space="preserve">“Nondiscretionary Local Approval Process” means a process for development approval involving no personal judgment by the public official as to the wisdom or manner of carrying out the project. The public official merely ensures that the proposed development meets all the "objective zoning standards," "objective subdivision standards," </w:t>
      </w:r>
      <w:r w:rsidR="5ECC6FD8" w:rsidRPr="00B33A7B">
        <w:rPr>
          <w:rFonts w:cs="Arial"/>
          <w:color w:val="000000" w:themeColor="text1"/>
          <w:shd w:val="clear" w:color="auto" w:fill="FFFFFF"/>
        </w:rPr>
        <w:t>or</w:t>
      </w:r>
      <w:r w:rsidRPr="00B33A7B">
        <w:rPr>
          <w:rFonts w:cs="Arial"/>
          <w:color w:val="000000" w:themeColor="text1"/>
          <w:shd w:val="clear" w:color="auto" w:fill="FFFFFF"/>
        </w:rPr>
        <w:t xml:space="preserve"> "objective design review standards" in effect at the time that the application is submitted to the local </w:t>
      </w:r>
      <w:proofErr w:type="gramStart"/>
      <w:r w:rsidRPr="00B33A7B">
        <w:rPr>
          <w:rFonts w:cs="Arial"/>
          <w:color w:val="000000" w:themeColor="text1"/>
          <w:shd w:val="clear" w:color="auto" w:fill="FFFFFF"/>
        </w:rPr>
        <w:t>government, but</w:t>
      </w:r>
      <w:proofErr w:type="gramEnd"/>
      <w:r w:rsidRPr="00B33A7B">
        <w:rPr>
          <w:rFonts w:cs="Arial"/>
          <w:color w:val="000000" w:themeColor="text1"/>
          <w:shd w:val="clear" w:color="auto" w:fill="FFFFFF"/>
        </w:rPr>
        <w:t xml:space="preserve"> uses no special discretion or judgment in reaching a decision.</w:t>
      </w:r>
      <w:r w:rsidR="3B7B4984" w:rsidRPr="00B33A7B">
        <w:rPr>
          <w:rFonts w:cs="Arial"/>
          <w:color w:val="000000" w:themeColor="text1"/>
          <w:shd w:val="clear" w:color="auto" w:fill="FFFFFF"/>
        </w:rPr>
        <w:t xml:space="preserve"> </w:t>
      </w:r>
      <w:r w:rsidR="3B7B4984" w:rsidRPr="00B33A7B">
        <w:rPr>
          <w:rFonts w:cs="Arial"/>
        </w:rPr>
        <w:t>A nondiscretionary process involves only the use of fixed standards or objective measurements, and the public official cannot use personal, subjective judgment in deciding whether or how the project should be carried out.</w:t>
      </w:r>
      <w:r w:rsidR="3B7B4984" w:rsidRPr="00B33A7B">
        <w:rPr>
          <w:rFonts w:cs="Arial"/>
          <w:b/>
          <w:bCs/>
        </w:rPr>
        <w:t xml:space="preserve"> </w:t>
      </w:r>
      <w:r w:rsidR="3B7B4984" w:rsidRPr="00B33A7B">
        <w:rPr>
          <w:rFonts w:cs="Arial"/>
        </w:rPr>
        <w:t xml:space="preserve">“Objective Zoning Standard, Objective Subdivision Standard, and Objective Design Review Standard” means standards that involve no personal </w:t>
      </w:r>
      <w:r w:rsidR="3B7B4984" w:rsidRPr="00B33A7B">
        <w:rPr>
          <w:rFonts w:cs="Arial"/>
        </w:rPr>
        <w:lastRenderedPageBreak/>
        <w:t>or subjective judgment by a public official and that are uniformly verifiable by reference to an external and uniform benchmark or criterion available and knowable by both the development Applicant or proponent and the public official prior to submittal.</w:t>
      </w:r>
    </w:p>
    <w:p w14:paraId="0393F7AC" w14:textId="66A3BEF0" w:rsidR="00D23DB1" w:rsidRPr="00B33A7B" w:rsidRDefault="00D23DB1" w:rsidP="005550B3">
      <w:pPr>
        <w:pStyle w:val="ListParagraph"/>
        <w:ind w:right="90"/>
        <w:rPr>
          <w:rFonts w:cs="Arial"/>
          <w:color w:val="000000" w:themeColor="text1"/>
          <w:shd w:val="clear" w:color="auto" w:fill="FFFFFF"/>
        </w:rPr>
      </w:pPr>
    </w:p>
    <w:p w14:paraId="7A3AEFF5" w14:textId="0BFB7B38" w:rsidR="00E87387" w:rsidRPr="00B33A7B" w:rsidRDefault="426A87B4" w:rsidP="00993D09">
      <w:pPr>
        <w:pStyle w:val="ListParagraph"/>
        <w:numPr>
          <w:ilvl w:val="0"/>
          <w:numId w:val="2"/>
        </w:numPr>
        <w:ind w:right="90"/>
        <w:rPr>
          <w:rFonts w:cs="Arial"/>
        </w:rPr>
      </w:pPr>
      <w:r w:rsidRPr="00B33A7B">
        <w:rPr>
          <w:rFonts w:cs="Arial"/>
        </w:rPr>
        <w:t>“</w:t>
      </w:r>
      <w:r w:rsidR="72DE2875" w:rsidRPr="00B33A7B">
        <w:rPr>
          <w:rFonts w:cs="Arial"/>
        </w:rPr>
        <w:t>Older Adults in Need of Supportive Services</w:t>
      </w:r>
      <w:r w:rsidRPr="00B33A7B">
        <w:rPr>
          <w:rFonts w:cs="Arial"/>
        </w:rPr>
        <w:t>”</w:t>
      </w:r>
      <w:r w:rsidR="72DE2875" w:rsidRPr="00B33A7B">
        <w:rPr>
          <w:rFonts w:cs="Arial"/>
        </w:rPr>
        <w:t xml:space="preserve"> means </w:t>
      </w:r>
      <w:r w:rsidR="50AFDEE9" w:rsidRPr="00B33A7B">
        <w:rPr>
          <w:rFonts w:cs="Arial"/>
        </w:rPr>
        <w:t>individuals who are age 55 or older and who need Supportive Services to maintain and stabilize their housing, including individuals meeting the following criteria:</w:t>
      </w:r>
    </w:p>
    <w:p w14:paraId="42147F7E" w14:textId="77777777" w:rsidR="00E87387" w:rsidRPr="00B33A7B" w:rsidRDefault="00E87387" w:rsidP="00E87387">
      <w:pPr>
        <w:pStyle w:val="BodyText"/>
        <w:ind w:left="810" w:hanging="810"/>
        <w:rPr>
          <w:color w:val="FF0000"/>
        </w:rPr>
      </w:pPr>
    </w:p>
    <w:p w14:paraId="276BD76C" w14:textId="77777777" w:rsidR="00E87387" w:rsidRPr="00B33A7B" w:rsidRDefault="00E87387" w:rsidP="00993D09">
      <w:pPr>
        <w:pStyle w:val="ListParagraph"/>
        <w:numPr>
          <w:ilvl w:val="0"/>
          <w:numId w:val="65"/>
        </w:numPr>
        <w:ind w:right="360" w:hanging="720"/>
        <w:rPr>
          <w:rFonts w:cs="Arial"/>
        </w:rPr>
      </w:pPr>
      <w:r w:rsidRPr="00B33A7B">
        <w:rPr>
          <w:rFonts w:cs="Arial"/>
        </w:rPr>
        <w:t xml:space="preserve">Eligible under Medi-Cal 1915(c) waiver programs including the </w:t>
      </w:r>
      <w:hyperlink r:id="rId17" w:history="1">
        <w:r w:rsidRPr="00B33A7B">
          <w:rPr>
            <w:rFonts w:cs="Arial"/>
          </w:rPr>
          <w:t>Home and Community-Based Alternatives</w:t>
        </w:r>
      </w:hyperlink>
      <w:r w:rsidRPr="00B33A7B">
        <w:rPr>
          <w:rFonts w:cs="Arial"/>
        </w:rPr>
        <w:t xml:space="preserve"> Waiver, the </w:t>
      </w:r>
      <w:hyperlink r:id="rId18" w:history="1">
        <w:r w:rsidRPr="00B33A7B">
          <w:rPr>
            <w:rFonts w:cs="Arial"/>
          </w:rPr>
          <w:t>Multipurpose Senior Services Program (MSSP)</w:t>
        </w:r>
      </w:hyperlink>
      <w:r w:rsidRPr="00B33A7B">
        <w:rPr>
          <w:rFonts w:cs="Arial"/>
        </w:rPr>
        <w:t xml:space="preserve">, the AIDS Waiver, the </w:t>
      </w:r>
      <w:hyperlink r:id="rId19" w:history="1">
        <w:r w:rsidRPr="00B33A7B">
          <w:rPr>
            <w:rFonts w:cs="Arial"/>
          </w:rPr>
          <w:t>Assisted Living Waiver</w:t>
        </w:r>
      </w:hyperlink>
      <w:r w:rsidRPr="00B33A7B">
        <w:rPr>
          <w:rFonts w:cs="Arial"/>
        </w:rPr>
        <w:t xml:space="preserve">, the Home and Community-Based Services for the Developmentally Disabled (HCBS-DD) Waiver, and the Self-Determination Program (SDP) Waiver; </w:t>
      </w:r>
    </w:p>
    <w:p w14:paraId="6F340B1F" w14:textId="77777777" w:rsidR="00E87387" w:rsidRPr="00B33A7B" w:rsidRDefault="00E87387" w:rsidP="008053B3">
      <w:pPr>
        <w:pStyle w:val="ListParagraph"/>
        <w:ind w:left="1440" w:right="360"/>
        <w:rPr>
          <w:rFonts w:cs="Arial"/>
        </w:rPr>
      </w:pPr>
    </w:p>
    <w:p w14:paraId="3A9B89A4" w14:textId="77777777" w:rsidR="00E87387" w:rsidRPr="00B33A7B" w:rsidRDefault="00E87387" w:rsidP="00993D09">
      <w:pPr>
        <w:pStyle w:val="ListParagraph"/>
        <w:numPr>
          <w:ilvl w:val="0"/>
          <w:numId w:val="65"/>
        </w:numPr>
        <w:ind w:right="360" w:hanging="720"/>
        <w:rPr>
          <w:rFonts w:cs="Arial"/>
        </w:rPr>
      </w:pPr>
      <w:r w:rsidRPr="00B33A7B">
        <w:rPr>
          <w:rFonts w:cs="Arial"/>
        </w:rPr>
        <w:t>Eligible for services under the Program of All-Inclusive Care for the Elderly or Community-Based Adult Services (CBAS</w:t>
      </w:r>
      <w:proofErr w:type="gramStart"/>
      <w:r w:rsidRPr="00B33A7B">
        <w:rPr>
          <w:rFonts w:cs="Arial"/>
        </w:rPr>
        <w:t>);</w:t>
      </w:r>
      <w:proofErr w:type="gramEnd"/>
      <w:r w:rsidRPr="00B33A7B">
        <w:rPr>
          <w:rFonts w:cs="Arial"/>
        </w:rPr>
        <w:t xml:space="preserve"> </w:t>
      </w:r>
    </w:p>
    <w:p w14:paraId="7BFC2946" w14:textId="77777777" w:rsidR="00E87387" w:rsidRPr="00B33A7B" w:rsidRDefault="00E87387" w:rsidP="008053B3">
      <w:pPr>
        <w:pStyle w:val="ListParagraph"/>
        <w:ind w:left="1440" w:right="360"/>
        <w:rPr>
          <w:rFonts w:cs="Arial"/>
        </w:rPr>
      </w:pPr>
    </w:p>
    <w:p w14:paraId="13C85453" w14:textId="0F820071" w:rsidR="00E87387" w:rsidRPr="00B33A7B" w:rsidRDefault="00E87387" w:rsidP="00993D09">
      <w:pPr>
        <w:pStyle w:val="ListParagraph"/>
        <w:numPr>
          <w:ilvl w:val="0"/>
          <w:numId w:val="65"/>
        </w:numPr>
        <w:ind w:right="360" w:hanging="720"/>
        <w:rPr>
          <w:rFonts w:cs="Arial"/>
        </w:rPr>
      </w:pPr>
      <w:r w:rsidRPr="00B33A7B">
        <w:rPr>
          <w:rFonts w:cs="Arial"/>
        </w:rPr>
        <w:t>Eligible for services through Enhanced Care Management or Community Supports (also known as “</w:t>
      </w:r>
      <w:r w:rsidR="001B425C" w:rsidRPr="00B33A7B">
        <w:rPr>
          <w:rFonts w:cs="Arial"/>
        </w:rPr>
        <w:t>i</w:t>
      </w:r>
      <w:r w:rsidRPr="00B33A7B">
        <w:rPr>
          <w:rFonts w:cs="Arial"/>
        </w:rPr>
        <w:t xml:space="preserve">n </w:t>
      </w:r>
      <w:r w:rsidR="001B425C" w:rsidRPr="00B33A7B">
        <w:rPr>
          <w:rFonts w:cs="Arial"/>
        </w:rPr>
        <w:t>l</w:t>
      </w:r>
      <w:r w:rsidRPr="00B33A7B">
        <w:rPr>
          <w:rFonts w:cs="Arial"/>
        </w:rPr>
        <w:t xml:space="preserve">ieu of </w:t>
      </w:r>
      <w:r w:rsidR="001B425C" w:rsidRPr="00B33A7B">
        <w:rPr>
          <w:rFonts w:cs="Arial"/>
        </w:rPr>
        <w:t>s</w:t>
      </w:r>
      <w:r w:rsidRPr="00B33A7B">
        <w:rPr>
          <w:rFonts w:cs="Arial"/>
        </w:rPr>
        <w:t xml:space="preserve">ervices”) provided through Cal-AIM or similar </w:t>
      </w:r>
      <w:proofErr w:type="gramStart"/>
      <w:r w:rsidRPr="00B33A7B">
        <w:rPr>
          <w:rFonts w:cs="Arial"/>
        </w:rPr>
        <w:t>programs;</w:t>
      </w:r>
      <w:proofErr w:type="gramEnd"/>
      <w:r w:rsidRPr="00B33A7B">
        <w:rPr>
          <w:rFonts w:cs="Arial"/>
        </w:rPr>
        <w:t xml:space="preserve"> </w:t>
      </w:r>
    </w:p>
    <w:p w14:paraId="0757AB3A" w14:textId="77777777" w:rsidR="00E87387" w:rsidRPr="00B33A7B" w:rsidRDefault="00E87387" w:rsidP="008053B3">
      <w:pPr>
        <w:pStyle w:val="ListParagraph"/>
        <w:ind w:left="1440" w:right="360"/>
        <w:rPr>
          <w:rFonts w:cs="Arial"/>
        </w:rPr>
      </w:pPr>
    </w:p>
    <w:p w14:paraId="495096F4" w14:textId="77777777" w:rsidR="00E87387" w:rsidRPr="00B33A7B" w:rsidRDefault="00E87387" w:rsidP="00993D09">
      <w:pPr>
        <w:pStyle w:val="ListParagraph"/>
        <w:numPr>
          <w:ilvl w:val="0"/>
          <w:numId w:val="65"/>
        </w:numPr>
        <w:ind w:right="360" w:hanging="720"/>
        <w:rPr>
          <w:rFonts w:cs="Arial"/>
        </w:rPr>
      </w:pPr>
      <w:r w:rsidRPr="00B33A7B">
        <w:rPr>
          <w:rFonts w:cs="Arial"/>
        </w:rPr>
        <w:t xml:space="preserve">Eligible for services through the </w:t>
      </w:r>
      <w:hyperlink r:id="rId20" w:history="1">
        <w:r w:rsidRPr="00B33A7B">
          <w:rPr>
            <w:rFonts w:cs="Arial"/>
          </w:rPr>
          <w:t>In-Home Supportive Services Program</w:t>
        </w:r>
      </w:hyperlink>
      <w:r w:rsidRPr="00B33A7B">
        <w:rPr>
          <w:rFonts w:cs="Arial"/>
        </w:rPr>
        <w:t>;</w:t>
      </w:r>
    </w:p>
    <w:p w14:paraId="33BBE209" w14:textId="66EAB1DC" w:rsidR="00E87387" w:rsidRPr="00B33A7B" w:rsidRDefault="00E87387" w:rsidP="008053B3">
      <w:pPr>
        <w:pStyle w:val="ListParagraph"/>
        <w:ind w:left="1440" w:right="360"/>
        <w:rPr>
          <w:rFonts w:cs="Arial"/>
        </w:rPr>
      </w:pPr>
    </w:p>
    <w:p w14:paraId="49DB537A" w14:textId="15B26377" w:rsidR="00E87387" w:rsidRPr="00B33A7B" w:rsidRDefault="00E87387" w:rsidP="00993D09">
      <w:pPr>
        <w:pStyle w:val="ListParagraph"/>
        <w:numPr>
          <w:ilvl w:val="0"/>
          <w:numId w:val="65"/>
        </w:numPr>
        <w:ind w:right="360" w:hanging="720"/>
        <w:rPr>
          <w:rFonts w:cs="Arial"/>
        </w:rPr>
      </w:pPr>
      <w:r w:rsidRPr="00B33A7B">
        <w:rPr>
          <w:rFonts w:cs="Arial"/>
        </w:rPr>
        <w:t xml:space="preserve">Eligible for services similar to those listed in (1)-(4) above through the </w:t>
      </w:r>
      <w:r w:rsidR="00E25820">
        <w:rPr>
          <w:rFonts w:cs="Arial"/>
        </w:rPr>
        <w:t xml:space="preserve">California </w:t>
      </w:r>
      <w:r w:rsidRPr="00B33A7B">
        <w:rPr>
          <w:rFonts w:cs="Arial"/>
        </w:rPr>
        <w:t>Department of Development</w:t>
      </w:r>
      <w:r w:rsidR="0094760A">
        <w:rPr>
          <w:rFonts w:cs="Arial"/>
        </w:rPr>
        <w:t>al</w:t>
      </w:r>
      <w:r w:rsidRPr="00B33A7B">
        <w:rPr>
          <w:rFonts w:cs="Arial"/>
        </w:rPr>
        <w:t xml:space="preserve"> Services (</w:t>
      </w:r>
      <w:r w:rsidR="006E4B96">
        <w:rPr>
          <w:rFonts w:cs="Arial"/>
        </w:rPr>
        <w:t>C</w:t>
      </w:r>
      <w:r w:rsidRPr="00B33A7B">
        <w:rPr>
          <w:rFonts w:cs="Arial"/>
        </w:rPr>
        <w:t xml:space="preserve">DDS) or the Regional Centers, including Independent Living Services and Supported Living </w:t>
      </w:r>
      <w:proofErr w:type="gramStart"/>
      <w:r w:rsidRPr="00B33A7B">
        <w:rPr>
          <w:rFonts w:cs="Arial"/>
        </w:rPr>
        <w:t>Services;</w:t>
      </w:r>
      <w:proofErr w:type="gramEnd"/>
    </w:p>
    <w:p w14:paraId="7E1E51D9" w14:textId="77777777" w:rsidR="00E87387" w:rsidRPr="00B33A7B" w:rsidRDefault="00E87387" w:rsidP="008053B3">
      <w:pPr>
        <w:pStyle w:val="ListParagraph"/>
        <w:ind w:left="1440" w:right="360"/>
        <w:rPr>
          <w:rFonts w:cs="Arial"/>
        </w:rPr>
      </w:pPr>
    </w:p>
    <w:p w14:paraId="6C36EC90" w14:textId="581698CB" w:rsidR="00E87387" w:rsidRPr="00B33A7B" w:rsidRDefault="00E87387" w:rsidP="00993D09">
      <w:pPr>
        <w:pStyle w:val="ListParagraph"/>
        <w:numPr>
          <w:ilvl w:val="0"/>
          <w:numId w:val="65"/>
        </w:numPr>
        <w:ind w:right="360" w:hanging="720"/>
        <w:rPr>
          <w:rFonts w:cs="Arial"/>
        </w:rPr>
      </w:pPr>
      <w:r w:rsidRPr="00B33A7B">
        <w:rPr>
          <w:rFonts w:cs="Arial"/>
        </w:rPr>
        <w:t xml:space="preserve">Older Veterans who need services </w:t>
      </w:r>
      <w:proofErr w:type="gramStart"/>
      <w:r w:rsidRPr="00B33A7B">
        <w:rPr>
          <w:rFonts w:cs="Arial"/>
        </w:rPr>
        <w:t>similar to</w:t>
      </w:r>
      <w:proofErr w:type="gramEnd"/>
      <w:r w:rsidRPr="00B33A7B">
        <w:rPr>
          <w:rFonts w:cs="Arial"/>
        </w:rPr>
        <w:t xml:space="preserve"> those listed in (1)-(5) above but are served through </w:t>
      </w:r>
      <w:r w:rsidR="006E4B96">
        <w:rPr>
          <w:rFonts w:cs="Arial"/>
        </w:rPr>
        <w:t>Veterans</w:t>
      </w:r>
      <w:r w:rsidRPr="00B33A7B">
        <w:rPr>
          <w:rFonts w:cs="Arial"/>
        </w:rPr>
        <w:t xml:space="preserve"> A</w:t>
      </w:r>
      <w:r w:rsidR="006E4B96">
        <w:rPr>
          <w:rFonts w:cs="Arial"/>
        </w:rPr>
        <w:t>ffairs (</w:t>
      </w:r>
      <w:r w:rsidRPr="00B33A7B">
        <w:rPr>
          <w:rFonts w:cs="Arial"/>
        </w:rPr>
        <w:t>VA</w:t>
      </w:r>
      <w:r w:rsidR="006E4B96">
        <w:rPr>
          <w:rFonts w:cs="Arial"/>
        </w:rPr>
        <w:t>)</w:t>
      </w:r>
      <w:r w:rsidRPr="00B33A7B">
        <w:rPr>
          <w:rFonts w:cs="Arial"/>
        </w:rPr>
        <w:t>; and/or</w:t>
      </w:r>
    </w:p>
    <w:p w14:paraId="121E3E89" w14:textId="77777777" w:rsidR="00E87387" w:rsidRPr="00B33A7B" w:rsidRDefault="00E87387" w:rsidP="008053B3">
      <w:pPr>
        <w:pStyle w:val="ListParagraph"/>
        <w:ind w:left="1440" w:right="360"/>
        <w:rPr>
          <w:rFonts w:cs="Arial"/>
        </w:rPr>
      </w:pPr>
    </w:p>
    <w:p w14:paraId="2D51C8BD" w14:textId="77777777" w:rsidR="00E87387" w:rsidRPr="00B33A7B" w:rsidRDefault="00E87387" w:rsidP="00993D09">
      <w:pPr>
        <w:pStyle w:val="ListParagraph"/>
        <w:numPr>
          <w:ilvl w:val="0"/>
          <w:numId w:val="65"/>
        </w:numPr>
        <w:ind w:right="360" w:hanging="720"/>
        <w:rPr>
          <w:rFonts w:cs="Arial"/>
        </w:rPr>
      </w:pPr>
      <w:r w:rsidRPr="00B33A7B">
        <w:rPr>
          <w:rFonts w:cs="Arial"/>
        </w:rPr>
        <w:t>Older adults at risk of institutionalization and eligible for long term care.</w:t>
      </w:r>
    </w:p>
    <w:p w14:paraId="358ED2A0" w14:textId="77777777" w:rsidR="00E87387" w:rsidRPr="00B33A7B" w:rsidRDefault="00E87387" w:rsidP="00E87387">
      <w:pPr>
        <w:ind w:left="917"/>
      </w:pPr>
    </w:p>
    <w:p w14:paraId="43332768" w14:textId="77777777" w:rsidR="00E87387" w:rsidRPr="00B33A7B" w:rsidRDefault="00E87387" w:rsidP="00BA1228">
      <w:pPr>
        <w:ind w:left="720"/>
      </w:pPr>
      <w:r w:rsidRPr="00B33A7B">
        <w:t>Eligibility for these programs must be established by the agency responsible for determining eligibility for</w:t>
      </w:r>
      <w:r w:rsidRPr="00B33A7B">
        <w:rPr>
          <w:spacing w:val="-1"/>
        </w:rPr>
        <w:t xml:space="preserve"> </w:t>
      </w:r>
      <w:r w:rsidRPr="00B33A7B">
        <w:t>the</w:t>
      </w:r>
      <w:r w:rsidRPr="00B33A7B">
        <w:rPr>
          <w:spacing w:val="1"/>
        </w:rPr>
        <w:t xml:space="preserve"> </w:t>
      </w:r>
      <w:r w:rsidRPr="00B33A7B">
        <w:t>benefits provided by</w:t>
      </w:r>
      <w:r w:rsidRPr="00B33A7B">
        <w:rPr>
          <w:spacing w:val="-2"/>
        </w:rPr>
        <w:t xml:space="preserve"> </w:t>
      </w:r>
      <w:r w:rsidRPr="00B33A7B">
        <w:t>them.</w:t>
      </w:r>
    </w:p>
    <w:p w14:paraId="32E0EEEE" w14:textId="77777777" w:rsidR="00E87387" w:rsidRPr="00B33A7B" w:rsidRDefault="00E87387" w:rsidP="005550B3">
      <w:pPr>
        <w:pStyle w:val="ListParagraph"/>
        <w:ind w:right="90"/>
        <w:rPr>
          <w:rFonts w:cs="Arial"/>
          <w:color w:val="000000" w:themeColor="text1"/>
          <w:shd w:val="clear" w:color="auto" w:fill="FFFFFF"/>
        </w:rPr>
      </w:pPr>
    </w:p>
    <w:p w14:paraId="436D7981" w14:textId="7B0004BE" w:rsidR="00BA1228" w:rsidRPr="00B33A7B" w:rsidRDefault="5E25178C" w:rsidP="00993D09">
      <w:pPr>
        <w:pStyle w:val="ListParagraph"/>
        <w:numPr>
          <w:ilvl w:val="0"/>
          <w:numId w:val="2"/>
        </w:numPr>
        <w:ind w:right="90"/>
        <w:rPr>
          <w:rFonts w:cs="Arial"/>
          <w:color w:val="000000" w:themeColor="text1"/>
          <w:shd w:val="clear" w:color="auto" w:fill="FFFFFF"/>
        </w:rPr>
      </w:pPr>
      <w:r w:rsidRPr="00B33A7B">
        <w:rPr>
          <w:rFonts w:cs="Arial"/>
          <w:color w:val="000000" w:themeColor="text1"/>
          <w:shd w:val="clear" w:color="auto" w:fill="FFFFFF"/>
        </w:rPr>
        <w:t>“Open Space”</w:t>
      </w:r>
      <w:r w:rsidR="5A5C54F6" w:rsidRPr="00B33A7B">
        <w:rPr>
          <w:rFonts w:cs="Arial"/>
          <w:color w:val="000000" w:themeColor="text1"/>
          <w:shd w:val="clear" w:color="auto" w:fill="FFFFFF"/>
        </w:rPr>
        <w:t xml:space="preserve"> means</w:t>
      </w:r>
      <w:r w:rsidR="4C8A2742" w:rsidRPr="00B33A7B">
        <w:rPr>
          <w:rFonts w:cs="Arial"/>
          <w:color w:val="000000" w:themeColor="text1"/>
          <w:shd w:val="clear" w:color="auto" w:fill="FFFFFF"/>
        </w:rPr>
        <w:t xml:space="preserve"> a parcel or area of land or water that is essentially unimproved and dedicated to one or more of the following purposes: </w:t>
      </w:r>
    </w:p>
    <w:p w14:paraId="4AC2E0F0" w14:textId="77777777" w:rsidR="00BA1228" w:rsidRPr="00B33A7B" w:rsidRDefault="00BA1228" w:rsidP="00BA1228">
      <w:pPr>
        <w:pStyle w:val="ListParagraph"/>
        <w:ind w:right="90"/>
        <w:rPr>
          <w:rFonts w:cs="Arial"/>
          <w:color w:val="000000" w:themeColor="text1"/>
          <w:shd w:val="clear" w:color="auto" w:fill="FFFFFF"/>
        </w:rPr>
      </w:pPr>
    </w:p>
    <w:p w14:paraId="6D31AB36" w14:textId="77777777" w:rsidR="00BA1228" w:rsidRPr="00B33A7B" w:rsidRDefault="007C2244" w:rsidP="00795A84">
      <w:pPr>
        <w:pStyle w:val="ListParagraph"/>
        <w:numPr>
          <w:ilvl w:val="0"/>
          <w:numId w:val="66"/>
        </w:numPr>
        <w:ind w:right="360" w:hanging="720"/>
        <w:rPr>
          <w:rFonts w:cs="Arial"/>
        </w:rPr>
      </w:pPr>
      <w:r w:rsidRPr="00B33A7B">
        <w:rPr>
          <w:rFonts w:cs="Arial"/>
        </w:rPr>
        <w:t xml:space="preserve">the preservation of natural </w:t>
      </w:r>
      <w:proofErr w:type="gramStart"/>
      <w:r w:rsidRPr="00B33A7B">
        <w:rPr>
          <w:rFonts w:cs="Arial"/>
        </w:rPr>
        <w:t>resources;</w:t>
      </w:r>
      <w:proofErr w:type="gramEnd"/>
      <w:r w:rsidRPr="00B33A7B">
        <w:rPr>
          <w:rFonts w:cs="Arial"/>
        </w:rPr>
        <w:t xml:space="preserve"> </w:t>
      </w:r>
    </w:p>
    <w:p w14:paraId="0F6CA8D1" w14:textId="72D07546" w:rsidR="00BA1228" w:rsidRPr="00B33A7B" w:rsidRDefault="007C2244" w:rsidP="00BA1228">
      <w:pPr>
        <w:pStyle w:val="ListParagraph"/>
        <w:numPr>
          <w:ilvl w:val="0"/>
          <w:numId w:val="66"/>
        </w:numPr>
        <w:ind w:right="360" w:hanging="720"/>
        <w:rPr>
          <w:rFonts w:cs="Arial"/>
        </w:rPr>
      </w:pPr>
      <w:r w:rsidRPr="00B33A7B">
        <w:rPr>
          <w:rFonts w:cs="Arial"/>
        </w:rPr>
        <w:t xml:space="preserve">the managed production of </w:t>
      </w:r>
      <w:proofErr w:type="gramStart"/>
      <w:r w:rsidRPr="00B33A7B">
        <w:rPr>
          <w:rFonts w:cs="Arial"/>
        </w:rPr>
        <w:t>resources;</w:t>
      </w:r>
      <w:proofErr w:type="gramEnd"/>
      <w:r w:rsidRPr="00B33A7B">
        <w:rPr>
          <w:rFonts w:cs="Arial"/>
        </w:rPr>
        <w:t xml:space="preserve"> </w:t>
      </w:r>
    </w:p>
    <w:p w14:paraId="479886F2" w14:textId="0A49FD29" w:rsidR="00BA1228" w:rsidRPr="00B33A7B" w:rsidRDefault="007C2244" w:rsidP="00BA1228">
      <w:pPr>
        <w:pStyle w:val="ListParagraph"/>
        <w:numPr>
          <w:ilvl w:val="0"/>
          <w:numId w:val="66"/>
        </w:numPr>
        <w:ind w:right="360" w:hanging="720"/>
        <w:rPr>
          <w:rFonts w:cs="Arial"/>
        </w:rPr>
      </w:pPr>
      <w:r w:rsidRPr="00B33A7B">
        <w:rPr>
          <w:rFonts w:cs="Arial"/>
        </w:rPr>
        <w:t xml:space="preserve">public and/or residential outdoor recreation; or </w:t>
      </w:r>
    </w:p>
    <w:p w14:paraId="0CF80FA8" w14:textId="3B8E4A6B" w:rsidR="007C2244" w:rsidRPr="00B33A7B" w:rsidRDefault="007C2244" w:rsidP="00993D09">
      <w:pPr>
        <w:pStyle w:val="ListParagraph"/>
        <w:numPr>
          <w:ilvl w:val="0"/>
          <w:numId w:val="66"/>
        </w:numPr>
        <w:ind w:right="360" w:hanging="720"/>
        <w:rPr>
          <w:rFonts w:cs="Arial"/>
        </w:rPr>
      </w:pPr>
      <w:r w:rsidRPr="00B33A7B">
        <w:rPr>
          <w:rFonts w:cs="Arial"/>
        </w:rPr>
        <w:t>public health and safety.</w:t>
      </w:r>
    </w:p>
    <w:p w14:paraId="195C5F77" w14:textId="339A3B1A" w:rsidR="00D52AFA" w:rsidRPr="00B33A7B" w:rsidRDefault="00D52AFA" w:rsidP="005550B3">
      <w:pPr>
        <w:pStyle w:val="ListParagraph"/>
        <w:ind w:right="90"/>
        <w:rPr>
          <w:rFonts w:cs="Arial"/>
          <w:color w:val="000000" w:themeColor="text1"/>
          <w:shd w:val="clear" w:color="auto" w:fill="FFFFFF"/>
        </w:rPr>
      </w:pPr>
    </w:p>
    <w:p w14:paraId="58917437" w14:textId="65A33961" w:rsidR="00534E80" w:rsidRPr="00B33A7B" w:rsidRDefault="4E369A16" w:rsidP="00993D09">
      <w:pPr>
        <w:pStyle w:val="ListParagraph"/>
        <w:numPr>
          <w:ilvl w:val="0"/>
          <w:numId w:val="2"/>
        </w:numPr>
        <w:ind w:right="90"/>
        <w:rPr>
          <w:rFonts w:cs="Arial"/>
        </w:rPr>
      </w:pPr>
      <w:r w:rsidRPr="00B33A7B">
        <w:rPr>
          <w:rFonts w:cs="Arial"/>
        </w:rPr>
        <w:t>“Operating Expenses” means the same as defined in UMR Section 8301(k).</w:t>
      </w:r>
    </w:p>
    <w:p w14:paraId="45893DB8" w14:textId="77777777" w:rsidR="00534E80" w:rsidRPr="00B33A7B" w:rsidRDefault="00534E80" w:rsidP="00811643">
      <w:pPr>
        <w:pStyle w:val="ListParagraph"/>
        <w:ind w:right="-3"/>
      </w:pPr>
    </w:p>
    <w:p w14:paraId="53B5921D" w14:textId="255BA6EA" w:rsidR="00AC7294" w:rsidRPr="00B33A7B" w:rsidRDefault="7BE700E6" w:rsidP="00993D09">
      <w:pPr>
        <w:pStyle w:val="ListParagraph"/>
        <w:numPr>
          <w:ilvl w:val="0"/>
          <w:numId w:val="2"/>
        </w:numPr>
        <w:ind w:right="90"/>
        <w:rPr>
          <w:rFonts w:cs="Arial"/>
        </w:rPr>
      </w:pPr>
      <w:r w:rsidRPr="00B33A7B">
        <w:rPr>
          <w:rFonts w:cs="Arial"/>
        </w:rPr>
        <w:lastRenderedPageBreak/>
        <w:t xml:space="preserve">“Operating Income” means all income generated in connection with operation of the Affordable Housing Development including rental income for Assisted Units and non-Assisted Units, rental income for Commercial Space or commercial use, laundry and equipment rental fees, rental subsidy payments, and interest on any accounts, other than approved reserve accounts, related to the Affordable Housing Development. "Operating Income" does not include security and equipment deposits, payments to the Sponsor for Supportive Services not included in the Department-approved operating budget, cash contributed by the Sponsor, or tax benefits received by the Sponsor. </w:t>
      </w:r>
    </w:p>
    <w:p w14:paraId="3EDA31CE" w14:textId="77777777" w:rsidR="00AC7294" w:rsidRPr="00B33A7B" w:rsidRDefault="00AC7294" w:rsidP="005550B3">
      <w:pPr>
        <w:pStyle w:val="ListParagraph"/>
        <w:ind w:right="90"/>
        <w:rPr>
          <w:rFonts w:cs="Arial"/>
          <w:color w:val="000000" w:themeColor="text1"/>
          <w:shd w:val="clear" w:color="auto" w:fill="FFFFFF"/>
        </w:rPr>
      </w:pPr>
    </w:p>
    <w:p w14:paraId="27F69D1A" w14:textId="5CC9CC5A" w:rsidR="00AD1D82" w:rsidRPr="00B33A7B" w:rsidRDefault="557E94C8" w:rsidP="00993D09">
      <w:pPr>
        <w:pStyle w:val="ListParagraph"/>
        <w:numPr>
          <w:ilvl w:val="0"/>
          <w:numId w:val="2"/>
        </w:numPr>
        <w:ind w:right="90"/>
        <w:rPr>
          <w:rFonts w:cs="Arial"/>
          <w:color w:val="000000" w:themeColor="text1"/>
          <w:shd w:val="clear" w:color="auto" w:fill="FFFFFF"/>
        </w:rPr>
      </w:pPr>
      <w:r w:rsidRPr="00B33A7B">
        <w:rPr>
          <w:rFonts w:cs="Arial"/>
          <w:color w:val="000000" w:themeColor="text1"/>
          <w:shd w:val="clear" w:color="auto" w:fill="FFFFFF"/>
        </w:rPr>
        <w:t>“</w:t>
      </w:r>
      <w:r w:rsidR="2E24CB85" w:rsidRPr="00B33A7B">
        <w:rPr>
          <w:rFonts w:cs="Arial"/>
          <w:color w:val="000000" w:themeColor="text1"/>
          <w:shd w:val="clear" w:color="auto" w:fill="FFFFFF"/>
        </w:rPr>
        <w:t>Park</w:t>
      </w:r>
      <w:r w:rsidR="40784FF9" w:rsidRPr="00B33A7B">
        <w:rPr>
          <w:rFonts w:cs="Arial"/>
          <w:color w:val="000000" w:themeColor="text1"/>
          <w:shd w:val="clear" w:color="auto" w:fill="FFFFFF"/>
        </w:rPr>
        <w:t xml:space="preserve">” means a facility that provides benefits to the community and includes, but is not limited to, places for organized team sports, outdoor recreation, and informal turf play; non-motorized recreational trails; permanent play structures; landscaping; community gardens; places for passive recreation; multipurpose structures designed to meet the special recreational, educational, vocational, and social needs of youth, </w:t>
      </w:r>
      <w:r w:rsidR="5A0E5D61" w:rsidRPr="00B33A7B">
        <w:rPr>
          <w:rFonts w:cs="Arial"/>
          <w:color w:val="000000" w:themeColor="text1"/>
          <w:shd w:val="clear" w:color="auto" w:fill="FFFFFF"/>
        </w:rPr>
        <w:t xml:space="preserve">Senior </w:t>
      </w:r>
      <w:r w:rsidR="40784FF9" w:rsidRPr="00B33A7B">
        <w:rPr>
          <w:rFonts w:cs="Arial"/>
          <w:color w:val="000000" w:themeColor="text1"/>
          <w:shd w:val="clear" w:color="auto" w:fill="FFFFFF"/>
        </w:rPr>
        <w:t>citizens, and other population groups; recreation areas created by the redesign and retrofit of urban freeways; community swim centers; regional recreational trails; and infrastructure and other improvements that support these facilities.</w:t>
      </w:r>
    </w:p>
    <w:p w14:paraId="52573091" w14:textId="77777777" w:rsidR="00DC5C64" w:rsidRPr="00B33A7B" w:rsidRDefault="00DC5C64" w:rsidP="00DC5C64">
      <w:pPr>
        <w:pStyle w:val="ListParagraph"/>
        <w:rPr>
          <w:rFonts w:cs="Arial"/>
          <w:color w:val="000000" w:themeColor="text1"/>
          <w:shd w:val="clear" w:color="auto" w:fill="FFFFFF"/>
        </w:rPr>
      </w:pPr>
    </w:p>
    <w:p w14:paraId="7F35E9CC" w14:textId="46616377" w:rsidR="00DC5C64" w:rsidRPr="00B33A7B" w:rsidRDefault="317013CD" w:rsidP="00993D09">
      <w:pPr>
        <w:pStyle w:val="ListParagraph"/>
        <w:numPr>
          <w:ilvl w:val="0"/>
          <w:numId w:val="2"/>
        </w:numPr>
        <w:ind w:right="90"/>
        <w:rPr>
          <w:rFonts w:cs="Arial"/>
        </w:rPr>
      </w:pPr>
      <w:r w:rsidRPr="00B33A7B">
        <w:rPr>
          <w:rFonts w:cs="Arial"/>
        </w:rPr>
        <w:t xml:space="preserve">“Permanent Supportive Housing” or “Supportive Housing” means the same as defined under </w:t>
      </w:r>
      <w:r w:rsidR="52FF5916" w:rsidRPr="00B33A7B">
        <w:rPr>
          <w:rFonts w:cs="Arial"/>
        </w:rPr>
        <w:t>HSC</w:t>
      </w:r>
      <w:r w:rsidRPr="00B33A7B">
        <w:rPr>
          <w:rFonts w:cs="Arial"/>
        </w:rPr>
        <w:t xml:space="preserve"> Section 50675.14(b)(2) and refers to Assisted Units. </w:t>
      </w:r>
    </w:p>
    <w:p w14:paraId="028AD962" w14:textId="14D12748" w:rsidR="00AD1D82" w:rsidRPr="00B33A7B" w:rsidRDefault="00AD1D82" w:rsidP="005550B3">
      <w:pPr>
        <w:pStyle w:val="ListParagraph"/>
        <w:ind w:right="90"/>
        <w:rPr>
          <w:rFonts w:cs="Arial"/>
          <w:color w:val="000000" w:themeColor="text1"/>
          <w:shd w:val="clear" w:color="auto" w:fill="FFFFFF"/>
        </w:rPr>
      </w:pPr>
    </w:p>
    <w:p w14:paraId="4A6C1E74" w14:textId="7FF604AD" w:rsidR="00980663" w:rsidRPr="00B33A7B" w:rsidRDefault="4E369A16" w:rsidP="00993D09">
      <w:pPr>
        <w:pStyle w:val="ListParagraph"/>
        <w:numPr>
          <w:ilvl w:val="0"/>
          <w:numId w:val="2"/>
        </w:numPr>
        <w:ind w:right="90"/>
        <w:rPr>
          <w:rFonts w:cs="Arial"/>
        </w:rPr>
      </w:pPr>
      <w:r w:rsidRPr="00B33A7B">
        <w:rPr>
          <w:rFonts w:cs="Arial"/>
        </w:rPr>
        <w:t>“</w:t>
      </w:r>
      <w:r w:rsidR="21868B5E" w:rsidRPr="00B33A7B">
        <w:rPr>
          <w:rFonts w:cs="Arial"/>
        </w:rPr>
        <w:t>Principal</w:t>
      </w:r>
      <w:r w:rsidRPr="00B33A7B">
        <w:rPr>
          <w:rFonts w:cs="Arial"/>
        </w:rPr>
        <w:t>”</w:t>
      </w:r>
      <w:r w:rsidR="21868B5E" w:rsidRPr="00B33A7B">
        <w:rPr>
          <w:rFonts w:cs="Arial"/>
        </w:rPr>
        <w:t xml:space="preserve"> means employees of the Sponsor who are in a position responsible for the oversight and management of development activities.</w:t>
      </w:r>
    </w:p>
    <w:p w14:paraId="36DCA9D5" w14:textId="77777777" w:rsidR="00980663" w:rsidRPr="00B33A7B" w:rsidRDefault="00980663" w:rsidP="005550B3">
      <w:pPr>
        <w:pStyle w:val="ListParagraph"/>
        <w:ind w:right="90"/>
        <w:rPr>
          <w:rFonts w:cs="Arial"/>
          <w:color w:val="000000" w:themeColor="text1"/>
          <w:shd w:val="clear" w:color="auto" w:fill="FFFFFF"/>
        </w:rPr>
      </w:pPr>
    </w:p>
    <w:p w14:paraId="1124F60E" w14:textId="519052EF" w:rsidR="00321199" w:rsidRPr="00B33A7B" w:rsidRDefault="129922E8" w:rsidP="00993D09">
      <w:pPr>
        <w:pStyle w:val="ListParagraph"/>
        <w:numPr>
          <w:ilvl w:val="0"/>
          <w:numId w:val="2"/>
        </w:numPr>
        <w:ind w:right="90"/>
        <w:rPr>
          <w:rFonts w:cs="Arial"/>
          <w:color w:val="000000" w:themeColor="text1"/>
          <w:shd w:val="clear" w:color="auto" w:fill="FFFFFF"/>
        </w:rPr>
      </w:pPr>
      <w:r w:rsidRPr="00B33A7B">
        <w:rPr>
          <w:rFonts w:cs="Arial"/>
          <w:color w:val="000000" w:themeColor="text1"/>
          <w:shd w:val="clear" w:color="auto" w:fill="FFFFFF"/>
        </w:rPr>
        <w:t xml:space="preserve">“Program” means </w:t>
      </w:r>
      <w:r w:rsidR="4EA5DF49" w:rsidRPr="00B33A7B">
        <w:t>the Infill Infrastructure Grant Program of 2019 as implemented by these Guidelines and by Section 206 of the IIG-2007 Guidelines</w:t>
      </w:r>
      <w:r w:rsidRPr="00B33A7B">
        <w:rPr>
          <w:rFonts w:cs="Arial"/>
          <w:color w:val="000000" w:themeColor="text1"/>
          <w:shd w:val="clear" w:color="auto" w:fill="FFFFFF"/>
        </w:rPr>
        <w:t>.</w:t>
      </w:r>
    </w:p>
    <w:p w14:paraId="52001F9F" w14:textId="77777777" w:rsidR="00321199" w:rsidRPr="00B33A7B" w:rsidRDefault="00321199" w:rsidP="005550B3">
      <w:pPr>
        <w:pStyle w:val="ListParagraph"/>
        <w:ind w:right="90"/>
        <w:rPr>
          <w:rFonts w:cs="Arial"/>
          <w:color w:val="000000" w:themeColor="text1"/>
          <w:shd w:val="clear" w:color="auto" w:fill="FFFFFF"/>
        </w:rPr>
      </w:pPr>
    </w:p>
    <w:p w14:paraId="0C54BB65" w14:textId="3ECC4B0A" w:rsidR="008F06D1" w:rsidRPr="00B33A7B" w:rsidRDefault="3119C659" w:rsidP="00993D09">
      <w:pPr>
        <w:pStyle w:val="ListParagraph"/>
        <w:numPr>
          <w:ilvl w:val="0"/>
          <w:numId w:val="2"/>
        </w:numPr>
        <w:ind w:right="90"/>
        <w:rPr>
          <w:rFonts w:cs="Arial"/>
          <w:color w:val="000000" w:themeColor="text1"/>
          <w:shd w:val="clear" w:color="auto" w:fill="FFFFFF"/>
        </w:rPr>
      </w:pPr>
      <w:r w:rsidRPr="00B33A7B">
        <w:rPr>
          <w:rFonts w:cs="Arial"/>
          <w:color w:val="000000" w:themeColor="text1"/>
          <w:shd w:val="clear" w:color="auto" w:fill="FFFFFF"/>
        </w:rPr>
        <w:t xml:space="preserve">“Prohousing Designation Program” means the program administered by the Department, pursuant to </w:t>
      </w:r>
      <w:r w:rsidR="1B26E2C0" w:rsidRPr="00B33A7B">
        <w:rPr>
          <w:rFonts w:cs="Arial"/>
          <w:color w:val="000000" w:themeColor="text1"/>
          <w:shd w:val="clear" w:color="auto" w:fill="FFFFFF"/>
        </w:rPr>
        <w:t>GC</w:t>
      </w:r>
      <w:r w:rsidRPr="00B33A7B">
        <w:rPr>
          <w:rFonts w:cs="Arial"/>
          <w:color w:val="000000" w:themeColor="text1"/>
          <w:shd w:val="clear" w:color="auto" w:fill="FFFFFF"/>
        </w:rPr>
        <w:t xml:space="preserve"> </w:t>
      </w:r>
      <w:r w:rsidR="73302D43" w:rsidRPr="00B33A7B">
        <w:rPr>
          <w:rFonts w:cs="Arial"/>
          <w:color w:val="000000" w:themeColor="text1"/>
          <w:shd w:val="clear" w:color="auto" w:fill="FFFFFF"/>
        </w:rPr>
        <w:t>S</w:t>
      </w:r>
      <w:r w:rsidRPr="00B33A7B">
        <w:rPr>
          <w:rFonts w:cs="Arial"/>
          <w:color w:val="000000" w:themeColor="text1"/>
          <w:shd w:val="clear" w:color="auto" w:fill="FFFFFF"/>
        </w:rPr>
        <w:t xml:space="preserve">ection 65589.9, and </w:t>
      </w:r>
      <w:r w:rsidR="55983421" w:rsidRPr="00B33A7B">
        <w:rPr>
          <w:rFonts w:cs="Arial"/>
          <w:color w:val="000000" w:themeColor="text1"/>
          <w:shd w:val="clear" w:color="auto" w:fill="FFFFFF"/>
        </w:rPr>
        <w:t>CCR</w:t>
      </w:r>
      <w:r w:rsidRPr="00B33A7B">
        <w:rPr>
          <w:rFonts w:cs="Arial"/>
          <w:color w:val="000000" w:themeColor="text1"/>
          <w:shd w:val="clear" w:color="auto" w:fill="FFFFFF"/>
        </w:rPr>
        <w:t xml:space="preserve">, Title 25, </w:t>
      </w:r>
      <w:r w:rsidR="73302D43" w:rsidRPr="00B33A7B">
        <w:rPr>
          <w:rFonts w:cs="Arial"/>
          <w:color w:val="000000" w:themeColor="text1"/>
          <w:shd w:val="clear" w:color="auto" w:fill="FFFFFF"/>
        </w:rPr>
        <w:t xml:space="preserve">Sections </w:t>
      </w:r>
      <w:r w:rsidRPr="00B33A7B">
        <w:rPr>
          <w:rFonts w:cs="Arial"/>
          <w:color w:val="000000" w:themeColor="text1"/>
          <w:shd w:val="clear" w:color="auto" w:fill="FFFFFF"/>
        </w:rPr>
        <w:t>6600 through 6607.</w:t>
      </w:r>
    </w:p>
    <w:p w14:paraId="05B494F0" w14:textId="77777777" w:rsidR="006B7097" w:rsidRPr="00B33A7B" w:rsidRDefault="006B7097" w:rsidP="006B7097">
      <w:pPr>
        <w:pStyle w:val="ListParagraph"/>
        <w:rPr>
          <w:rFonts w:cs="Arial"/>
          <w:color w:val="000000" w:themeColor="text1"/>
          <w:shd w:val="clear" w:color="auto" w:fill="FFFFFF"/>
        </w:rPr>
      </w:pPr>
    </w:p>
    <w:p w14:paraId="7DE9998C" w14:textId="58330728" w:rsidR="006B7097" w:rsidRPr="00B33A7B" w:rsidRDefault="006B7097" w:rsidP="00993D09">
      <w:pPr>
        <w:pStyle w:val="ListParagraph"/>
        <w:numPr>
          <w:ilvl w:val="0"/>
          <w:numId w:val="2"/>
        </w:numPr>
        <w:ind w:right="90"/>
        <w:rPr>
          <w:rFonts w:cs="Arial"/>
          <w:color w:val="000000" w:themeColor="text1"/>
          <w:shd w:val="clear" w:color="auto" w:fill="FFFFFF"/>
        </w:rPr>
      </w:pPr>
      <w:r w:rsidRPr="00B33A7B">
        <w:rPr>
          <w:rFonts w:cs="Arial"/>
          <w:color w:val="000000" w:themeColor="text1"/>
        </w:rPr>
        <w:t xml:space="preserve">“Project” or “Capital Improvement Project” </w:t>
      </w:r>
      <w:r w:rsidR="00065880" w:rsidRPr="00B33A7B">
        <w:rPr>
          <w:rFonts w:cs="Arial"/>
          <w:color w:val="000000" w:themeColor="text1"/>
        </w:rPr>
        <w:t xml:space="preserve">or “CIP” </w:t>
      </w:r>
      <w:r w:rsidR="00065880" w:rsidRPr="00B33A7B">
        <w:t>means the construction, Rehabilitation, demolition</w:t>
      </w:r>
      <w:r w:rsidR="009304D4" w:rsidRPr="00B33A7B">
        <w:t>,</w:t>
      </w:r>
      <w:r w:rsidR="00065880" w:rsidRPr="00B33A7B">
        <w:t xml:space="preserve"> </w:t>
      </w:r>
      <w:r w:rsidR="00EE22C9" w:rsidRPr="00B33A7B">
        <w:rPr>
          <w:rFonts w:cs="Arial"/>
          <w:color w:val="000000" w:themeColor="text1"/>
        </w:rPr>
        <w:t>relocation, preservation, acquisition, or other physical improvement of a Capital Asset that is an integral part of, or necessary to facilitate the development of, a Qualifying Infill Project or Qualifying Infill Area</w:t>
      </w:r>
      <w:r w:rsidR="00065880" w:rsidRPr="00B33A7B">
        <w:t>. Projects that may be funded under the Program include, but are not limited to, those described in Section 200 of these Guidelines.</w:t>
      </w:r>
    </w:p>
    <w:p w14:paraId="4583CD24" w14:textId="77777777" w:rsidR="001A13FA" w:rsidRPr="00B33A7B" w:rsidRDefault="001A13FA" w:rsidP="001A13FA">
      <w:pPr>
        <w:ind w:right="90"/>
        <w:rPr>
          <w:rFonts w:cs="Arial"/>
          <w:color w:val="000000" w:themeColor="text1"/>
          <w:shd w:val="clear" w:color="auto" w:fill="FFFFFF"/>
        </w:rPr>
      </w:pPr>
    </w:p>
    <w:p w14:paraId="4AAB8155" w14:textId="77777777" w:rsidR="00307781" w:rsidRPr="00B33A7B" w:rsidRDefault="129922E8" w:rsidP="00307781">
      <w:pPr>
        <w:pStyle w:val="ListParagraph"/>
        <w:numPr>
          <w:ilvl w:val="0"/>
          <w:numId w:val="2"/>
        </w:numPr>
        <w:ind w:right="90"/>
        <w:rPr>
          <w:rFonts w:cs="Arial"/>
          <w:color w:val="000000" w:themeColor="text1"/>
          <w:shd w:val="clear" w:color="auto" w:fill="FFFFFF"/>
        </w:rPr>
      </w:pPr>
      <w:r w:rsidRPr="00B33A7B">
        <w:rPr>
          <w:rFonts w:cs="Arial"/>
          <w:color w:val="000000" w:themeColor="text1"/>
          <w:shd w:val="clear" w:color="auto" w:fill="FFFFFF"/>
        </w:rPr>
        <w:t>“</w:t>
      </w:r>
      <w:r w:rsidR="32A763EA" w:rsidRPr="00B33A7B">
        <w:rPr>
          <w:rFonts w:cs="Arial"/>
          <w:color w:val="000000" w:themeColor="text1"/>
          <w:shd w:val="clear" w:color="auto" w:fill="FFFFFF"/>
        </w:rPr>
        <w:t>Qualifying Infill Area</w:t>
      </w:r>
      <w:r w:rsidRPr="00B33A7B">
        <w:rPr>
          <w:rFonts w:cs="Arial"/>
          <w:color w:val="000000" w:themeColor="text1"/>
          <w:shd w:val="clear" w:color="auto" w:fill="FFFFFF"/>
        </w:rPr>
        <w:t xml:space="preserve">” means an area designated in the Program application that meets the criteria for a </w:t>
      </w:r>
      <w:r w:rsidR="32A763EA" w:rsidRPr="00B33A7B">
        <w:rPr>
          <w:rFonts w:cs="Arial"/>
          <w:color w:val="000000" w:themeColor="text1"/>
          <w:shd w:val="clear" w:color="auto" w:fill="FFFFFF"/>
        </w:rPr>
        <w:t>Qualifying Infill Area</w:t>
      </w:r>
      <w:r w:rsidRPr="00B33A7B">
        <w:rPr>
          <w:rFonts w:cs="Arial"/>
          <w:color w:val="000000" w:themeColor="text1"/>
          <w:shd w:val="clear" w:color="auto" w:fill="FFFFFF"/>
        </w:rPr>
        <w:t xml:space="preserve"> set forth in Section </w:t>
      </w:r>
      <w:r w:rsidR="44B496CF" w:rsidRPr="00B33A7B">
        <w:rPr>
          <w:rFonts w:cs="Arial"/>
          <w:color w:val="000000" w:themeColor="text1"/>
          <w:shd w:val="clear" w:color="auto" w:fill="FFFFFF"/>
        </w:rPr>
        <w:t>200</w:t>
      </w:r>
      <w:r w:rsidRPr="00B33A7B">
        <w:rPr>
          <w:rFonts w:cs="Arial"/>
          <w:color w:val="000000" w:themeColor="text1"/>
          <w:shd w:val="clear" w:color="auto" w:fill="FFFFFF"/>
        </w:rPr>
        <w:t xml:space="preserve">. </w:t>
      </w:r>
    </w:p>
    <w:p w14:paraId="308D78E4" w14:textId="77777777" w:rsidR="00307781" w:rsidRPr="00B33A7B" w:rsidRDefault="00307781" w:rsidP="00307781">
      <w:pPr>
        <w:pStyle w:val="ListParagraph"/>
        <w:rPr>
          <w:rFonts w:cs="Arial"/>
          <w:color w:val="000000" w:themeColor="text1"/>
          <w:shd w:val="clear" w:color="auto" w:fill="FFFFFF"/>
        </w:rPr>
      </w:pPr>
    </w:p>
    <w:p w14:paraId="0498D2D0" w14:textId="0C5597C1" w:rsidR="00321199" w:rsidRPr="00B33A7B" w:rsidRDefault="129922E8" w:rsidP="00307781">
      <w:pPr>
        <w:pStyle w:val="ListParagraph"/>
        <w:numPr>
          <w:ilvl w:val="0"/>
          <w:numId w:val="2"/>
        </w:numPr>
        <w:ind w:right="90" w:hanging="810"/>
        <w:rPr>
          <w:rFonts w:cs="Arial"/>
          <w:color w:val="000000" w:themeColor="text1"/>
          <w:shd w:val="clear" w:color="auto" w:fill="FFFFFF"/>
        </w:rPr>
      </w:pPr>
      <w:r w:rsidRPr="00B33A7B">
        <w:rPr>
          <w:rFonts w:cs="Arial"/>
          <w:color w:val="000000" w:themeColor="text1"/>
          <w:shd w:val="clear" w:color="auto" w:fill="FFFFFF"/>
        </w:rPr>
        <w:t>“</w:t>
      </w:r>
      <w:r w:rsidR="1DBD202B" w:rsidRPr="00B33A7B">
        <w:rPr>
          <w:rFonts w:cs="Arial"/>
          <w:color w:val="000000" w:themeColor="text1"/>
          <w:shd w:val="clear" w:color="auto" w:fill="FFFFFF"/>
        </w:rPr>
        <w:t>Qualifying Infill Project</w:t>
      </w:r>
      <w:r w:rsidRPr="00B33A7B">
        <w:rPr>
          <w:rFonts w:cs="Arial"/>
          <w:color w:val="000000" w:themeColor="text1"/>
          <w:shd w:val="clear" w:color="auto" w:fill="FFFFFF"/>
        </w:rPr>
        <w:t xml:space="preserve">” means a residential or mixed-use residential development project designated in the Program application that meets the criteria for a </w:t>
      </w:r>
      <w:r w:rsidR="1DBD202B" w:rsidRPr="00B33A7B">
        <w:rPr>
          <w:rFonts w:cs="Arial"/>
          <w:color w:val="000000" w:themeColor="text1"/>
          <w:shd w:val="clear" w:color="auto" w:fill="FFFFFF"/>
        </w:rPr>
        <w:t>Qualifying Infill Project</w:t>
      </w:r>
      <w:r w:rsidRPr="00B33A7B">
        <w:rPr>
          <w:rFonts w:cs="Arial"/>
          <w:color w:val="000000" w:themeColor="text1"/>
          <w:shd w:val="clear" w:color="auto" w:fill="FFFFFF"/>
        </w:rPr>
        <w:t xml:space="preserve"> set forth in Section </w:t>
      </w:r>
      <w:r w:rsidR="1289D2FB" w:rsidRPr="00B33A7B">
        <w:rPr>
          <w:rFonts w:cs="Arial"/>
          <w:color w:val="000000" w:themeColor="text1"/>
          <w:shd w:val="clear" w:color="auto" w:fill="FFFFFF"/>
        </w:rPr>
        <w:t>200</w:t>
      </w:r>
      <w:r w:rsidRPr="00B33A7B">
        <w:rPr>
          <w:rFonts w:cs="Arial"/>
          <w:color w:val="000000" w:themeColor="text1"/>
          <w:shd w:val="clear" w:color="auto" w:fill="FFFFFF"/>
        </w:rPr>
        <w:t>.</w:t>
      </w:r>
    </w:p>
    <w:p w14:paraId="75DC2A62" w14:textId="77777777" w:rsidR="00321199" w:rsidRPr="00B33A7B" w:rsidRDefault="00321199" w:rsidP="005550B3">
      <w:pPr>
        <w:pStyle w:val="ListParagraph"/>
        <w:ind w:right="90"/>
        <w:rPr>
          <w:rFonts w:cs="Arial"/>
          <w:color w:val="000000" w:themeColor="text1"/>
          <w:shd w:val="clear" w:color="auto" w:fill="FFFFFF"/>
        </w:rPr>
      </w:pPr>
    </w:p>
    <w:p w14:paraId="1A52F3FB" w14:textId="2F540EF9" w:rsidR="00321199" w:rsidRPr="00B33A7B" w:rsidRDefault="129922E8" w:rsidP="001F7581">
      <w:pPr>
        <w:pStyle w:val="ListParagraph"/>
        <w:numPr>
          <w:ilvl w:val="0"/>
          <w:numId w:val="2"/>
        </w:numPr>
        <w:ind w:right="90" w:hanging="810"/>
        <w:rPr>
          <w:rFonts w:cs="Arial"/>
          <w:color w:val="000000" w:themeColor="text1"/>
          <w:shd w:val="clear" w:color="auto" w:fill="FFFFFF"/>
        </w:rPr>
      </w:pPr>
      <w:r w:rsidRPr="00B33A7B">
        <w:rPr>
          <w:rFonts w:cs="Arial"/>
          <w:color w:val="000000" w:themeColor="text1"/>
          <w:shd w:val="clear" w:color="auto" w:fill="FFFFFF"/>
        </w:rPr>
        <w:lastRenderedPageBreak/>
        <w:t>“Recipient” means the</w:t>
      </w:r>
      <w:r w:rsidR="744CADE6" w:rsidRPr="00B33A7B">
        <w:rPr>
          <w:rFonts w:cs="Arial"/>
          <w:color w:val="000000" w:themeColor="text1"/>
          <w:shd w:val="clear" w:color="auto" w:fill="FFFFFF"/>
        </w:rPr>
        <w:t xml:space="preserve"> </w:t>
      </w:r>
      <w:r w:rsidR="5DA6DE66" w:rsidRPr="00B33A7B">
        <w:rPr>
          <w:rFonts w:cs="Arial"/>
          <w:color w:val="000000" w:themeColor="text1"/>
          <w:shd w:val="clear" w:color="auto" w:fill="FFFFFF"/>
        </w:rPr>
        <w:t>Eligible Applicant</w:t>
      </w:r>
      <w:r w:rsidR="21659531" w:rsidRPr="00B33A7B">
        <w:rPr>
          <w:rFonts w:cs="Arial"/>
          <w:color w:val="000000" w:themeColor="text1"/>
          <w:shd w:val="clear" w:color="auto" w:fill="FFFFFF"/>
        </w:rPr>
        <w:t xml:space="preserve"> </w:t>
      </w:r>
      <w:r w:rsidR="7471F793" w:rsidRPr="00B33A7B">
        <w:rPr>
          <w:rFonts w:cs="Arial"/>
          <w:color w:val="000000" w:themeColor="text1"/>
          <w:shd w:val="clear" w:color="auto" w:fill="FFFFFF"/>
        </w:rPr>
        <w:t xml:space="preserve">as defined in section 201 of these Guidelines </w:t>
      </w:r>
      <w:r w:rsidRPr="00B33A7B">
        <w:rPr>
          <w:rFonts w:cs="Arial"/>
          <w:color w:val="000000" w:themeColor="text1"/>
          <w:shd w:val="clear" w:color="auto" w:fill="FFFFFF"/>
        </w:rPr>
        <w:t xml:space="preserve">receiving a commitment of Program funds for an approved </w:t>
      </w:r>
      <w:r w:rsidR="744CADE6" w:rsidRPr="00B33A7B">
        <w:rPr>
          <w:rFonts w:cs="Arial"/>
          <w:color w:val="000000" w:themeColor="text1"/>
          <w:shd w:val="clear" w:color="auto" w:fill="FFFFFF"/>
        </w:rPr>
        <w:t>Capital Improvement Project</w:t>
      </w:r>
      <w:r w:rsidRPr="00B33A7B">
        <w:rPr>
          <w:rFonts w:cs="Arial"/>
          <w:color w:val="000000" w:themeColor="text1"/>
          <w:shd w:val="clear" w:color="auto" w:fill="FFFFFF"/>
        </w:rPr>
        <w:t>.</w:t>
      </w:r>
    </w:p>
    <w:p w14:paraId="572B4FDC" w14:textId="5284724A" w:rsidR="00892817" w:rsidRPr="00B33A7B" w:rsidRDefault="00892817" w:rsidP="00892817">
      <w:pPr>
        <w:pStyle w:val="ListParagraph"/>
        <w:rPr>
          <w:rFonts w:cs="Arial"/>
          <w:color w:val="000000" w:themeColor="text1"/>
          <w:shd w:val="clear" w:color="auto" w:fill="FFFFFF"/>
        </w:rPr>
      </w:pPr>
    </w:p>
    <w:p w14:paraId="23DE17A3" w14:textId="4EE496D8" w:rsidR="009E652C" w:rsidRPr="00B33A7B" w:rsidRDefault="35E90265" w:rsidP="001F7581">
      <w:pPr>
        <w:pStyle w:val="ListParagraph"/>
        <w:numPr>
          <w:ilvl w:val="0"/>
          <w:numId w:val="2"/>
        </w:numPr>
        <w:ind w:right="-3" w:hanging="810"/>
      </w:pPr>
      <w:r w:rsidRPr="00B33A7B">
        <w:t>“</w:t>
      </w:r>
      <w:r w:rsidR="1B0C9116" w:rsidRPr="00B33A7B">
        <w:t>Regulatory Agreement</w:t>
      </w:r>
      <w:r w:rsidRPr="00B33A7B">
        <w:t>”</w:t>
      </w:r>
      <w:r w:rsidR="1B0C9116" w:rsidRPr="00B33A7B">
        <w:t xml:space="preserve"> means the written agreement between the Department </w:t>
      </w:r>
      <w:r w:rsidR="1AB33DD7" w:rsidRPr="00B33A7B">
        <w:t xml:space="preserve">(or other public entity) </w:t>
      </w:r>
      <w:r w:rsidR="1B0C9116" w:rsidRPr="00B33A7B">
        <w:t xml:space="preserve">and the Sponsor </w:t>
      </w:r>
      <w:r w:rsidR="333FE9D4" w:rsidRPr="00B33A7B">
        <w:t xml:space="preserve">in connection </w:t>
      </w:r>
      <w:r w:rsidR="47AED978" w:rsidRPr="00B33A7B">
        <w:t>with the Qualifying Infill Project. Such Regulatory Agreement is</w:t>
      </w:r>
      <w:r w:rsidR="1B0C9116" w:rsidRPr="00B33A7B">
        <w:t xml:space="preserve"> recorded as a lien on the </w:t>
      </w:r>
      <w:r w:rsidR="47AED978" w:rsidRPr="00B33A7B">
        <w:t>Qualifying Infill Project</w:t>
      </w:r>
      <w:r w:rsidR="1B0C9116" w:rsidRPr="00B33A7B">
        <w:t xml:space="preserve"> to control the use and maintenance of the </w:t>
      </w:r>
      <w:r w:rsidR="47AED978" w:rsidRPr="00B33A7B">
        <w:t xml:space="preserve">Qualifying Infill </w:t>
      </w:r>
      <w:r w:rsidR="1B0C9116" w:rsidRPr="00B33A7B">
        <w:t>Project, including restricting the rent and occupancy of the Assisted Units.</w:t>
      </w:r>
    </w:p>
    <w:p w14:paraId="3E21704D" w14:textId="77777777" w:rsidR="009E652C" w:rsidRPr="00B33A7B" w:rsidRDefault="009E652C" w:rsidP="00892817">
      <w:pPr>
        <w:pStyle w:val="ListParagraph"/>
        <w:rPr>
          <w:rFonts w:cs="Arial"/>
          <w:color w:val="000000" w:themeColor="text1"/>
          <w:shd w:val="clear" w:color="auto" w:fill="FFFFFF"/>
        </w:rPr>
      </w:pPr>
    </w:p>
    <w:p w14:paraId="106A4024" w14:textId="45B66FD1" w:rsidR="00892817" w:rsidRPr="00B33A7B" w:rsidRDefault="396981A1" w:rsidP="001F7581">
      <w:pPr>
        <w:pStyle w:val="ListParagraph"/>
        <w:numPr>
          <w:ilvl w:val="0"/>
          <w:numId w:val="2"/>
        </w:numPr>
        <w:ind w:right="-3" w:hanging="810"/>
      </w:pPr>
      <w:r w:rsidRPr="00B33A7B">
        <w:t xml:space="preserve">"Rehabilitation" </w:t>
      </w:r>
      <w:r w:rsidR="4B286B42" w:rsidRPr="00B33A7B">
        <w:t xml:space="preserve">is defined in line with </w:t>
      </w:r>
      <w:r w:rsidR="0B33FE3D" w:rsidRPr="00B33A7B">
        <w:t>S</w:t>
      </w:r>
      <w:r w:rsidRPr="00B33A7B">
        <w:t xml:space="preserve">ection 50096 of the </w:t>
      </w:r>
      <w:r w:rsidR="52FF5916" w:rsidRPr="00B33A7B">
        <w:t>HSC</w:t>
      </w:r>
      <w:r w:rsidRPr="00B33A7B">
        <w:t>, and includes improvements and repairs made to a residential structure acquired for the purpose of preserving its affordability.</w:t>
      </w:r>
    </w:p>
    <w:p w14:paraId="02F328F5" w14:textId="77777777" w:rsidR="003359B5" w:rsidRPr="00B33A7B" w:rsidRDefault="003359B5" w:rsidP="003359B5">
      <w:pPr>
        <w:pStyle w:val="ListParagraph"/>
      </w:pPr>
    </w:p>
    <w:p w14:paraId="01F97185" w14:textId="245AB61B" w:rsidR="0091288E" w:rsidRPr="00B33A7B" w:rsidRDefault="105804EE" w:rsidP="001F7581">
      <w:pPr>
        <w:pStyle w:val="ListParagraph"/>
        <w:numPr>
          <w:ilvl w:val="0"/>
          <w:numId w:val="2"/>
        </w:numPr>
        <w:ind w:right="-3" w:hanging="810"/>
      </w:pPr>
      <w:r w:rsidRPr="00B33A7B">
        <w:t xml:space="preserve">“Rent” means the </w:t>
      </w:r>
      <w:r w:rsidR="2DAC274A" w:rsidRPr="00B33A7B">
        <w:t>same as “gross Rent,” as defined in accordance with the Internal Revenue Code (IRC) (26 USC 42(g)(2)(B)). It includes all mandatory charges, other than deposits paid by the tenant, for use and occupancy of an Assisted Unit, plus a utility allowance established in accordance with TCAC regulations, if applicable. For units assisted under the Housing Choice Voucher (HCV) or similar rental or operating subsidy program, Rent includes only the tenant contribution portion of the contract Rent.</w:t>
      </w:r>
    </w:p>
    <w:p w14:paraId="5D04061B" w14:textId="77777777" w:rsidR="0091288E" w:rsidRPr="00B33A7B" w:rsidRDefault="0091288E" w:rsidP="0091288E">
      <w:pPr>
        <w:ind w:right="-3"/>
      </w:pPr>
    </w:p>
    <w:p w14:paraId="34177513" w14:textId="6C689BFC" w:rsidR="003359B5" w:rsidRPr="00B33A7B" w:rsidRDefault="7A29384F" w:rsidP="001F7581">
      <w:pPr>
        <w:pStyle w:val="ListParagraph"/>
        <w:numPr>
          <w:ilvl w:val="0"/>
          <w:numId w:val="2"/>
        </w:numPr>
        <w:ind w:right="-3" w:hanging="810"/>
      </w:pPr>
      <w:r w:rsidRPr="00B33A7B">
        <w:t xml:space="preserve">Rental Housing Development” means a </w:t>
      </w:r>
      <w:r w:rsidR="6A1FDB2B" w:rsidRPr="00B33A7B">
        <w:t>structure or set of structures with common financing, ownership, and management, and which collectively contain five or more dwelling units, including Efficiency</w:t>
      </w:r>
      <w:r w:rsidR="6A1FDB2B" w:rsidRPr="00B33A7B">
        <w:rPr>
          <w:spacing w:val="1"/>
        </w:rPr>
        <w:t xml:space="preserve"> </w:t>
      </w:r>
      <w:r w:rsidR="6A1FDB2B" w:rsidRPr="00B33A7B">
        <w:t>Units. No more than one of the dwelling units may be occupied as a primary residence by a</w:t>
      </w:r>
      <w:r w:rsidR="6A1FDB2B" w:rsidRPr="00B33A7B">
        <w:rPr>
          <w:spacing w:val="1"/>
        </w:rPr>
        <w:t xml:space="preserve"> </w:t>
      </w:r>
      <w:r w:rsidR="6A1FDB2B" w:rsidRPr="00B33A7B">
        <w:t xml:space="preserve">person or household who is the owner of the structure or structures. </w:t>
      </w:r>
      <w:proofErr w:type="gramStart"/>
      <w:r w:rsidR="6A1FDB2B" w:rsidRPr="00B33A7B">
        <w:t>For the purpose of</w:t>
      </w:r>
      <w:proofErr w:type="gramEnd"/>
      <w:r w:rsidR="6A1FDB2B" w:rsidRPr="00B33A7B">
        <w:t xml:space="preserve"> these </w:t>
      </w:r>
      <w:r w:rsidR="0BE712FC" w:rsidRPr="00B33A7B">
        <w:t>G</w:t>
      </w:r>
      <w:r w:rsidR="6A1FDB2B" w:rsidRPr="00B33A7B">
        <w:t xml:space="preserve">uidelines, “Rental Housing Development” does not include any “health facility” as defined by </w:t>
      </w:r>
      <w:r w:rsidR="52FF5916" w:rsidRPr="00B33A7B">
        <w:t>HSC</w:t>
      </w:r>
      <w:r w:rsidR="6A1FDB2B" w:rsidRPr="00B33A7B">
        <w:rPr>
          <w:spacing w:val="1"/>
        </w:rPr>
        <w:t xml:space="preserve"> </w:t>
      </w:r>
      <w:r w:rsidR="6A1FDB2B" w:rsidRPr="00B33A7B">
        <w:t>Section 1250 or any “alcoholism or drug abuse recovery or treatment facility” as</w:t>
      </w:r>
      <w:r w:rsidR="6A1FDB2B" w:rsidRPr="00B33A7B">
        <w:rPr>
          <w:spacing w:val="1"/>
        </w:rPr>
        <w:t xml:space="preserve"> </w:t>
      </w:r>
      <w:r w:rsidR="6A1FDB2B" w:rsidRPr="00B33A7B">
        <w:t xml:space="preserve">defined in </w:t>
      </w:r>
      <w:r w:rsidR="52FF5916" w:rsidRPr="00B33A7B">
        <w:t>HSC</w:t>
      </w:r>
      <w:r w:rsidR="6A1FDB2B" w:rsidRPr="00B33A7B">
        <w:t xml:space="preserve"> </w:t>
      </w:r>
      <w:r w:rsidR="6A1FDB2B" w:rsidRPr="00B33A7B">
        <w:rPr>
          <w:spacing w:val="-2"/>
        </w:rPr>
        <w:t>Section</w:t>
      </w:r>
      <w:r w:rsidR="6A1FDB2B" w:rsidRPr="00B33A7B">
        <w:rPr>
          <w:spacing w:val="-1"/>
        </w:rPr>
        <w:t xml:space="preserve"> </w:t>
      </w:r>
      <w:r w:rsidR="6A1FDB2B" w:rsidRPr="00B33A7B">
        <w:t>11834.02</w:t>
      </w:r>
      <w:r w:rsidR="6A1FDB2B" w:rsidRPr="00B33A7B">
        <w:rPr>
          <w:spacing w:val="1"/>
        </w:rPr>
        <w:t xml:space="preserve">. </w:t>
      </w:r>
      <w:r w:rsidR="6A1FDB2B" w:rsidRPr="00B33A7B">
        <w:t>A Rental Housing Development includes, without limitation, the real property, the improvements located thereon, and all fixtures and appurtenances related thereto.</w:t>
      </w:r>
    </w:p>
    <w:p w14:paraId="5484E075" w14:textId="77777777" w:rsidR="00B7539B" w:rsidRPr="00B33A7B" w:rsidRDefault="00B7539B" w:rsidP="00B7539B">
      <w:pPr>
        <w:pStyle w:val="ListParagraph"/>
      </w:pPr>
    </w:p>
    <w:p w14:paraId="256A8835" w14:textId="7E971E8C" w:rsidR="00B7539B" w:rsidRPr="00B33A7B" w:rsidRDefault="2F6AF556" w:rsidP="00993D09">
      <w:pPr>
        <w:pStyle w:val="ListParagraph"/>
        <w:numPr>
          <w:ilvl w:val="0"/>
          <w:numId w:val="2"/>
        </w:numPr>
        <w:ind w:right="-3"/>
      </w:pPr>
      <w:r w:rsidRPr="00B33A7B">
        <w:t>“Restricted</w:t>
      </w:r>
      <w:r w:rsidRPr="00B33A7B">
        <w:rPr>
          <w:spacing w:val="-2"/>
        </w:rPr>
        <w:t xml:space="preserve"> </w:t>
      </w:r>
      <w:r w:rsidRPr="00B33A7B">
        <w:t>Unit”</w:t>
      </w:r>
      <w:r w:rsidRPr="00B33A7B">
        <w:rPr>
          <w:spacing w:val="-3"/>
        </w:rPr>
        <w:t xml:space="preserve"> </w:t>
      </w:r>
      <w:r w:rsidRPr="00B33A7B">
        <w:t>means</w:t>
      </w:r>
      <w:r w:rsidRPr="00B33A7B">
        <w:rPr>
          <w:spacing w:val="-3"/>
        </w:rPr>
        <w:t xml:space="preserve"> </w:t>
      </w:r>
      <w:r w:rsidRPr="00B33A7B">
        <w:t>the</w:t>
      </w:r>
      <w:r w:rsidRPr="00B33A7B">
        <w:rPr>
          <w:spacing w:val="-1"/>
        </w:rPr>
        <w:t xml:space="preserve"> </w:t>
      </w:r>
      <w:r w:rsidRPr="00B33A7B">
        <w:t>same</w:t>
      </w:r>
      <w:r w:rsidRPr="00B33A7B">
        <w:rPr>
          <w:spacing w:val="-2"/>
        </w:rPr>
        <w:t xml:space="preserve"> </w:t>
      </w:r>
      <w:r w:rsidRPr="00B33A7B">
        <w:t>as</w:t>
      </w:r>
      <w:r w:rsidRPr="00B33A7B">
        <w:rPr>
          <w:spacing w:val="-5"/>
        </w:rPr>
        <w:t xml:space="preserve"> </w:t>
      </w:r>
      <w:r w:rsidRPr="00B33A7B">
        <w:t>that</w:t>
      </w:r>
      <w:r w:rsidRPr="00B33A7B">
        <w:rPr>
          <w:spacing w:val="-2"/>
        </w:rPr>
        <w:t xml:space="preserve"> </w:t>
      </w:r>
      <w:r w:rsidRPr="00B33A7B">
        <w:t>term</w:t>
      </w:r>
      <w:r w:rsidRPr="00B33A7B">
        <w:rPr>
          <w:spacing w:val="-1"/>
        </w:rPr>
        <w:t xml:space="preserve"> </w:t>
      </w:r>
      <w:r w:rsidRPr="00B33A7B">
        <w:t>is</w:t>
      </w:r>
      <w:r w:rsidRPr="00B33A7B">
        <w:rPr>
          <w:spacing w:val="-2"/>
        </w:rPr>
        <w:t xml:space="preserve"> </w:t>
      </w:r>
      <w:r w:rsidRPr="00B33A7B">
        <w:t>defined</w:t>
      </w:r>
      <w:r w:rsidRPr="00B33A7B">
        <w:rPr>
          <w:spacing w:val="-2"/>
        </w:rPr>
        <w:t xml:space="preserve"> </w:t>
      </w:r>
      <w:r w:rsidRPr="00B33A7B">
        <w:t>in</w:t>
      </w:r>
      <w:r w:rsidRPr="00B33A7B">
        <w:rPr>
          <w:spacing w:val="-2"/>
        </w:rPr>
        <w:t xml:space="preserve"> </w:t>
      </w:r>
      <w:r w:rsidRPr="00B33A7B">
        <w:t>UMR</w:t>
      </w:r>
      <w:r w:rsidRPr="00B33A7B">
        <w:rPr>
          <w:spacing w:val="-2"/>
        </w:rPr>
        <w:t xml:space="preserve"> </w:t>
      </w:r>
      <w:r w:rsidR="0B33FE3D" w:rsidRPr="00B33A7B">
        <w:t>S</w:t>
      </w:r>
      <w:r w:rsidRPr="00B33A7B">
        <w:t>ection</w:t>
      </w:r>
      <w:r w:rsidRPr="00B33A7B">
        <w:rPr>
          <w:spacing w:val="-4"/>
        </w:rPr>
        <w:t xml:space="preserve"> </w:t>
      </w:r>
      <w:r w:rsidRPr="00B33A7B">
        <w:t>8301</w:t>
      </w:r>
      <w:r w:rsidRPr="00B33A7B">
        <w:rPr>
          <w:spacing w:val="-1"/>
        </w:rPr>
        <w:t xml:space="preserve"> </w:t>
      </w:r>
      <w:r w:rsidRPr="00B33A7B">
        <w:t>excluding</w:t>
      </w:r>
      <w:r w:rsidRPr="00B33A7B">
        <w:rPr>
          <w:spacing w:val="-4"/>
        </w:rPr>
        <w:t xml:space="preserve"> </w:t>
      </w:r>
      <w:r w:rsidRPr="00B33A7B">
        <w:t>units</w:t>
      </w:r>
      <w:r w:rsidRPr="00B33A7B">
        <w:rPr>
          <w:spacing w:val="-64"/>
        </w:rPr>
        <w:t xml:space="preserve"> </w:t>
      </w:r>
      <w:r w:rsidRPr="00B33A7B">
        <w:t>restricted at levels above 60 percent of AMI.</w:t>
      </w:r>
    </w:p>
    <w:p w14:paraId="524D4DF1" w14:textId="77777777" w:rsidR="0075431D" w:rsidRPr="00B33A7B" w:rsidRDefault="0075431D" w:rsidP="00910F07">
      <w:pPr>
        <w:pStyle w:val="ListParagraph"/>
        <w:ind w:right="90"/>
        <w:rPr>
          <w:rFonts w:cs="Arial"/>
          <w:color w:val="000000" w:themeColor="text1"/>
          <w:shd w:val="clear" w:color="auto" w:fill="FFFFFF"/>
        </w:rPr>
      </w:pPr>
    </w:p>
    <w:p w14:paraId="2A257C72" w14:textId="7EEF130A" w:rsidR="00321199" w:rsidRPr="00B33A7B" w:rsidRDefault="129922E8" w:rsidP="00993D09">
      <w:pPr>
        <w:pStyle w:val="ListParagraph"/>
        <w:numPr>
          <w:ilvl w:val="0"/>
          <w:numId w:val="2"/>
        </w:numPr>
        <w:ind w:right="90"/>
        <w:rPr>
          <w:rFonts w:cs="Arial"/>
          <w:color w:val="000000" w:themeColor="text1"/>
          <w:shd w:val="clear" w:color="auto" w:fill="FFFFFF"/>
        </w:rPr>
      </w:pPr>
      <w:r w:rsidRPr="00B33A7B">
        <w:rPr>
          <w:rFonts w:cs="Arial"/>
          <w:color w:val="000000" w:themeColor="text1"/>
          <w:shd w:val="clear" w:color="auto" w:fill="FFFFFF"/>
        </w:rPr>
        <w:t xml:space="preserve">“Rural Area” has the meaning set forth in </w:t>
      </w:r>
      <w:r w:rsidR="52FF5916" w:rsidRPr="00B33A7B">
        <w:rPr>
          <w:rFonts w:cs="Arial"/>
          <w:color w:val="000000" w:themeColor="text1"/>
          <w:shd w:val="clear" w:color="auto" w:fill="FFFFFF"/>
        </w:rPr>
        <w:t>HSC</w:t>
      </w:r>
      <w:r w:rsidRPr="00B33A7B">
        <w:rPr>
          <w:rFonts w:cs="Arial"/>
          <w:color w:val="000000" w:themeColor="text1"/>
          <w:shd w:val="clear" w:color="auto" w:fill="FFFFFF"/>
        </w:rPr>
        <w:t xml:space="preserve"> </w:t>
      </w:r>
      <w:r w:rsidR="0B33FE3D" w:rsidRPr="00B33A7B">
        <w:rPr>
          <w:rFonts w:cs="Arial"/>
          <w:color w:val="000000" w:themeColor="text1"/>
          <w:shd w:val="clear" w:color="auto" w:fill="FFFFFF"/>
        </w:rPr>
        <w:t xml:space="preserve">Section </w:t>
      </w:r>
      <w:r w:rsidRPr="00B33A7B">
        <w:rPr>
          <w:rFonts w:cs="Arial"/>
          <w:color w:val="000000" w:themeColor="text1"/>
          <w:shd w:val="clear" w:color="auto" w:fill="FFFFFF"/>
        </w:rPr>
        <w:t xml:space="preserve">50199.21. </w:t>
      </w:r>
    </w:p>
    <w:p w14:paraId="22169AEF" w14:textId="77777777" w:rsidR="00691875" w:rsidRPr="00B33A7B" w:rsidRDefault="00691875" w:rsidP="00691875">
      <w:pPr>
        <w:pStyle w:val="ListParagraph"/>
      </w:pPr>
    </w:p>
    <w:p w14:paraId="40CA0B0C" w14:textId="38B34032" w:rsidR="00691875" w:rsidRPr="00B33A7B" w:rsidRDefault="251A9D6A" w:rsidP="00993D09">
      <w:pPr>
        <w:pStyle w:val="ListParagraph"/>
        <w:numPr>
          <w:ilvl w:val="0"/>
          <w:numId w:val="2"/>
        </w:numPr>
        <w:ind w:right="-3"/>
      </w:pPr>
      <w:r w:rsidRPr="00B33A7B">
        <w:t xml:space="preserve">“Senior” means a housing type meeting the requirements of </w:t>
      </w:r>
      <w:r w:rsidR="7A44B08F" w:rsidRPr="00B33A7B">
        <w:t xml:space="preserve">MHP </w:t>
      </w:r>
      <w:r w:rsidR="0BE712FC" w:rsidRPr="00B33A7B">
        <w:t>G</w:t>
      </w:r>
      <w:r w:rsidR="7A44B08F" w:rsidRPr="00B33A7B">
        <w:t xml:space="preserve">uidelines </w:t>
      </w:r>
      <w:r w:rsidRPr="00B33A7B">
        <w:t>Section 7302(e)(3).</w:t>
      </w:r>
    </w:p>
    <w:p w14:paraId="7F27E2D2" w14:textId="77777777" w:rsidR="00321199" w:rsidRPr="00B33A7B" w:rsidRDefault="00321199" w:rsidP="004076AF">
      <w:pPr>
        <w:pStyle w:val="ListParagraph"/>
        <w:ind w:right="90"/>
        <w:rPr>
          <w:rFonts w:cs="Arial"/>
          <w:color w:val="000000" w:themeColor="text1"/>
          <w:shd w:val="clear" w:color="auto" w:fill="FFFFFF"/>
        </w:rPr>
      </w:pPr>
    </w:p>
    <w:p w14:paraId="211425E6" w14:textId="500A2011" w:rsidR="00CF1725" w:rsidRPr="00B33A7B" w:rsidRDefault="0A9978A1" w:rsidP="00993D09">
      <w:pPr>
        <w:pStyle w:val="ListParagraph"/>
        <w:numPr>
          <w:ilvl w:val="0"/>
          <w:numId w:val="2"/>
        </w:numPr>
        <w:ind w:right="90"/>
        <w:rPr>
          <w:rFonts w:cs="Arial"/>
          <w:color w:val="000000" w:themeColor="text1"/>
          <w:shd w:val="clear" w:color="auto" w:fill="FFFFFF"/>
        </w:rPr>
      </w:pPr>
      <w:r w:rsidRPr="00B33A7B">
        <w:rPr>
          <w:rFonts w:cs="Arial"/>
          <w:color w:val="000000" w:themeColor="text1"/>
          <w:shd w:val="clear" w:color="auto" w:fill="FFFFFF"/>
        </w:rPr>
        <w:t xml:space="preserve">“Small Jurisdiction” </w:t>
      </w:r>
      <w:r w:rsidR="0932E138" w:rsidRPr="00B33A7B">
        <w:rPr>
          <w:rFonts w:cs="Arial"/>
          <w:color w:val="000000" w:themeColor="text1"/>
          <w:shd w:val="clear" w:color="auto" w:fill="FFFFFF"/>
        </w:rPr>
        <w:t>means a county with a population of less than 250,000 as of January 1, 2019, or any city within that county.</w:t>
      </w:r>
    </w:p>
    <w:p w14:paraId="2F7D1ED1" w14:textId="77777777" w:rsidR="00B95446" w:rsidRPr="00B33A7B" w:rsidRDefault="00B95446" w:rsidP="00B95446">
      <w:pPr>
        <w:pStyle w:val="ListParagraph"/>
        <w:ind w:right="90"/>
        <w:rPr>
          <w:rFonts w:cs="Arial"/>
          <w:color w:val="000000" w:themeColor="text1"/>
          <w:shd w:val="clear" w:color="auto" w:fill="FFFFFF"/>
        </w:rPr>
      </w:pPr>
    </w:p>
    <w:p w14:paraId="53146240" w14:textId="1324BD07" w:rsidR="00B95446" w:rsidRPr="00B33A7B" w:rsidRDefault="494CDB7E" w:rsidP="001F7581">
      <w:pPr>
        <w:pStyle w:val="BodyText"/>
        <w:widowControl w:val="0"/>
        <w:numPr>
          <w:ilvl w:val="0"/>
          <w:numId w:val="2"/>
        </w:numPr>
        <w:autoSpaceDE w:val="0"/>
        <w:autoSpaceDN w:val="0"/>
        <w:spacing w:after="0"/>
        <w:ind w:right="-3" w:hanging="900"/>
      </w:pPr>
      <w:r w:rsidRPr="00B33A7B">
        <w:t>“</w:t>
      </w:r>
      <w:r w:rsidR="311E5E66" w:rsidRPr="00B33A7B">
        <w:t>Special Needs</w:t>
      </w:r>
      <w:r w:rsidRPr="00B33A7B">
        <w:t>”</w:t>
      </w:r>
      <w:r w:rsidR="311E5E66" w:rsidRPr="00B33A7B">
        <w:t xml:space="preserve"> means a housing type meeting the requirements of </w:t>
      </w:r>
      <w:r w:rsidR="1B6F3700" w:rsidRPr="00B33A7B">
        <w:t xml:space="preserve">MHP </w:t>
      </w:r>
      <w:r w:rsidR="0BE712FC" w:rsidRPr="00B33A7B">
        <w:t>G</w:t>
      </w:r>
      <w:r w:rsidR="1B6F3700" w:rsidRPr="00B33A7B">
        <w:t xml:space="preserve">uidelines </w:t>
      </w:r>
      <w:r w:rsidR="311E5E66" w:rsidRPr="00B33A7B">
        <w:t>Section 7302(e)(2</w:t>
      </w:r>
      <w:proofErr w:type="gramStart"/>
      <w:r w:rsidR="311E5E66" w:rsidRPr="00B33A7B">
        <w:t>) .</w:t>
      </w:r>
      <w:proofErr w:type="gramEnd"/>
    </w:p>
    <w:p w14:paraId="5EAEBB9E" w14:textId="77777777" w:rsidR="007B131C" w:rsidRPr="00B33A7B" w:rsidRDefault="007B131C" w:rsidP="007B131C">
      <w:pPr>
        <w:pStyle w:val="ListParagraph"/>
      </w:pPr>
    </w:p>
    <w:p w14:paraId="70609362" w14:textId="0310A434" w:rsidR="007B131C" w:rsidRPr="00B33A7B" w:rsidRDefault="494CDB7E" w:rsidP="00993D09">
      <w:pPr>
        <w:pStyle w:val="BodyText"/>
        <w:widowControl w:val="0"/>
        <w:numPr>
          <w:ilvl w:val="0"/>
          <w:numId w:val="2"/>
        </w:numPr>
        <w:autoSpaceDE w:val="0"/>
        <w:autoSpaceDN w:val="0"/>
        <w:spacing w:after="0"/>
        <w:ind w:right="-3"/>
      </w:pPr>
      <w:r w:rsidRPr="00B33A7B">
        <w:lastRenderedPageBreak/>
        <w:t xml:space="preserve">“Special Needs Population(s)” means one or more of the following groups who need Supportive Services to maintain and stabilize their housing: </w:t>
      </w:r>
    </w:p>
    <w:p w14:paraId="44030186" w14:textId="77777777" w:rsidR="007B131C" w:rsidRPr="00B33A7B" w:rsidRDefault="007B131C" w:rsidP="007B131C">
      <w:pPr>
        <w:ind w:right="-3"/>
      </w:pPr>
    </w:p>
    <w:p w14:paraId="425E5350" w14:textId="03E9D40D" w:rsidR="007B131C" w:rsidRPr="00B33A7B" w:rsidRDefault="007B131C" w:rsidP="00993D09">
      <w:pPr>
        <w:pStyle w:val="ListParagraph"/>
        <w:numPr>
          <w:ilvl w:val="0"/>
          <w:numId w:val="67"/>
        </w:numPr>
        <w:ind w:right="360" w:hanging="720"/>
        <w:rPr>
          <w:rFonts w:cs="Arial"/>
        </w:rPr>
      </w:pPr>
      <w:r w:rsidRPr="00B33A7B">
        <w:rPr>
          <w:rFonts w:cs="Arial"/>
        </w:rPr>
        <w:t xml:space="preserve">people with </w:t>
      </w:r>
      <w:proofErr w:type="gramStart"/>
      <w:r w:rsidRPr="00B33A7B">
        <w:rPr>
          <w:rFonts w:cs="Arial"/>
        </w:rPr>
        <w:t>disabilities;</w:t>
      </w:r>
      <w:proofErr w:type="gramEnd"/>
    </w:p>
    <w:p w14:paraId="3C78B750" w14:textId="77777777" w:rsidR="007B131C" w:rsidRPr="00B33A7B" w:rsidRDefault="007B131C" w:rsidP="007B131C">
      <w:pPr>
        <w:pStyle w:val="ListParagraph"/>
        <w:ind w:left="1440" w:right="360"/>
        <w:rPr>
          <w:rFonts w:cs="Arial"/>
        </w:rPr>
      </w:pPr>
    </w:p>
    <w:p w14:paraId="37AEF18A" w14:textId="450F790D" w:rsidR="007B131C" w:rsidRPr="00B33A7B" w:rsidRDefault="007B131C" w:rsidP="00993D09">
      <w:pPr>
        <w:pStyle w:val="ListParagraph"/>
        <w:numPr>
          <w:ilvl w:val="0"/>
          <w:numId w:val="67"/>
        </w:numPr>
        <w:ind w:right="360" w:hanging="720"/>
        <w:rPr>
          <w:rFonts w:cs="Arial"/>
        </w:rPr>
      </w:pPr>
      <w:r w:rsidRPr="00B33A7B">
        <w:rPr>
          <w:rFonts w:cs="Arial"/>
        </w:rPr>
        <w:t xml:space="preserve">At Risk of Homelessness, as defined </w:t>
      </w:r>
      <w:proofErr w:type="gramStart"/>
      <w:r w:rsidRPr="00B33A7B">
        <w:rPr>
          <w:rFonts w:cs="Arial"/>
        </w:rPr>
        <w:t>above;</w:t>
      </w:r>
      <w:proofErr w:type="gramEnd"/>
    </w:p>
    <w:p w14:paraId="436938C8" w14:textId="77777777" w:rsidR="007B131C" w:rsidRPr="00B33A7B" w:rsidRDefault="007B131C" w:rsidP="007B131C">
      <w:pPr>
        <w:ind w:right="360"/>
        <w:rPr>
          <w:rFonts w:cs="Arial"/>
        </w:rPr>
      </w:pPr>
    </w:p>
    <w:p w14:paraId="4D750DEE" w14:textId="773B8BC7" w:rsidR="007B131C" w:rsidRPr="00B33A7B" w:rsidRDefault="007B131C" w:rsidP="00993D09">
      <w:pPr>
        <w:pStyle w:val="ListParagraph"/>
        <w:numPr>
          <w:ilvl w:val="0"/>
          <w:numId w:val="67"/>
        </w:numPr>
        <w:ind w:right="360" w:hanging="720"/>
        <w:rPr>
          <w:rFonts w:cs="Arial"/>
        </w:rPr>
      </w:pPr>
      <w:r w:rsidRPr="00B33A7B">
        <w:rPr>
          <w:rFonts w:cs="Arial"/>
        </w:rPr>
        <w:t xml:space="preserve">individuals with substance use </w:t>
      </w:r>
      <w:proofErr w:type="gramStart"/>
      <w:r w:rsidRPr="00B33A7B">
        <w:rPr>
          <w:rFonts w:cs="Arial"/>
        </w:rPr>
        <w:t>disorders;</w:t>
      </w:r>
      <w:proofErr w:type="gramEnd"/>
    </w:p>
    <w:p w14:paraId="426E3B64" w14:textId="77777777" w:rsidR="007B131C" w:rsidRPr="00B33A7B" w:rsidRDefault="007B131C" w:rsidP="007B131C">
      <w:pPr>
        <w:ind w:right="360"/>
        <w:rPr>
          <w:rFonts w:cs="Arial"/>
        </w:rPr>
      </w:pPr>
    </w:p>
    <w:p w14:paraId="1EA4324A" w14:textId="768BD63D" w:rsidR="007B131C" w:rsidRPr="00B33A7B" w:rsidRDefault="007B131C" w:rsidP="00993D09">
      <w:pPr>
        <w:pStyle w:val="ListParagraph"/>
        <w:numPr>
          <w:ilvl w:val="0"/>
          <w:numId w:val="67"/>
        </w:numPr>
        <w:ind w:right="360" w:hanging="720"/>
        <w:rPr>
          <w:rFonts w:cs="Arial"/>
        </w:rPr>
      </w:pPr>
      <w:r w:rsidRPr="00B33A7B">
        <w:rPr>
          <w:rFonts w:cs="Arial"/>
        </w:rPr>
        <w:t xml:space="preserve">frequent users of public health or mental health services, as identified by a public health or mental health </w:t>
      </w:r>
      <w:proofErr w:type="gramStart"/>
      <w:r w:rsidRPr="00B33A7B">
        <w:rPr>
          <w:rFonts w:cs="Arial"/>
        </w:rPr>
        <w:t>agency;</w:t>
      </w:r>
      <w:proofErr w:type="gramEnd"/>
    </w:p>
    <w:p w14:paraId="6DA6DC37" w14:textId="77777777" w:rsidR="007B131C" w:rsidRPr="00B33A7B" w:rsidRDefault="007B131C" w:rsidP="007B131C">
      <w:pPr>
        <w:ind w:right="360"/>
        <w:rPr>
          <w:rFonts w:cs="Arial"/>
        </w:rPr>
      </w:pPr>
    </w:p>
    <w:p w14:paraId="1C29F7A8" w14:textId="58926CCC" w:rsidR="007B131C" w:rsidRPr="00B33A7B" w:rsidRDefault="007B131C" w:rsidP="00993D09">
      <w:pPr>
        <w:pStyle w:val="ListParagraph"/>
        <w:numPr>
          <w:ilvl w:val="0"/>
          <w:numId w:val="67"/>
        </w:numPr>
        <w:ind w:right="360" w:hanging="720"/>
        <w:rPr>
          <w:rFonts w:cs="Arial"/>
        </w:rPr>
      </w:pPr>
      <w:r w:rsidRPr="00B33A7B">
        <w:rPr>
          <w:rFonts w:cs="Arial"/>
        </w:rPr>
        <w:t xml:space="preserve">individuals who are fleeing domestic violence, sexual assault, and human </w:t>
      </w:r>
      <w:proofErr w:type="gramStart"/>
      <w:r w:rsidRPr="00B33A7B">
        <w:rPr>
          <w:rFonts w:cs="Arial"/>
        </w:rPr>
        <w:t>trafficking;</w:t>
      </w:r>
      <w:proofErr w:type="gramEnd"/>
    </w:p>
    <w:p w14:paraId="0464B630" w14:textId="77777777" w:rsidR="007B131C" w:rsidRPr="00B33A7B" w:rsidRDefault="007B131C" w:rsidP="007B131C">
      <w:pPr>
        <w:ind w:right="360"/>
        <w:rPr>
          <w:rFonts w:cs="Arial"/>
        </w:rPr>
      </w:pPr>
    </w:p>
    <w:p w14:paraId="110EB968" w14:textId="2F605F1C" w:rsidR="007B131C" w:rsidRPr="00B33A7B" w:rsidRDefault="007B131C" w:rsidP="00993D09">
      <w:pPr>
        <w:pStyle w:val="ListParagraph"/>
        <w:numPr>
          <w:ilvl w:val="0"/>
          <w:numId w:val="67"/>
        </w:numPr>
        <w:ind w:right="360" w:hanging="720"/>
        <w:rPr>
          <w:rFonts w:cs="Arial"/>
        </w:rPr>
      </w:pPr>
      <w:r w:rsidRPr="00B33A7B">
        <w:rPr>
          <w:rFonts w:cs="Arial"/>
        </w:rPr>
        <w:t xml:space="preserve">individuals who are experiencing Homelessness and individuals experiencing Chronic Homelessness as defined </w:t>
      </w:r>
      <w:proofErr w:type="gramStart"/>
      <w:r w:rsidRPr="00B33A7B">
        <w:rPr>
          <w:rFonts w:cs="Arial"/>
        </w:rPr>
        <w:t>above;</w:t>
      </w:r>
      <w:proofErr w:type="gramEnd"/>
    </w:p>
    <w:p w14:paraId="3F5FA775" w14:textId="77777777" w:rsidR="007B131C" w:rsidRPr="00B33A7B" w:rsidRDefault="007B131C" w:rsidP="007B131C">
      <w:pPr>
        <w:ind w:right="360"/>
        <w:rPr>
          <w:rFonts w:cs="Arial"/>
        </w:rPr>
      </w:pPr>
    </w:p>
    <w:p w14:paraId="7CEB884B" w14:textId="0DF65DBC" w:rsidR="007B131C" w:rsidRPr="00B33A7B" w:rsidRDefault="007B131C" w:rsidP="00993D09">
      <w:pPr>
        <w:pStyle w:val="ListParagraph"/>
        <w:numPr>
          <w:ilvl w:val="0"/>
          <w:numId w:val="67"/>
        </w:numPr>
        <w:ind w:right="360" w:hanging="720"/>
        <w:rPr>
          <w:rFonts w:cs="Arial"/>
        </w:rPr>
      </w:pPr>
      <w:r w:rsidRPr="00B33A7B">
        <w:rPr>
          <w:rFonts w:cs="Arial"/>
        </w:rPr>
        <w:t xml:space="preserve">homeless youth as defined in </w:t>
      </w:r>
      <w:r w:rsidR="00CA72D5" w:rsidRPr="00B33A7B">
        <w:rPr>
          <w:rFonts w:cs="Arial"/>
        </w:rPr>
        <w:t>GC</w:t>
      </w:r>
      <w:r w:rsidRPr="00B33A7B">
        <w:rPr>
          <w:rFonts w:cs="Arial"/>
        </w:rPr>
        <w:t xml:space="preserve"> Section 12957, subdivision (e)(2</w:t>
      </w:r>
      <w:proofErr w:type="gramStart"/>
      <w:r w:rsidRPr="00B33A7B">
        <w:rPr>
          <w:rFonts w:cs="Arial"/>
        </w:rPr>
        <w:t>);</w:t>
      </w:r>
      <w:proofErr w:type="gramEnd"/>
    </w:p>
    <w:p w14:paraId="3F769E36" w14:textId="77777777" w:rsidR="00CA72D5" w:rsidRPr="00B33A7B" w:rsidRDefault="00CA72D5" w:rsidP="00811643">
      <w:pPr>
        <w:ind w:right="360"/>
        <w:rPr>
          <w:rFonts w:cs="Arial"/>
        </w:rPr>
      </w:pPr>
    </w:p>
    <w:p w14:paraId="383EB4F6" w14:textId="0B8C0901" w:rsidR="007B131C" w:rsidRPr="00B33A7B" w:rsidRDefault="007B131C" w:rsidP="00993D09">
      <w:pPr>
        <w:pStyle w:val="ListParagraph"/>
        <w:numPr>
          <w:ilvl w:val="0"/>
          <w:numId w:val="67"/>
        </w:numPr>
        <w:ind w:right="360" w:hanging="720"/>
        <w:rPr>
          <w:rFonts w:cs="Arial"/>
        </w:rPr>
      </w:pPr>
      <w:r w:rsidRPr="00B33A7B">
        <w:rPr>
          <w:rFonts w:cs="Arial"/>
        </w:rPr>
        <w:t xml:space="preserve">families in the child welfare system for whom the absence of housing is a barrier to family reunification, as certified by a </w:t>
      </w:r>
      <w:proofErr w:type="gramStart"/>
      <w:r w:rsidRPr="00B33A7B">
        <w:rPr>
          <w:rFonts w:cs="Arial"/>
        </w:rPr>
        <w:t>county;</w:t>
      </w:r>
      <w:proofErr w:type="gramEnd"/>
    </w:p>
    <w:p w14:paraId="16422237" w14:textId="77777777" w:rsidR="007B131C" w:rsidRPr="00B33A7B" w:rsidRDefault="007B131C" w:rsidP="007B131C">
      <w:pPr>
        <w:ind w:left="720" w:right="360"/>
        <w:rPr>
          <w:rFonts w:cs="Arial"/>
        </w:rPr>
      </w:pPr>
    </w:p>
    <w:p w14:paraId="7D0AD60A" w14:textId="4C208A2A" w:rsidR="007B131C" w:rsidRPr="00B33A7B" w:rsidRDefault="007B131C" w:rsidP="00993D09">
      <w:pPr>
        <w:pStyle w:val="ListParagraph"/>
        <w:numPr>
          <w:ilvl w:val="0"/>
          <w:numId w:val="67"/>
        </w:numPr>
        <w:ind w:right="360" w:hanging="720"/>
        <w:rPr>
          <w:rFonts w:cs="Arial"/>
        </w:rPr>
      </w:pPr>
      <w:r w:rsidRPr="00B33A7B">
        <w:rPr>
          <w:rFonts w:cs="Arial"/>
        </w:rPr>
        <w:t xml:space="preserve">individuals exiting from institutional settings or at risk of placement in an institutional </w:t>
      </w:r>
      <w:proofErr w:type="gramStart"/>
      <w:r w:rsidRPr="00B33A7B">
        <w:rPr>
          <w:rFonts w:cs="Arial"/>
        </w:rPr>
        <w:t>setting;</w:t>
      </w:r>
      <w:proofErr w:type="gramEnd"/>
    </w:p>
    <w:p w14:paraId="17614DEB" w14:textId="77777777" w:rsidR="007B131C" w:rsidRPr="00B33A7B" w:rsidRDefault="007B131C" w:rsidP="007B131C">
      <w:pPr>
        <w:ind w:right="360"/>
        <w:rPr>
          <w:rFonts w:cs="Arial"/>
        </w:rPr>
      </w:pPr>
    </w:p>
    <w:p w14:paraId="23C23E23" w14:textId="556E75A4" w:rsidR="007B131C" w:rsidRPr="00B33A7B" w:rsidRDefault="007B131C" w:rsidP="00993D09">
      <w:pPr>
        <w:pStyle w:val="ListParagraph"/>
        <w:numPr>
          <w:ilvl w:val="0"/>
          <w:numId w:val="67"/>
        </w:numPr>
        <w:ind w:right="360" w:hanging="720"/>
        <w:rPr>
          <w:rFonts w:cs="Arial"/>
        </w:rPr>
      </w:pPr>
      <w:r w:rsidRPr="00B33A7B">
        <w:rPr>
          <w:rFonts w:cs="Arial"/>
        </w:rPr>
        <w:t>Older Adults in Need of Supportive Services; or</w:t>
      </w:r>
    </w:p>
    <w:p w14:paraId="09A3F730" w14:textId="77777777" w:rsidR="007B131C" w:rsidRPr="00B33A7B" w:rsidRDefault="007B131C" w:rsidP="007B131C">
      <w:pPr>
        <w:ind w:right="360"/>
        <w:rPr>
          <w:rFonts w:cs="Arial"/>
        </w:rPr>
      </w:pPr>
    </w:p>
    <w:p w14:paraId="6DD68BF8" w14:textId="3C27A8E6" w:rsidR="007B131C" w:rsidRPr="00B33A7B" w:rsidRDefault="007B131C" w:rsidP="00993D09">
      <w:pPr>
        <w:pStyle w:val="ListParagraph"/>
        <w:numPr>
          <w:ilvl w:val="0"/>
          <w:numId w:val="67"/>
        </w:numPr>
        <w:ind w:right="360" w:hanging="720"/>
        <w:rPr>
          <w:rFonts w:cs="Arial"/>
        </w:rPr>
      </w:pPr>
      <w:r w:rsidRPr="00B33A7B">
        <w:rPr>
          <w:rFonts w:cs="Arial"/>
        </w:rPr>
        <w:t>other specific groups with unique housing needs as determined by the Department.</w:t>
      </w:r>
    </w:p>
    <w:p w14:paraId="5887428A" w14:textId="77777777" w:rsidR="007B131C" w:rsidRPr="00B33A7B" w:rsidRDefault="007B131C" w:rsidP="007B131C">
      <w:pPr>
        <w:ind w:right="360"/>
        <w:rPr>
          <w:rFonts w:cs="Arial"/>
        </w:rPr>
      </w:pPr>
    </w:p>
    <w:p w14:paraId="56538F56" w14:textId="196C0B1D" w:rsidR="007B131C" w:rsidRPr="00B33A7B" w:rsidRDefault="007B131C" w:rsidP="00C43FA3">
      <w:pPr>
        <w:pStyle w:val="BodyText"/>
        <w:spacing w:after="0"/>
        <w:ind w:left="720"/>
      </w:pPr>
      <w:r w:rsidRPr="00B33A7B">
        <w:t xml:space="preserve">Special Needs Populations does not include “Seniors or Veterans” unless they otherwise qualify as a “Special Needs Population” as required by other statutory laws.    </w:t>
      </w:r>
    </w:p>
    <w:p w14:paraId="610F1512" w14:textId="77777777" w:rsidR="00C260F0" w:rsidRPr="00B33A7B" w:rsidRDefault="00C260F0" w:rsidP="00C260F0">
      <w:pPr>
        <w:pStyle w:val="ListParagraph"/>
        <w:ind w:right="90"/>
        <w:rPr>
          <w:rFonts w:cs="Arial"/>
          <w:color w:val="000000" w:themeColor="text1"/>
          <w:shd w:val="clear" w:color="auto" w:fill="FFFFFF"/>
        </w:rPr>
      </w:pPr>
    </w:p>
    <w:p w14:paraId="3444C556" w14:textId="2510096E" w:rsidR="003B5E1D" w:rsidRPr="00B33A7B" w:rsidRDefault="41A28126" w:rsidP="00993D09">
      <w:pPr>
        <w:pStyle w:val="BodyText"/>
        <w:widowControl w:val="0"/>
        <w:numPr>
          <w:ilvl w:val="0"/>
          <w:numId w:val="2"/>
        </w:numPr>
        <w:autoSpaceDE w:val="0"/>
        <w:autoSpaceDN w:val="0"/>
        <w:spacing w:after="0"/>
        <w:ind w:right="-3"/>
      </w:pPr>
      <w:r w:rsidRPr="00B33A7B">
        <w:t xml:space="preserve">“Sponsor” means the same as defined in </w:t>
      </w:r>
      <w:r w:rsidR="23A8CB60" w:rsidRPr="00B33A7B">
        <w:t>S</w:t>
      </w:r>
      <w:r w:rsidRPr="00B33A7B">
        <w:t xml:space="preserve">ection </w:t>
      </w:r>
      <w:r w:rsidR="0F4B255D" w:rsidRPr="00B33A7B">
        <w:t>7303</w:t>
      </w:r>
      <w:r w:rsidRPr="00B33A7B">
        <w:t xml:space="preserve"> of the</w:t>
      </w:r>
      <w:r w:rsidR="0F4B255D" w:rsidRPr="00B33A7B">
        <w:t xml:space="preserve"> MHP </w:t>
      </w:r>
      <w:r w:rsidR="0BE712FC" w:rsidRPr="00B33A7B">
        <w:t>G</w:t>
      </w:r>
      <w:r w:rsidRPr="00B33A7B">
        <w:t>uidelines.</w:t>
      </w:r>
    </w:p>
    <w:p w14:paraId="1EF71B44" w14:textId="77777777" w:rsidR="00825583" w:rsidRPr="00B33A7B" w:rsidRDefault="00825583" w:rsidP="004076AF">
      <w:pPr>
        <w:pStyle w:val="ListParagraph"/>
        <w:ind w:right="90"/>
        <w:rPr>
          <w:rFonts w:cs="Arial"/>
          <w:color w:val="000000" w:themeColor="text1"/>
          <w:shd w:val="clear" w:color="auto" w:fill="FFFFFF"/>
        </w:rPr>
      </w:pPr>
    </w:p>
    <w:p w14:paraId="1864F795" w14:textId="55CE2BC8" w:rsidR="00825583" w:rsidRPr="00B33A7B" w:rsidRDefault="78E1AFB6" w:rsidP="00993D09">
      <w:pPr>
        <w:pStyle w:val="ListParagraph"/>
        <w:numPr>
          <w:ilvl w:val="0"/>
          <w:numId w:val="2"/>
        </w:numPr>
        <w:ind w:right="90"/>
        <w:rPr>
          <w:rFonts w:cs="Arial"/>
          <w:color w:val="000000" w:themeColor="text1"/>
          <w:shd w:val="clear" w:color="auto" w:fill="FFFFFF"/>
        </w:rPr>
      </w:pPr>
      <w:r w:rsidRPr="00B33A7B">
        <w:rPr>
          <w:rFonts w:cs="Arial"/>
          <w:color w:val="000000" w:themeColor="text1"/>
          <w:shd w:val="clear" w:color="auto" w:fill="FFFFFF"/>
        </w:rPr>
        <w:t>“Structured Parking” means a structure in which vehicle parking is accommodated on multiple stories; a vehicle parking area that is underneath all or part of any story of a structure; or a vehicle parking area that is not underneath a structure, but is entirely covered, and has a parking surface at least eight feet below grade. Structured Parking does not include surface parking, residential garages, or carports, including solar carports.</w:t>
      </w:r>
    </w:p>
    <w:p w14:paraId="3B656D0F" w14:textId="642CEFEA" w:rsidR="00CF1725" w:rsidRPr="00B33A7B" w:rsidRDefault="00CF1725" w:rsidP="004076AF">
      <w:pPr>
        <w:pStyle w:val="ListParagraph"/>
        <w:ind w:right="90"/>
        <w:rPr>
          <w:rFonts w:cs="Arial"/>
          <w:color w:val="000000" w:themeColor="text1"/>
          <w:shd w:val="clear" w:color="auto" w:fill="FFFFFF"/>
        </w:rPr>
      </w:pPr>
    </w:p>
    <w:p w14:paraId="132096A1" w14:textId="6790928C" w:rsidR="003763D6" w:rsidRPr="00B33A7B" w:rsidRDefault="30DF129A" w:rsidP="00071A96">
      <w:pPr>
        <w:pStyle w:val="BodyText"/>
        <w:widowControl w:val="0"/>
        <w:numPr>
          <w:ilvl w:val="0"/>
          <w:numId w:val="2"/>
        </w:numPr>
        <w:autoSpaceDE w:val="0"/>
        <w:autoSpaceDN w:val="0"/>
        <w:spacing w:after="0"/>
        <w:ind w:right="-3"/>
      </w:pPr>
      <w:r w:rsidRPr="00B33A7B">
        <w:t xml:space="preserve">“Supportive Housing” means housing with no limit on length of stay, that is occupied by the target population, and that is linked to onsite or offsite services that assist the Supportive Housing resident in retaining the housing, improving their health status, </w:t>
      </w:r>
      <w:r w:rsidRPr="00B33A7B">
        <w:lastRenderedPageBreak/>
        <w:t>and maximizing their ability to live and, when possible, work in the community.</w:t>
      </w:r>
    </w:p>
    <w:p w14:paraId="643F4992" w14:textId="05CE5D23" w:rsidR="003763D6" w:rsidRPr="00B33A7B" w:rsidRDefault="003763D6" w:rsidP="003763D6">
      <w:pPr>
        <w:pStyle w:val="BodyText"/>
        <w:widowControl w:val="0"/>
        <w:autoSpaceDE w:val="0"/>
        <w:autoSpaceDN w:val="0"/>
        <w:spacing w:after="0"/>
        <w:ind w:left="720" w:right="-3"/>
      </w:pPr>
    </w:p>
    <w:p w14:paraId="6AF650E2" w14:textId="47067B40" w:rsidR="003763D6" w:rsidRPr="00B33A7B" w:rsidRDefault="30DF129A" w:rsidP="00071A96">
      <w:pPr>
        <w:pStyle w:val="BodyText"/>
        <w:widowControl w:val="0"/>
        <w:numPr>
          <w:ilvl w:val="0"/>
          <w:numId w:val="2"/>
        </w:numPr>
        <w:autoSpaceDE w:val="0"/>
        <w:autoSpaceDN w:val="0"/>
        <w:spacing w:after="0"/>
        <w:ind w:right="-3"/>
      </w:pPr>
      <w:r w:rsidRPr="00B33A7B">
        <w:t>“Supportive Services” means social, health, educational, income support and employment services and benefits, coordination of community building and educational activities, individualized needs assessment, and individualized assistance with obtaining services and benefits (UMR Section 8301(t)).</w:t>
      </w:r>
    </w:p>
    <w:p w14:paraId="23085E91" w14:textId="77777777" w:rsidR="003763D6" w:rsidRPr="00B33A7B" w:rsidRDefault="003763D6" w:rsidP="004076AF">
      <w:pPr>
        <w:pStyle w:val="ListParagraph"/>
        <w:ind w:right="90"/>
        <w:rPr>
          <w:rFonts w:cs="Arial"/>
          <w:color w:val="000000" w:themeColor="text1"/>
          <w:shd w:val="clear" w:color="auto" w:fill="FFFFFF"/>
        </w:rPr>
      </w:pPr>
    </w:p>
    <w:p w14:paraId="3EBE94D5" w14:textId="0B636495" w:rsidR="007E01E7" w:rsidRPr="00B33A7B" w:rsidRDefault="129922E8" w:rsidP="001F7581">
      <w:pPr>
        <w:pStyle w:val="ListParagraph"/>
        <w:numPr>
          <w:ilvl w:val="0"/>
          <w:numId w:val="2"/>
        </w:numPr>
        <w:ind w:right="90" w:hanging="900"/>
        <w:rPr>
          <w:rFonts w:cs="Arial"/>
          <w:color w:val="000000" w:themeColor="text1"/>
          <w:shd w:val="clear" w:color="auto" w:fill="FFFFFF"/>
        </w:rPr>
      </w:pPr>
      <w:r w:rsidRPr="00B33A7B">
        <w:rPr>
          <w:rFonts w:cs="Arial"/>
          <w:color w:val="000000" w:themeColor="text1"/>
          <w:shd w:val="clear" w:color="auto" w:fill="FFFFFF"/>
        </w:rPr>
        <w:t>“TCAC” means the California Tax Credit Allocation Committee.</w:t>
      </w:r>
    </w:p>
    <w:p w14:paraId="3DA33567" w14:textId="77777777" w:rsidR="00BA3F8C" w:rsidRPr="00B33A7B" w:rsidRDefault="00BA3F8C" w:rsidP="004076AF">
      <w:pPr>
        <w:pStyle w:val="ListParagraph"/>
        <w:ind w:right="90"/>
        <w:rPr>
          <w:rFonts w:cs="Arial"/>
          <w:color w:val="000000" w:themeColor="text1"/>
          <w:shd w:val="clear" w:color="auto" w:fill="FFFFFF"/>
        </w:rPr>
      </w:pPr>
    </w:p>
    <w:p w14:paraId="68AD28FD" w14:textId="75F0958F" w:rsidR="00BA3F8C" w:rsidRPr="00B33A7B" w:rsidRDefault="15A7BE27" w:rsidP="001F7581">
      <w:pPr>
        <w:pStyle w:val="ListParagraph"/>
        <w:numPr>
          <w:ilvl w:val="0"/>
          <w:numId w:val="2"/>
        </w:numPr>
        <w:ind w:right="90" w:hanging="900"/>
        <w:rPr>
          <w:rStyle w:val="eop"/>
          <w:rFonts w:cs="Arial"/>
          <w:color w:val="000000" w:themeColor="text1"/>
          <w:shd w:val="clear" w:color="auto" w:fill="FFFFFF"/>
        </w:rPr>
      </w:pPr>
      <w:r w:rsidRPr="00B33A7B">
        <w:rPr>
          <w:rFonts w:cs="Arial"/>
          <w:color w:val="000000" w:themeColor="text1"/>
          <w:shd w:val="clear" w:color="auto" w:fill="FFFFFF"/>
        </w:rPr>
        <w:t xml:space="preserve">“TCAC/HCD Opportunity Area Map” means the most recently </w:t>
      </w:r>
      <w:r w:rsidR="3A005447" w:rsidRPr="00B33A7B">
        <w:rPr>
          <w:rFonts w:cs="Arial"/>
          <w:color w:val="000000" w:themeColor="text1"/>
          <w:shd w:val="clear" w:color="auto" w:fill="FFFFFF"/>
        </w:rPr>
        <w:t>approved</w:t>
      </w:r>
      <w:r w:rsidRPr="00B33A7B">
        <w:rPr>
          <w:rFonts w:cs="Arial"/>
          <w:color w:val="000000" w:themeColor="text1"/>
          <w:shd w:val="clear" w:color="auto" w:fill="FFFFFF"/>
        </w:rPr>
        <w:t xml:space="preserve"> TCAC/HCD Opportunity Map that measures and provides a graphical representation of place</w:t>
      </w:r>
      <w:r w:rsidR="59E9EC2F" w:rsidRPr="00B33A7B">
        <w:rPr>
          <w:rFonts w:cs="Arial"/>
          <w:color w:val="000000" w:themeColor="text1"/>
          <w:shd w:val="clear" w:color="auto" w:fill="FFFFFF"/>
        </w:rPr>
        <w:t>-</w:t>
      </w:r>
      <w:r w:rsidRPr="00B33A7B">
        <w:rPr>
          <w:rFonts w:cs="Arial"/>
          <w:color w:val="000000" w:themeColor="text1"/>
          <w:shd w:val="clear" w:color="auto" w:fill="FFFFFF"/>
        </w:rPr>
        <w:t xml:space="preserve">based characteristics linked to critical life outcomes, such as educational attainment, earnings from employment, and economic mobility. For projects on federal land, and properties not identified on the TCAC/HCD Opportunity Area Map, the Applicant may use the TCAC/HCD Opportunity Area Map’s census tract nearest to the main entry for the Qualifying Infill Project. </w:t>
      </w:r>
      <w:hyperlink r:id="rId21" w:history="1">
        <w:r w:rsidR="1E402280" w:rsidRPr="00B33A7B">
          <w:rPr>
            <w:rStyle w:val="Hyperlink"/>
            <w:shd w:val="clear" w:color="auto" w:fill="FFFFFF"/>
          </w:rPr>
          <w:t>https://treasurer.ca.gov/ctcac/opportunity.asp</w:t>
        </w:r>
      </w:hyperlink>
      <w:r w:rsidR="1E402280" w:rsidRPr="00B33A7B">
        <w:rPr>
          <w:rStyle w:val="eop"/>
          <w:color w:val="000000"/>
          <w:shd w:val="clear" w:color="auto" w:fill="FFFFFF"/>
        </w:rPr>
        <w:t xml:space="preserve">  </w:t>
      </w:r>
    </w:p>
    <w:p w14:paraId="426642B4" w14:textId="77777777" w:rsidR="003F2865" w:rsidRPr="00B33A7B" w:rsidRDefault="003F2865" w:rsidP="003F2865">
      <w:pPr>
        <w:ind w:right="90"/>
        <w:rPr>
          <w:rFonts w:cs="Arial"/>
          <w:color w:val="000000" w:themeColor="text1"/>
          <w:shd w:val="clear" w:color="auto" w:fill="FFFFFF"/>
        </w:rPr>
      </w:pPr>
    </w:p>
    <w:p w14:paraId="70548D51" w14:textId="297D9872" w:rsidR="00321199" w:rsidRPr="00B33A7B" w:rsidRDefault="129922E8" w:rsidP="00240FF5">
      <w:pPr>
        <w:pStyle w:val="ListParagraph"/>
        <w:numPr>
          <w:ilvl w:val="0"/>
          <w:numId w:val="2"/>
        </w:numPr>
        <w:ind w:right="90" w:hanging="900"/>
        <w:rPr>
          <w:rFonts w:cs="Arial"/>
          <w:color w:val="000000" w:themeColor="text1"/>
          <w:shd w:val="clear" w:color="auto" w:fill="FFFFFF"/>
        </w:rPr>
      </w:pPr>
      <w:r w:rsidRPr="00B33A7B">
        <w:rPr>
          <w:rFonts w:cs="Arial"/>
          <w:color w:val="000000" w:themeColor="text1"/>
          <w:shd w:val="clear" w:color="auto" w:fill="FFFFFF"/>
        </w:rPr>
        <w:t>“Transit Station” means a rail or light-rail station, ferry terminal, Bus Hub, or Bus Transfer Station.</w:t>
      </w:r>
      <w:r w:rsidR="3F01CC4B" w:rsidRPr="00B33A7B">
        <w:rPr>
          <w:rFonts w:cs="Arial"/>
          <w:color w:val="000000" w:themeColor="text1"/>
          <w:shd w:val="clear" w:color="auto" w:fill="FFFFFF"/>
        </w:rPr>
        <w:t xml:space="preserve"> </w:t>
      </w:r>
      <w:r w:rsidRPr="00B33A7B">
        <w:rPr>
          <w:rFonts w:cs="Arial"/>
          <w:color w:val="000000" w:themeColor="text1"/>
          <w:shd w:val="clear" w:color="auto" w:fill="FFFFFF"/>
        </w:rPr>
        <w:t xml:space="preserve">Included in this definition are planned </w:t>
      </w:r>
      <w:r w:rsidR="21659531" w:rsidRPr="00B33A7B">
        <w:rPr>
          <w:rFonts w:cs="Arial"/>
          <w:color w:val="000000" w:themeColor="text1"/>
          <w:shd w:val="clear" w:color="auto" w:fill="FFFFFF"/>
        </w:rPr>
        <w:t xml:space="preserve">Transit Stations </w:t>
      </w:r>
      <w:r w:rsidRPr="00B33A7B">
        <w:rPr>
          <w:rFonts w:cs="Arial"/>
          <w:color w:val="000000" w:themeColor="text1"/>
          <w:shd w:val="clear" w:color="auto" w:fill="FFFFFF"/>
        </w:rPr>
        <w:t>otherwise meeting this definition whose con</w:t>
      </w:r>
      <w:r w:rsidR="16BCD5F6" w:rsidRPr="00B33A7B">
        <w:rPr>
          <w:rFonts w:cs="Arial"/>
          <w:color w:val="000000" w:themeColor="text1"/>
          <w:shd w:val="clear" w:color="auto" w:fill="FFFFFF"/>
        </w:rPr>
        <w:t>struction is programmed into a regional or s</w:t>
      </w:r>
      <w:r w:rsidRPr="00B33A7B">
        <w:rPr>
          <w:rFonts w:cs="Arial"/>
          <w:color w:val="000000" w:themeColor="text1"/>
          <w:shd w:val="clear" w:color="auto" w:fill="FFFFFF"/>
        </w:rPr>
        <w:t xml:space="preserve">tate </w:t>
      </w:r>
      <w:r w:rsidR="3F01CC4B" w:rsidRPr="00B33A7B">
        <w:rPr>
          <w:rFonts w:cs="Arial"/>
          <w:color w:val="000000" w:themeColor="text1"/>
          <w:shd w:val="clear" w:color="auto" w:fill="FFFFFF"/>
        </w:rPr>
        <w:t>T</w:t>
      </w:r>
      <w:r w:rsidR="0F97D9DF" w:rsidRPr="00B33A7B">
        <w:rPr>
          <w:rFonts w:cs="Arial"/>
          <w:color w:val="000000" w:themeColor="text1"/>
          <w:shd w:val="clear" w:color="auto" w:fill="FFFFFF"/>
        </w:rPr>
        <w:t xml:space="preserve">ransportation </w:t>
      </w:r>
      <w:r w:rsidR="3F01CC4B" w:rsidRPr="00B33A7B">
        <w:rPr>
          <w:rFonts w:cs="Arial"/>
          <w:color w:val="000000" w:themeColor="text1"/>
          <w:shd w:val="clear" w:color="auto" w:fill="FFFFFF"/>
        </w:rPr>
        <w:t>I</w:t>
      </w:r>
      <w:r w:rsidR="0F97D9DF" w:rsidRPr="00B33A7B">
        <w:rPr>
          <w:rFonts w:cs="Arial"/>
          <w:color w:val="000000" w:themeColor="text1"/>
          <w:shd w:val="clear" w:color="auto" w:fill="FFFFFF"/>
        </w:rPr>
        <w:t xml:space="preserve">mprovement </w:t>
      </w:r>
      <w:r w:rsidR="3F01CC4B" w:rsidRPr="00B33A7B">
        <w:rPr>
          <w:rFonts w:cs="Arial"/>
          <w:color w:val="000000" w:themeColor="text1"/>
          <w:shd w:val="clear" w:color="auto" w:fill="FFFFFF"/>
        </w:rPr>
        <w:t>P</w:t>
      </w:r>
      <w:r w:rsidRPr="00B33A7B">
        <w:rPr>
          <w:rFonts w:cs="Arial"/>
          <w:color w:val="000000" w:themeColor="text1"/>
          <w:shd w:val="clear" w:color="auto" w:fill="FFFFFF"/>
        </w:rPr>
        <w:t>rogram to be completed no more than five years from the deadline for submittal of applications set forth in the NOFA.</w:t>
      </w:r>
    </w:p>
    <w:p w14:paraId="204F9278" w14:textId="1C28417D" w:rsidR="006F155C" w:rsidRPr="00B33A7B" w:rsidRDefault="006F155C" w:rsidP="006F155C">
      <w:pPr>
        <w:pStyle w:val="ListParagraph"/>
        <w:rPr>
          <w:rFonts w:cs="Arial"/>
          <w:color w:val="000000" w:themeColor="text1"/>
          <w:shd w:val="clear" w:color="auto" w:fill="FFFFFF"/>
        </w:rPr>
      </w:pPr>
    </w:p>
    <w:p w14:paraId="73F004D7" w14:textId="5E9DDF71" w:rsidR="009E2CB3" w:rsidRPr="00B33A7B" w:rsidRDefault="6E46A189" w:rsidP="00071A96">
      <w:pPr>
        <w:pStyle w:val="ListParagraph"/>
        <w:numPr>
          <w:ilvl w:val="0"/>
          <w:numId w:val="2"/>
        </w:numPr>
        <w:ind w:right="90" w:hanging="900"/>
        <w:rPr>
          <w:rFonts w:cs="Arial"/>
          <w:color w:val="000000" w:themeColor="text1"/>
          <w:shd w:val="clear" w:color="auto" w:fill="FFFFFF"/>
        </w:rPr>
      </w:pPr>
      <w:r w:rsidRPr="00B33A7B">
        <w:rPr>
          <w:rFonts w:cs="Arial"/>
          <w:color w:val="000000" w:themeColor="text1"/>
          <w:shd w:val="clear" w:color="auto" w:fill="FFFFFF"/>
        </w:rPr>
        <w:t xml:space="preserve">“Transitional </w:t>
      </w:r>
      <w:r w:rsidR="06F705D1" w:rsidRPr="00B33A7B">
        <w:rPr>
          <w:rFonts w:cs="Arial"/>
          <w:color w:val="000000" w:themeColor="text1"/>
          <w:shd w:val="clear" w:color="auto" w:fill="FFFFFF"/>
        </w:rPr>
        <w:t>Housing</w:t>
      </w:r>
      <w:r w:rsidRPr="00B33A7B">
        <w:rPr>
          <w:rFonts w:cs="Arial"/>
          <w:color w:val="000000" w:themeColor="text1"/>
          <w:shd w:val="clear" w:color="auto" w:fill="FFFFFF"/>
        </w:rPr>
        <w:t xml:space="preserve">” means buildings configured as </w:t>
      </w:r>
      <w:r w:rsidR="47691B70" w:rsidRPr="00B33A7B">
        <w:rPr>
          <w:rFonts w:cs="Arial"/>
          <w:color w:val="000000" w:themeColor="text1"/>
          <w:shd w:val="clear" w:color="auto" w:fill="FFFFFF"/>
        </w:rPr>
        <w:t>R</w:t>
      </w:r>
      <w:r w:rsidRPr="00B33A7B">
        <w:rPr>
          <w:rFonts w:cs="Arial"/>
          <w:color w:val="000000" w:themeColor="text1"/>
          <w:shd w:val="clear" w:color="auto" w:fill="FFFFFF"/>
        </w:rPr>
        <w:t xml:space="preserve">ental </w:t>
      </w:r>
      <w:r w:rsidR="47691B70" w:rsidRPr="00B33A7B">
        <w:rPr>
          <w:rFonts w:cs="Arial"/>
          <w:color w:val="000000" w:themeColor="text1"/>
          <w:shd w:val="clear" w:color="auto" w:fill="FFFFFF"/>
        </w:rPr>
        <w:t>H</w:t>
      </w:r>
      <w:r w:rsidRPr="00B33A7B">
        <w:rPr>
          <w:rFonts w:cs="Arial"/>
          <w:color w:val="000000" w:themeColor="text1"/>
          <w:shd w:val="clear" w:color="auto" w:fill="FFFFFF"/>
        </w:rPr>
        <w:t xml:space="preserve">ousing </w:t>
      </w:r>
      <w:r w:rsidR="47691B70" w:rsidRPr="00B33A7B">
        <w:rPr>
          <w:rFonts w:cs="Arial"/>
          <w:color w:val="000000" w:themeColor="text1"/>
          <w:shd w:val="clear" w:color="auto" w:fill="FFFFFF"/>
        </w:rPr>
        <w:t>D</w:t>
      </w:r>
      <w:r w:rsidRPr="00B33A7B">
        <w:rPr>
          <w:rFonts w:cs="Arial"/>
          <w:color w:val="000000" w:themeColor="text1"/>
          <w:shd w:val="clear" w:color="auto" w:fill="FFFFFF"/>
        </w:rPr>
        <w:t xml:space="preserve">evelopments but operated under Program requirements that call for the termination of assistance and recirculation of the Assisted Unit to another eligible Program recipient at some predetermined future point in time, which shall be no less than six months, but no longer than twenty-four (24) months. </w:t>
      </w:r>
      <w:r w:rsidR="002C67EA" w:rsidRPr="00B33A7B">
        <w:rPr>
          <w:rFonts w:cs="Arial"/>
          <w:color w:val="000000" w:themeColor="text1"/>
          <w:shd w:val="clear" w:color="auto" w:fill="FFFFFF"/>
        </w:rPr>
        <w:t>Affordable Housing Developments</w:t>
      </w:r>
      <w:r w:rsidRPr="00B33A7B">
        <w:rPr>
          <w:rFonts w:cs="Arial"/>
          <w:color w:val="000000" w:themeColor="text1"/>
          <w:shd w:val="clear" w:color="auto" w:fill="FFFFFF"/>
        </w:rPr>
        <w:t xml:space="preserve"> serving persons experiencing Homelessness, including Chronic Homelessness, shall comply with the core components of Housing First set forth in Welfare and Institutions Code, Section 8255.</w:t>
      </w:r>
    </w:p>
    <w:p w14:paraId="4F651554" w14:textId="77777777" w:rsidR="009E2CB3" w:rsidRPr="00B33A7B" w:rsidRDefault="009E2CB3" w:rsidP="006F155C">
      <w:pPr>
        <w:pStyle w:val="ListParagraph"/>
        <w:rPr>
          <w:rFonts w:cs="Arial"/>
          <w:color w:val="000000" w:themeColor="text1"/>
          <w:shd w:val="clear" w:color="auto" w:fill="FFFFFF"/>
        </w:rPr>
      </w:pPr>
    </w:p>
    <w:p w14:paraId="2655D6E6" w14:textId="3D104FA7" w:rsidR="006F155C" w:rsidRPr="00B33A7B" w:rsidRDefault="0CEF20CF" w:rsidP="00240FF5">
      <w:pPr>
        <w:pStyle w:val="ListParagraph"/>
        <w:numPr>
          <w:ilvl w:val="0"/>
          <w:numId w:val="2"/>
        </w:numPr>
        <w:ind w:right="90" w:hanging="810"/>
        <w:rPr>
          <w:rFonts w:cs="Arial"/>
          <w:color w:val="000000" w:themeColor="text1"/>
          <w:shd w:val="clear" w:color="auto" w:fill="FFFFFF"/>
        </w:rPr>
      </w:pPr>
      <w:r w:rsidRPr="00B33A7B">
        <w:rPr>
          <w:rFonts w:cs="Arial"/>
          <w:color w:val="000000" w:themeColor="text1"/>
          <w:shd w:val="clear" w:color="auto" w:fill="FFFFFF"/>
        </w:rPr>
        <w:t xml:space="preserve">“Tribal Entity” means a Tribe, or a </w:t>
      </w:r>
      <w:r w:rsidR="482D4473" w:rsidRPr="00B33A7B">
        <w:rPr>
          <w:rFonts w:cs="Arial"/>
          <w:color w:val="000000" w:themeColor="text1"/>
          <w:shd w:val="clear" w:color="auto" w:fill="FFFFFF"/>
        </w:rPr>
        <w:t>T</w:t>
      </w:r>
      <w:r w:rsidRPr="00B33A7B">
        <w:rPr>
          <w:rFonts w:cs="Arial"/>
          <w:color w:val="000000" w:themeColor="text1"/>
          <w:shd w:val="clear" w:color="auto" w:fill="FFFFFF"/>
        </w:rPr>
        <w:t xml:space="preserve">ribally </w:t>
      </w:r>
      <w:r w:rsidR="482D4473" w:rsidRPr="00B33A7B">
        <w:rPr>
          <w:rFonts w:cs="Arial"/>
          <w:color w:val="000000" w:themeColor="text1"/>
          <w:shd w:val="clear" w:color="auto" w:fill="FFFFFF"/>
        </w:rPr>
        <w:t>D</w:t>
      </w:r>
      <w:r w:rsidRPr="00B33A7B">
        <w:rPr>
          <w:rFonts w:cs="Arial"/>
          <w:color w:val="000000" w:themeColor="text1"/>
          <w:shd w:val="clear" w:color="auto" w:fill="FFFFFF"/>
        </w:rPr>
        <w:t xml:space="preserve">esignated </w:t>
      </w:r>
      <w:r w:rsidR="482D4473" w:rsidRPr="00B33A7B">
        <w:rPr>
          <w:rFonts w:cs="Arial"/>
          <w:color w:val="000000" w:themeColor="text1"/>
          <w:shd w:val="clear" w:color="auto" w:fill="FFFFFF"/>
        </w:rPr>
        <w:t>H</w:t>
      </w:r>
      <w:r w:rsidRPr="00B33A7B">
        <w:rPr>
          <w:rFonts w:cs="Arial"/>
          <w:color w:val="000000" w:themeColor="text1"/>
          <w:shd w:val="clear" w:color="auto" w:fill="FFFFFF"/>
        </w:rPr>
        <w:t xml:space="preserve">ousing </w:t>
      </w:r>
      <w:r w:rsidR="482D4473" w:rsidRPr="00B33A7B">
        <w:rPr>
          <w:rFonts w:cs="Arial"/>
          <w:color w:val="000000" w:themeColor="text1"/>
          <w:shd w:val="clear" w:color="auto" w:fill="FFFFFF"/>
        </w:rPr>
        <w:t>E</w:t>
      </w:r>
      <w:r w:rsidRPr="00B33A7B">
        <w:rPr>
          <w:rFonts w:cs="Arial"/>
          <w:color w:val="000000" w:themeColor="text1"/>
          <w:shd w:val="clear" w:color="auto" w:fill="FFFFFF"/>
        </w:rPr>
        <w:t>ntity</w:t>
      </w:r>
      <w:r w:rsidR="0D777D2E" w:rsidRPr="00B33A7B">
        <w:rPr>
          <w:rFonts w:cs="Arial"/>
          <w:color w:val="000000" w:themeColor="text1"/>
          <w:shd w:val="clear" w:color="auto" w:fill="FFFFFF"/>
        </w:rPr>
        <w:t>. An Applicant that is any of the following</w:t>
      </w:r>
      <w:r w:rsidR="482D4473" w:rsidRPr="00B33A7B">
        <w:rPr>
          <w:rFonts w:cs="Arial"/>
          <w:color w:val="000000" w:themeColor="text1"/>
          <w:shd w:val="clear" w:color="auto" w:fill="FFFFFF"/>
        </w:rPr>
        <w:t>:</w:t>
      </w:r>
      <w:r w:rsidRPr="00B33A7B">
        <w:rPr>
          <w:rFonts w:cs="Arial"/>
          <w:color w:val="000000" w:themeColor="text1"/>
          <w:shd w:val="clear" w:color="auto" w:fill="FFFFFF"/>
        </w:rPr>
        <w:t xml:space="preserve"> </w:t>
      </w:r>
    </w:p>
    <w:p w14:paraId="462202E1" w14:textId="77777777" w:rsidR="006F155C" w:rsidRPr="00B33A7B" w:rsidRDefault="006F155C" w:rsidP="006F155C">
      <w:pPr>
        <w:ind w:right="-3"/>
        <w:rPr>
          <w:color w:val="0078D4"/>
          <w:u w:val="single"/>
        </w:rPr>
      </w:pPr>
    </w:p>
    <w:p w14:paraId="21D55CF6" w14:textId="3EC3A68B" w:rsidR="006F155C" w:rsidRPr="00B33A7B" w:rsidRDefault="006F155C" w:rsidP="00993D09">
      <w:pPr>
        <w:pStyle w:val="ListParagraph"/>
        <w:numPr>
          <w:ilvl w:val="0"/>
          <w:numId w:val="78"/>
        </w:numPr>
        <w:ind w:right="360" w:hanging="720"/>
        <w:rPr>
          <w:rFonts w:cs="Arial"/>
        </w:rPr>
      </w:pPr>
      <w:r w:rsidRPr="00CA6705">
        <w:rPr>
          <w:rFonts w:cs="Arial"/>
        </w:rPr>
        <w:t>An Indian Tribe as</w:t>
      </w:r>
      <w:r w:rsidRPr="00B33A7B">
        <w:rPr>
          <w:rFonts w:cs="Arial"/>
        </w:rPr>
        <w:t xml:space="preserve"> defined under </w:t>
      </w:r>
      <w:r w:rsidR="00507C79" w:rsidRPr="00B33A7B">
        <w:rPr>
          <w:rFonts w:cs="Arial"/>
        </w:rPr>
        <w:t xml:space="preserve">USC </w:t>
      </w:r>
      <w:r w:rsidR="0003427E" w:rsidRPr="00B33A7B">
        <w:rPr>
          <w:rFonts w:cs="Arial"/>
        </w:rPr>
        <w:t>S</w:t>
      </w:r>
      <w:r w:rsidRPr="00B33A7B">
        <w:rPr>
          <w:rFonts w:cs="Arial"/>
        </w:rPr>
        <w:t>ection 4103(13)(B) of Title 25.</w:t>
      </w:r>
    </w:p>
    <w:p w14:paraId="01BCB0C2" w14:textId="77777777" w:rsidR="00D76952" w:rsidRPr="00B33A7B" w:rsidRDefault="00D76952" w:rsidP="00D76952">
      <w:pPr>
        <w:pStyle w:val="ListParagraph"/>
        <w:ind w:left="1440" w:right="360"/>
        <w:rPr>
          <w:rFonts w:cs="Arial"/>
        </w:rPr>
      </w:pPr>
    </w:p>
    <w:p w14:paraId="115C2070" w14:textId="27EF3BE5" w:rsidR="006F155C" w:rsidRPr="00B33A7B" w:rsidRDefault="5E58E038" w:rsidP="00993D09">
      <w:pPr>
        <w:pStyle w:val="ListParagraph"/>
        <w:numPr>
          <w:ilvl w:val="0"/>
          <w:numId w:val="78"/>
        </w:numPr>
        <w:ind w:right="360" w:hanging="720"/>
        <w:rPr>
          <w:rFonts w:cs="Arial"/>
        </w:rPr>
      </w:pPr>
      <w:r w:rsidRPr="00B33A7B">
        <w:rPr>
          <w:rFonts w:cs="Arial"/>
        </w:rPr>
        <w:t xml:space="preserve">A Tribally Designated Housing Entity under 25 </w:t>
      </w:r>
      <w:r w:rsidR="1B5C6703" w:rsidRPr="00B33A7B">
        <w:rPr>
          <w:rFonts w:cs="Arial"/>
        </w:rPr>
        <w:t>USC</w:t>
      </w:r>
      <w:r w:rsidRPr="00B33A7B">
        <w:rPr>
          <w:rFonts w:cs="Arial"/>
        </w:rPr>
        <w:t xml:space="preserve"> 4103 (22) and Health and Safety Code section 50104.6.5 </w:t>
      </w:r>
    </w:p>
    <w:p w14:paraId="273F287D" w14:textId="77777777" w:rsidR="00D76952" w:rsidRPr="00B33A7B" w:rsidRDefault="00D76952" w:rsidP="00D76952">
      <w:pPr>
        <w:ind w:right="360"/>
        <w:rPr>
          <w:rFonts w:cs="Arial"/>
        </w:rPr>
      </w:pPr>
    </w:p>
    <w:p w14:paraId="16551EB7" w14:textId="68B64400" w:rsidR="006F155C" w:rsidRPr="00B33A7B" w:rsidRDefault="006F155C" w:rsidP="00993D09">
      <w:pPr>
        <w:pStyle w:val="ListParagraph"/>
        <w:numPr>
          <w:ilvl w:val="0"/>
          <w:numId w:val="78"/>
        </w:numPr>
        <w:ind w:right="360" w:hanging="720"/>
        <w:rPr>
          <w:rFonts w:cs="Arial"/>
        </w:rPr>
      </w:pPr>
      <w:r w:rsidRPr="00B33A7B">
        <w:rPr>
          <w:rFonts w:cs="Arial"/>
        </w:rPr>
        <w:t xml:space="preserve">If not a federally </w:t>
      </w:r>
      <w:r w:rsidR="007861B7" w:rsidRPr="00B33A7B">
        <w:rPr>
          <w:rFonts w:cs="Arial"/>
        </w:rPr>
        <w:t>recognized</w:t>
      </w:r>
      <w:r w:rsidRPr="00B33A7B">
        <w:rPr>
          <w:rFonts w:cs="Arial"/>
        </w:rPr>
        <w:t xml:space="preserve"> </w:t>
      </w:r>
      <w:r w:rsidR="00240E95" w:rsidRPr="00B33A7B">
        <w:rPr>
          <w:rFonts w:cs="Arial"/>
        </w:rPr>
        <w:t>T</w:t>
      </w:r>
      <w:r w:rsidRPr="00B33A7B">
        <w:rPr>
          <w:rFonts w:cs="Arial"/>
        </w:rPr>
        <w:t xml:space="preserve">ribe as </w:t>
      </w:r>
      <w:r w:rsidR="007861B7" w:rsidRPr="00B33A7B">
        <w:rPr>
          <w:rFonts w:cs="Arial"/>
        </w:rPr>
        <w:t>identified</w:t>
      </w:r>
      <w:r w:rsidRPr="00B33A7B">
        <w:rPr>
          <w:rFonts w:cs="Arial"/>
        </w:rPr>
        <w:t xml:space="preserve"> above, either: </w:t>
      </w:r>
    </w:p>
    <w:p w14:paraId="015BB233" w14:textId="77777777" w:rsidR="007861B7" w:rsidRPr="00B33A7B" w:rsidRDefault="007861B7" w:rsidP="007861B7">
      <w:pPr>
        <w:ind w:right="360"/>
        <w:rPr>
          <w:rFonts w:cs="Arial"/>
        </w:rPr>
      </w:pPr>
    </w:p>
    <w:p w14:paraId="5A880488" w14:textId="3C558205" w:rsidR="006F155C" w:rsidRPr="00B33A7B" w:rsidRDefault="006F155C" w:rsidP="00240FF5">
      <w:pPr>
        <w:pStyle w:val="ListParagraph"/>
        <w:numPr>
          <w:ilvl w:val="0"/>
          <w:numId w:val="48"/>
        </w:numPr>
        <w:ind w:left="1800" w:right="90"/>
        <w:rPr>
          <w:rFonts w:cs="Arial"/>
        </w:rPr>
      </w:pPr>
      <w:r w:rsidRPr="00B33A7B">
        <w:rPr>
          <w:rFonts w:cs="Arial"/>
        </w:rPr>
        <w:t xml:space="preserve">Listed in the Bureau of Indian Affairs Office of Federal Acknowledgment Petitioner List, pursuant to </w:t>
      </w:r>
      <w:r w:rsidR="005A336C" w:rsidRPr="00B33A7B">
        <w:rPr>
          <w:rFonts w:cs="Arial"/>
        </w:rPr>
        <w:t xml:space="preserve">Federal Code of Regulations (CFR) </w:t>
      </w:r>
      <w:r w:rsidR="0003427E" w:rsidRPr="00B33A7B">
        <w:rPr>
          <w:rFonts w:cs="Arial"/>
        </w:rPr>
        <w:t>S</w:t>
      </w:r>
      <w:r w:rsidRPr="00B33A7B">
        <w:rPr>
          <w:rFonts w:cs="Arial"/>
        </w:rPr>
        <w:t>ection 83.1 of Title 25</w:t>
      </w:r>
      <w:r w:rsidR="00D502A3" w:rsidRPr="00B33A7B">
        <w:rPr>
          <w:rFonts w:cs="Arial"/>
        </w:rPr>
        <w:t>; or</w:t>
      </w:r>
      <w:r w:rsidRPr="00B33A7B">
        <w:rPr>
          <w:rFonts w:cs="Arial"/>
        </w:rPr>
        <w:t xml:space="preserve"> </w:t>
      </w:r>
    </w:p>
    <w:p w14:paraId="33FB47EA" w14:textId="77777777" w:rsidR="007861B7" w:rsidRPr="00B33A7B" w:rsidRDefault="007861B7" w:rsidP="00240FF5">
      <w:pPr>
        <w:pStyle w:val="ListParagraph"/>
        <w:ind w:left="1800" w:right="90" w:hanging="360"/>
        <w:rPr>
          <w:rFonts w:cs="Arial"/>
        </w:rPr>
      </w:pPr>
    </w:p>
    <w:p w14:paraId="4113667D" w14:textId="2DFD1B1C" w:rsidR="006F155C" w:rsidRPr="00B33A7B" w:rsidRDefault="007861B7" w:rsidP="00240FF5">
      <w:pPr>
        <w:pStyle w:val="ListParagraph"/>
        <w:numPr>
          <w:ilvl w:val="0"/>
          <w:numId w:val="48"/>
        </w:numPr>
        <w:ind w:left="1800" w:right="90"/>
        <w:rPr>
          <w:rFonts w:cs="Arial"/>
        </w:rPr>
      </w:pPr>
      <w:r w:rsidRPr="00B33A7B">
        <w:rPr>
          <w:rFonts w:cs="Arial"/>
        </w:rPr>
        <w:lastRenderedPageBreak/>
        <w:t>Indian</w:t>
      </w:r>
      <w:r w:rsidR="006F155C" w:rsidRPr="00B33A7B">
        <w:rPr>
          <w:rFonts w:cs="Arial"/>
        </w:rPr>
        <w:t xml:space="preserve"> Tribe located in California that is on the contact list maintained by the Native </w:t>
      </w:r>
      <w:r w:rsidRPr="00B33A7B">
        <w:rPr>
          <w:rFonts w:cs="Arial"/>
        </w:rPr>
        <w:t>American</w:t>
      </w:r>
      <w:r w:rsidR="006F155C" w:rsidRPr="00B33A7B">
        <w:rPr>
          <w:rFonts w:cs="Arial"/>
        </w:rPr>
        <w:t xml:space="preserve"> Heritage Commission for the </w:t>
      </w:r>
      <w:r w:rsidRPr="00B33A7B">
        <w:rPr>
          <w:rFonts w:cs="Arial"/>
        </w:rPr>
        <w:t>purposes</w:t>
      </w:r>
      <w:r w:rsidR="006F155C" w:rsidRPr="00B33A7B">
        <w:rPr>
          <w:rFonts w:cs="Arial"/>
        </w:rPr>
        <w:t xml:space="preserve"> of consultation </w:t>
      </w:r>
      <w:r w:rsidRPr="00B33A7B">
        <w:rPr>
          <w:rFonts w:cs="Arial"/>
        </w:rPr>
        <w:t>pursuant</w:t>
      </w:r>
      <w:r w:rsidR="006F155C" w:rsidRPr="00B33A7B">
        <w:rPr>
          <w:rFonts w:cs="Arial"/>
        </w:rPr>
        <w:t xml:space="preserve"> to </w:t>
      </w:r>
      <w:r w:rsidR="00304D53" w:rsidRPr="00B33A7B">
        <w:rPr>
          <w:rFonts w:cs="Arial"/>
        </w:rPr>
        <w:t xml:space="preserve">GC </w:t>
      </w:r>
      <w:r w:rsidR="0003427E" w:rsidRPr="00B33A7B">
        <w:rPr>
          <w:rFonts w:cs="Arial"/>
        </w:rPr>
        <w:t>S</w:t>
      </w:r>
      <w:r w:rsidR="006F155C" w:rsidRPr="00B33A7B">
        <w:rPr>
          <w:rFonts w:cs="Arial"/>
        </w:rPr>
        <w:t>ection 65352.3.</w:t>
      </w:r>
    </w:p>
    <w:p w14:paraId="2B134541" w14:textId="77777777" w:rsidR="00D8724D" w:rsidRPr="00B33A7B" w:rsidRDefault="00D8724D" w:rsidP="00D8724D">
      <w:pPr>
        <w:pStyle w:val="ListParagraph"/>
        <w:ind w:right="90"/>
        <w:rPr>
          <w:rFonts w:cs="Arial"/>
          <w:color w:val="000000" w:themeColor="text1"/>
          <w:shd w:val="clear" w:color="auto" w:fill="FFFFFF"/>
        </w:rPr>
      </w:pPr>
    </w:p>
    <w:p w14:paraId="4C98C854" w14:textId="51D181AF" w:rsidR="001F52C6" w:rsidRPr="00CA6705" w:rsidRDefault="3206EBD7" w:rsidP="00240FF5">
      <w:pPr>
        <w:pStyle w:val="ListParagraph"/>
        <w:numPr>
          <w:ilvl w:val="0"/>
          <w:numId w:val="2"/>
        </w:numPr>
        <w:ind w:right="90" w:hanging="810"/>
        <w:rPr>
          <w:rFonts w:cs="Arial"/>
          <w:color w:val="000000" w:themeColor="text1"/>
          <w:shd w:val="clear" w:color="auto" w:fill="FFFFFF"/>
        </w:rPr>
      </w:pPr>
      <w:r w:rsidRPr="00B33A7B">
        <w:t xml:space="preserve">“Tribal Household” means a household with (1) at least one household member who is recognized </w:t>
      </w:r>
      <w:r w:rsidRPr="00CA6705">
        <w:t xml:space="preserve">as a </w:t>
      </w:r>
      <w:r w:rsidR="003E4E74" w:rsidRPr="00CA6705">
        <w:t>T</w:t>
      </w:r>
      <w:r w:rsidRPr="00CA6705">
        <w:t>ribal member by an Indian Tribe; and (2) a gross income not to exceed 60 percent of the Area Median Income, in accordance with HSC section 53559(e)(3)(C). For purposes of this definition, Area Median Income is determined by the greater of the median income of the county (or equivalent geographic location) in which the Indian Area is located, or the median income of the United States, in accordance with NAHASDA.</w:t>
      </w:r>
    </w:p>
    <w:p w14:paraId="76DFEA16" w14:textId="2737ADD1" w:rsidR="001F52C6" w:rsidRPr="00CA6705" w:rsidRDefault="3206EBD7" w:rsidP="00525069">
      <w:pPr>
        <w:ind w:right="90"/>
        <w:rPr>
          <w:color w:val="000000" w:themeColor="text1"/>
          <w:shd w:val="clear" w:color="auto" w:fill="FFFFFF"/>
        </w:rPr>
      </w:pPr>
      <w:r w:rsidRPr="00CA6705">
        <w:rPr>
          <w:rFonts w:cs="Arial"/>
          <w:color w:val="000000" w:themeColor="text1"/>
        </w:rPr>
        <w:t xml:space="preserve"> </w:t>
      </w:r>
    </w:p>
    <w:p w14:paraId="567A0E00" w14:textId="6F8830E8" w:rsidR="255D1F0B" w:rsidRPr="00B33A7B" w:rsidRDefault="255D1F0B" w:rsidP="00071A96">
      <w:pPr>
        <w:pStyle w:val="ListParagraph"/>
        <w:numPr>
          <w:ilvl w:val="0"/>
          <w:numId w:val="2"/>
        </w:numPr>
        <w:ind w:right="90" w:hanging="990"/>
        <w:rPr>
          <w:color w:val="000000" w:themeColor="text1"/>
        </w:rPr>
      </w:pPr>
      <w:r w:rsidRPr="00CA6705">
        <w:rPr>
          <w:color w:val="000000" w:themeColor="text1"/>
        </w:rPr>
        <w:t xml:space="preserve">“Tribal Trust or Restricted Land” means any land title which is either held in trust by the United States for the benefit of any Indian </w:t>
      </w:r>
      <w:r w:rsidR="003E4E74" w:rsidRPr="00CA6705">
        <w:rPr>
          <w:color w:val="000000" w:themeColor="text1"/>
        </w:rPr>
        <w:t>T</w:t>
      </w:r>
      <w:r w:rsidRPr="00CA6705">
        <w:rPr>
          <w:color w:val="000000" w:themeColor="text1"/>
        </w:rPr>
        <w:t xml:space="preserve">ribe or individual or held by any Indian tribe or individual subject to restriction by the United States against alienation and over which an Indian </w:t>
      </w:r>
      <w:r w:rsidR="003E4E74" w:rsidRPr="00CA6705">
        <w:rPr>
          <w:color w:val="000000" w:themeColor="text1"/>
        </w:rPr>
        <w:t>T</w:t>
      </w:r>
      <w:r w:rsidRPr="00CA6705">
        <w:rPr>
          <w:color w:val="000000" w:themeColor="text1"/>
        </w:rPr>
        <w:t>ribe exercises</w:t>
      </w:r>
      <w:r w:rsidRPr="00B33A7B">
        <w:rPr>
          <w:color w:val="000000" w:themeColor="text1"/>
        </w:rPr>
        <w:t xml:space="preserve"> governmental power.</w:t>
      </w:r>
    </w:p>
    <w:p w14:paraId="14B0BEBF" w14:textId="77777777" w:rsidR="001F52C6" w:rsidRPr="00B33A7B" w:rsidRDefault="001F52C6" w:rsidP="001F52C6">
      <w:pPr>
        <w:pStyle w:val="ListParagraph"/>
        <w:ind w:right="90"/>
        <w:rPr>
          <w:rFonts w:cs="Arial"/>
          <w:color w:val="000000" w:themeColor="text1"/>
          <w:shd w:val="clear" w:color="auto" w:fill="FFFFFF"/>
        </w:rPr>
      </w:pPr>
    </w:p>
    <w:p w14:paraId="24E732CB" w14:textId="7158CDE6" w:rsidR="00D8724D" w:rsidRPr="00B33A7B" w:rsidRDefault="46F9EB2D" w:rsidP="00071A96">
      <w:pPr>
        <w:pStyle w:val="ListParagraph"/>
        <w:numPr>
          <w:ilvl w:val="0"/>
          <w:numId w:val="2"/>
        </w:numPr>
        <w:ind w:right="90" w:hanging="990"/>
        <w:rPr>
          <w:rFonts w:cs="Arial"/>
          <w:color w:val="000000" w:themeColor="text1"/>
          <w:shd w:val="clear" w:color="auto" w:fill="FFFFFF"/>
        </w:rPr>
      </w:pPr>
      <w:r w:rsidRPr="00B33A7B">
        <w:rPr>
          <w:rFonts w:cs="Arial"/>
          <w:color w:val="000000" w:themeColor="text1"/>
          <w:shd w:val="clear" w:color="auto" w:fill="FFFFFF"/>
        </w:rPr>
        <w:t>“Unit” has the same definition as UMR Section 8301(x).</w:t>
      </w:r>
    </w:p>
    <w:p w14:paraId="76BE6085" w14:textId="77777777" w:rsidR="00321199" w:rsidRPr="00B33A7B" w:rsidRDefault="00321199" w:rsidP="004076AF">
      <w:pPr>
        <w:pStyle w:val="ListParagraph"/>
        <w:ind w:right="90"/>
        <w:rPr>
          <w:rFonts w:cs="Arial"/>
          <w:color w:val="000000" w:themeColor="text1"/>
          <w:shd w:val="clear" w:color="auto" w:fill="FFFFFF"/>
        </w:rPr>
      </w:pPr>
    </w:p>
    <w:p w14:paraId="49EE3FE4" w14:textId="2B5F7234" w:rsidR="00E51945" w:rsidRPr="00B33A7B" w:rsidRDefault="129922E8" w:rsidP="00071A96">
      <w:pPr>
        <w:pStyle w:val="ListParagraph"/>
        <w:numPr>
          <w:ilvl w:val="0"/>
          <w:numId w:val="2"/>
        </w:numPr>
        <w:ind w:right="90"/>
        <w:rPr>
          <w:rFonts w:cs="Arial"/>
          <w:color w:val="000000" w:themeColor="text1"/>
          <w:shd w:val="clear" w:color="auto" w:fill="FFFFFF"/>
        </w:rPr>
      </w:pPr>
      <w:r w:rsidRPr="00B33A7B">
        <w:rPr>
          <w:rFonts w:cs="Arial"/>
          <w:color w:val="000000" w:themeColor="text1"/>
          <w:shd w:val="clear" w:color="auto" w:fill="FFFFFF"/>
        </w:rPr>
        <w:t>“</w:t>
      </w:r>
      <w:r w:rsidR="6BBBED69" w:rsidRPr="00B33A7B">
        <w:rPr>
          <w:rFonts w:cs="Arial"/>
          <w:color w:val="000000" w:themeColor="text1"/>
          <w:shd w:val="clear" w:color="auto" w:fill="FFFFFF"/>
        </w:rPr>
        <w:t>Urbanized Area</w:t>
      </w:r>
      <w:r w:rsidRPr="00B33A7B">
        <w:rPr>
          <w:rFonts w:cs="Arial"/>
          <w:color w:val="000000" w:themeColor="text1"/>
          <w:shd w:val="clear" w:color="auto" w:fill="FFFFFF"/>
        </w:rPr>
        <w:t>”</w:t>
      </w:r>
      <w:r w:rsidR="2190BB89" w:rsidRPr="00B33A7B">
        <w:rPr>
          <w:rFonts w:cs="Arial"/>
          <w:color w:val="000000" w:themeColor="text1"/>
          <w:shd w:val="clear" w:color="auto" w:fill="FFFFFF"/>
        </w:rPr>
        <w:t xml:space="preserve"> </w:t>
      </w:r>
      <w:r w:rsidR="73729E9A" w:rsidRPr="00B33A7B">
        <w:t xml:space="preserve">is defined in accordance with Health and Safety Code section 53559.1, subdivision (e). As such, the term refers to </w:t>
      </w:r>
      <w:r w:rsidR="082B6788" w:rsidRPr="00B33A7B">
        <w:rPr>
          <w:rFonts w:cs="Arial"/>
          <w:color w:val="000000" w:themeColor="text1"/>
          <w:shd w:val="clear" w:color="auto" w:fill="FFFFFF"/>
        </w:rPr>
        <w:t xml:space="preserve">an incorporated city or an Urbanized Area or urban cluster as defined by the United States Census Bureau. For unincorporated areas outside of an </w:t>
      </w:r>
      <w:r w:rsidR="07F05A5A" w:rsidRPr="00B33A7B">
        <w:rPr>
          <w:rFonts w:cs="Arial"/>
          <w:color w:val="000000" w:themeColor="text1"/>
        </w:rPr>
        <w:t xml:space="preserve">urban area </w:t>
      </w:r>
      <w:r w:rsidR="082B6788" w:rsidRPr="00B33A7B">
        <w:rPr>
          <w:rFonts w:cs="Arial"/>
          <w:color w:val="000000" w:themeColor="text1"/>
          <w:shd w:val="clear" w:color="auto" w:fill="FFFFFF"/>
        </w:rPr>
        <w:t>or urban cluster, the area must be within a designated urban service area that is designated in the local general plan for urban development and is served by the public sewer and water.</w:t>
      </w:r>
      <w:r w:rsidR="2AFFD268" w:rsidRPr="00B33A7B">
        <w:rPr>
          <w:rFonts w:cs="Arial"/>
          <w:color w:val="000000" w:themeColor="text1"/>
        </w:rPr>
        <w:t xml:space="preserve"> </w:t>
      </w:r>
    </w:p>
    <w:p w14:paraId="431D868B" w14:textId="77777777" w:rsidR="00321199" w:rsidRPr="00B33A7B" w:rsidRDefault="00321199" w:rsidP="007F07F8">
      <w:pPr>
        <w:tabs>
          <w:tab w:val="left" w:pos="0"/>
          <w:tab w:val="left" w:pos="27"/>
          <w:tab w:val="left" w:pos="702"/>
          <w:tab w:val="left" w:pos="747"/>
        </w:tabs>
        <w:ind w:left="720"/>
        <w:rPr>
          <w:rFonts w:cs="Arial"/>
        </w:rPr>
      </w:pPr>
    </w:p>
    <w:p w14:paraId="5EBF670D" w14:textId="0A33085D" w:rsidR="00321199" w:rsidRPr="00B33A7B" w:rsidRDefault="129922E8" w:rsidP="00993D09">
      <w:pPr>
        <w:pStyle w:val="ListParagraph"/>
        <w:numPr>
          <w:ilvl w:val="0"/>
          <w:numId w:val="2"/>
        </w:numPr>
        <w:ind w:right="90"/>
        <w:rPr>
          <w:rFonts w:cs="Arial"/>
          <w:color w:val="000000" w:themeColor="text1"/>
          <w:shd w:val="clear" w:color="auto" w:fill="FFFFFF"/>
        </w:rPr>
      </w:pPr>
      <w:r w:rsidRPr="00B33A7B">
        <w:rPr>
          <w:rFonts w:cs="Arial"/>
          <w:color w:val="000000" w:themeColor="text1"/>
          <w:shd w:val="clear" w:color="auto" w:fill="FFFFFF"/>
        </w:rPr>
        <w:t>“</w:t>
      </w:r>
      <w:r w:rsidR="6BBBED69" w:rsidRPr="00B33A7B">
        <w:rPr>
          <w:rFonts w:cs="Arial"/>
          <w:color w:val="000000" w:themeColor="text1"/>
          <w:shd w:val="clear" w:color="auto" w:fill="FFFFFF"/>
        </w:rPr>
        <w:t>Urban Uses</w:t>
      </w:r>
      <w:r w:rsidRPr="00B33A7B">
        <w:rPr>
          <w:rFonts w:cs="Arial"/>
          <w:color w:val="000000" w:themeColor="text1"/>
          <w:shd w:val="clear" w:color="auto" w:fill="FFFFFF"/>
        </w:rPr>
        <w:t xml:space="preserve">" </w:t>
      </w:r>
      <w:r w:rsidR="2190BB89" w:rsidRPr="00B33A7B">
        <w:rPr>
          <w:rFonts w:cs="Arial"/>
          <w:color w:val="000000" w:themeColor="text1"/>
          <w:shd w:val="clear" w:color="auto" w:fill="FFFFFF"/>
        </w:rPr>
        <w:t>means any residential, commercial, industrial, public institutional, transit or transportation passenger facility, or retail use, or any combination of those uses.</w:t>
      </w:r>
    </w:p>
    <w:p w14:paraId="6FE139E2" w14:textId="77777777" w:rsidR="00321199" w:rsidRPr="00B33A7B" w:rsidRDefault="00321199" w:rsidP="004076AF">
      <w:pPr>
        <w:pStyle w:val="ListParagraph"/>
        <w:ind w:right="90"/>
        <w:rPr>
          <w:rFonts w:cs="Arial"/>
          <w:color w:val="000000" w:themeColor="text1"/>
          <w:shd w:val="clear" w:color="auto" w:fill="FFFFFF"/>
        </w:rPr>
      </w:pPr>
    </w:p>
    <w:p w14:paraId="2E767CFA" w14:textId="0285EC02" w:rsidR="00055CA2" w:rsidRPr="00B33A7B" w:rsidRDefault="129922E8" w:rsidP="00071A96">
      <w:pPr>
        <w:pStyle w:val="ListParagraph"/>
        <w:numPr>
          <w:ilvl w:val="0"/>
          <w:numId w:val="2"/>
        </w:numPr>
        <w:ind w:right="90" w:hanging="990"/>
        <w:rPr>
          <w:rFonts w:cs="Arial"/>
          <w:color w:val="000000" w:themeColor="text1"/>
          <w:shd w:val="clear" w:color="auto" w:fill="FFFFFF"/>
        </w:rPr>
      </w:pPr>
      <w:r w:rsidRPr="00B33A7B">
        <w:rPr>
          <w:rFonts w:cs="Arial"/>
          <w:color w:val="000000" w:themeColor="text1"/>
          <w:shd w:val="clear" w:color="auto" w:fill="FFFFFF"/>
        </w:rPr>
        <w:t>“Very</w:t>
      </w:r>
      <w:r w:rsidR="2C888000" w:rsidRPr="00B33A7B">
        <w:rPr>
          <w:rFonts w:cs="Arial"/>
          <w:color w:val="000000" w:themeColor="text1"/>
          <w:shd w:val="clear" w:color="auto" w:fill="FFFFFF"/>
        </w:rPr>
        <w:t xml:space="preserve"> </w:t>
      </w:r>
      <w:r w:rsidR="05F65E31" w:rsidRPr="00B33A7B">
        <w:rPr>
          <w:rFonts w:cs="Arial"/>
          <w:color w:val="000000" w:themeColor="text1"/>
          <w:shd w:val="clear" w:color="auto" w:fill="FFFFFF"/>
        </w:rPr>
        <w:t>L</w:t>
      </w:r>
      <w:r w:rsidRPr="00B33A7B">
        <w:rPr>
          <w:rFonts w:cs="Arial"/>
          <w:color w:val="000000" w:themeColor="text1"/>
          <w:shd w:val="clear" w:color="auto" w:fill="FFFFFF"/>
        </w:rPr>
        <w:t xml:space="preserve">ow Income” </w:t>
      </w:r>
      <w:r w:rsidR="32CF766D" w:rsidRPr="00B33A7B">
        <w:rPr>
          <w:rFonts w:cs="Arial"/>
          <w:color w:val="000000" w:themeColor="text1"/>
          <w:shd w:val="clear" w:color="auto" w:fill="FFFFFF"/>
        </w:rPr>
        <w:t xml:space="preserve">means </w:t>
      </w:r>
      <w:r w:rsidR="32CF766D" w:rsidRPr="00B33A7B">
        <w:t xml:space="preserve">households with Gross Incomes not exceeding 50 percent of AMI as set forth in </w:t>
      </w:r>
      <w:r w:rsidR="52FF5916" w:rsidRPr="00B33A7B">
        <w:t>HSC</w:t>
      </w:r>
      <w:r w:rsidR="32CF766D" w:rsidRPr="00B33A7B">
        <w:t xml:space="preserve"> Section 50105.</w:t>
      </w:r>
    </w:p>
    <w:p w14:paraId="42DD2979" w14:textId="05641C59" w:rsidR="005C37DF" w:rsidRPr="00B33A7B" w:rsidRDefault="005C37DF" w:rsidP="004076AF">
      <w:pPr>
        <w:pStyle w:val="ListParagraph"/>
        <w:ind w:right="90"/>
        <w:rPr>
          <w:rFonts w:cs="Arial"/>
          <w:color w:val="000000" w:themeColor="text1"/>
          <w:shd w:val="clear" w:color="auto" w:fill="FFFFFF"/>
        </w:rPr>
      </w:pPr>
    </w:p>
    <w:p w14:paraId="5703F17A" w14:textId="2B3537AC" w:rsidR="00AE7FED" w:rsidRPr="00B33A7B" w:rsidRDefault="426A87B4" w:rsidP="00240FF5">
      <w:pPr>
        <w:pStyle w:val="ListParagraph"/>
        <w:numPr>
          <w:ilvl w:val="0"/>
          <w:numId w:val="2"/>
        </w:numPr>
        <w:ind w:right="90" w:hanging="810"/>
        <w:rPr>
          <w:rFonts w:cs="Arial"/>
          <w:color w:val="000000" w:themeColor="text1"/>
          <w:shd w:val="clear" w:color="auto" w:fill="FFFFFF"/>
        </w:rPr>
      </w:pPr>
      <w:r w:rsidRPr="00B33A7B">
        <w:rPr>
          <w:rFonts w:cs="Arial"/>
          <w:color w:val="000000" w:themeColor="text1"/>
          <w:shd w:val="clear" w:color="auto" w:fill="FFFFFF"/>
        </w:rPr>
        <w:t>“</w:t>
      </w:r>
      <w:r w:rsidR="12403705" w:rsidRPr="00B33A7B">
        <w:rPr>
          <w:rFonts w:cs="Arial"/>
          <w:color w:val="000000" w:themeColor="text1"/>
          <w:shd w:val="clear" w:color="auto" w:fill="FFFFFF"/>
        </w:rPr>
        <w:t>Veteran</w:t>
      </w:r>
      <w:r w:rsidRPr="00B33A7B">
        <w:rPr>
          <w:rFonts w:cs="Arial"/>
          <w:color w:val="000000" w:themeColor="text1"/>
          <w:shd w:val="clear" w:color="auto" w:fill="FFFFFF"/>
        </w:rPr>
        <w:t>”</w:t>
      </w:r>
      <w:r w:rsidR="12403705" w:rsidRPr="00B33A7B">
        <w:rPr>
          <w:rFonts w:cs="Arial"/>
          <w:color w:val="000000" w:themeColor="text1"/>
          <w:shd w:val="clear" w:color="auto" w:fill="FFFFFF"/>
        </w:rPr>
        <w:t xml:space="preserve"> means any person who actively served within one or more of the military services of the United States who was called to and released from active duty or active service, for a period of not less than 90 consecutive days or was discharged from the service due to a service-connected Disability within that 90-day period. This includes all Veterans regardless of discharge status. </w:t>
      </w:r>
    </w:p>
    <w:p w14:paraId="32FC808C" w14:textId="77777777" w:rsidR="00430C55" w:rsidRPr="00B33A7B" w:rsidRDefault="00430C55" w:rsidP="004076AF">
      <w:pPr>
        <w:pStyle w:val="ListParagraph"/>
        <w:ind w:right="90"/>
        <w:rPr>
          <w:rFonts w:cs="Arial"/>
          <w:color w:val="000000" w:themeColor="text1"/>
          <w:shd w:val="clear" w:color="auto" w:fill="FFFFFF"/>
        </w:rPr>
      </w:pPr>
    </w:p>
    <w:p w14:paraId="68A8E8EB" w14:textId="2AE755B3" w:rsidR="00430C55" w:rsidRPr="00B33A7B" w:rsidRDefault="0BFC44E0" w:rsidP="00071A96">
      <w:pPr>
        <w:pStyle w:val="ListParagraph"/>
        <w:numPr>
          <w:ilvl w:val="0"/>
          <w:numId w:val="2"/>
        </w:numPr>
        <w:ind w:right="90" w:hanging="1350"/>
        <w:rPr>
          <w:rFonts w:cs="Arial"/>
          <w:color w:val="000000" w:themeColor="text1"/>
          <w:shd w:val="clear" w:color="auto" w:fill="FFFFFF"/>
        </w:rPr>
      </w:pPr>
      <w:r w:rsidRPr="00B33A7B">
        <w:rPr>
          <w:rFonts w:cs="Arial"/>
          <w:color w:val="000000" w:themeColor="text1"/>
          <w:shd w:val="clear" w:color="auto" w:fill="FFFFFF"/>
        </w:rPr>
        <w:t xml:space="preserve">“Workforce Housing Opportunity Zone” or “Zone” means an area of contiguous or noncontiguous parcels identified on a city or county’s inventory of land suitable for residential development pursuant to paragraph (3) of subdivision (a) of </w:t>
      </w:r>
      <w:r w:rsidR="4800DE46" w:rsidRPr="00B33A7B">
        <w:rPr>
          <w:rFonts w:cs="Arial"/>
          <w:color w:val="000000" w:themeColor="text1"/>
          <w:shd w:val="clear" w:color="auto" w:fill="FFFFFF"/>
        </w:rPr>
        <w:t xml:space="preserve">GC </w:t>
      </w:r>
      <w:r w:rsidR="23A8CB60" w:rsidRPr="00B33A7B">
        <w:rPr>
          <w:rFonts w:cs="Arial"/>
          <w:color w:val="000000" w:themeColor="text1"/>
          <w:shd w:val="clear" w:color="auto" w:fill="FFFFFF"/>
        </w:rPr>
        <w:t>S</w:t>
      </w:r>
      <w:r w:rsidRPr="00B33A7B">
        <w:rPr>
          <w:rFonts w:cs="Arial"/>
          <w:color w:val="000000" w:themeColor="text1"/>
          <w:shd w:val="clear" w:color="auto" w:fill="FFFFFF"/>
        </w:rPr>
        <w:t xml:space="preserve">ection 65583 established pursuant to </w:t>
      </w:r>
      <w:r w:rsidR="23A8CB60" w:rsidRPr="00B33A7B">
        <w:rPr>
          <w:rFonts w:cs="Arial"/>
          <w:color w:val="000000" w:themeColor="text1"/>
          <w:shd w:val="clear" w:color="auto" w:fill="FFFFFF"/>
        </w:rPr>
        <w:t>S</w:t>
      </w:r>
      <w:r w:rsidRPr="00B33A7B">
        <w:rPr>
          <w:rFonts w:cs="Arial"/>
          <w:color w:val="000000" w:themeColor="text1"/>
          <w:shd w:val="clear" w:color="auto" w:fill="FFFFFF"/>
        </w:rPr>
        <w:t>ection 65621.</w:t>
      </w:r>
    </w:p>
    <w:p w14:paraId="0A4E1998" w14:textId="79A41E8C" w:rsidR="00321199" w:rsidRPr="00B33A7B" w:rsidRDefault="00055CA2" w:rsidP="00307781">
      <w:pPr>
        <w:rPr>
          <w:b/>
          <w:bCs/>
        </w:rPr>
      </w:pPr>
      <w:r w:rsidRPr="00B33A7B">
        <w:rPr>
          <w:rFonts w:cs="Arial"/>
        </w:rPr>
        <w:br w:type="page"/>
      </w:r>
      <w:bookmarkStart w:id="8" w:name="_Toc21277639"/>
      <w:r w:rsidR="00F45907" w:rsidRPr="00B33A7B">
        <w:rPr>
          <w:b/>
          <w:bCs/>
        </w:rPr>
        <w:lastRenderedPageBreak/>
        <w:t>A</w:t>
      </w:r>
      <w:r w:rsidR="00067911" w:rsidRPr="00B33A7B">
        <w:rPr>
          <w:b/>
          <w:bCs/>
        </w:rPr>
        <w:t xml:space="preserve">rticle </w:t>
      </w:r>
      <w:r w:rsidR="00F45907" w:rsidRPr="00B33A7B">
        <w:rPr>
          <w:b/>
          <w:bCs/>
        </w:rPr>
        <w:t xml:space="preserve">2. </w:t>
      </w:r>
      <w:bookmarkEnd w:id="8"/>
      <w:r w:rsidR="00067911" w:rsidRPr="00B33A7B">
        <w:rPr>
          <w:b/>
          <w:bCs/>
        </w:rPr>
        <w:t>Administration of Funds</w:t>
      </w:r>
      <w:r w:rsidR="00707F38" w:rsidRPr="00B33A7B">
        <w:rPr>
          <w:b/>
          <w:bCs/>
        </w:rPr>
        <w:t>.</w:t>
      </w:r>
    </w:p>
    <w:p w14:paraId="71388FB1" w14:textId="77777777" w:rsidR="00321199" w:rsidRPr="00B33A7B" w:rsidRDefault="00321199" w:rsidP="0094324B">
      <w:pPr>
        <w:pStyle w:val="Style2"/>
        <w:ind w:left="0" w:right="90" w:firstLine="0"/>
        <w:outlineLvl w:val="1"/>
        <w:rPr>
          <w:color w:val="auto"/>
        </w:rPr>
      </w:pPr>
    </w:p>
    <w:p w14:paraId="2D21C9C8" w14:textId="441C240E" w:rsidR="00321199" w:rsidRPr="00B33A7B" w:rsidRDefault="00321199" w:rsidP="008A4F06">
      <w:pPr>
        <w:pStyle w:val="Style2"/>
        <w:outlineLvl w:val="1"/>
        <w:rPr>
          <w:color w:val="auto"/>
        </w:rPr>
      </w:pPr>
      <w:bookmarkStart w:id="9" w:name="_Toc21277640"/>
      <w:bookmarkStart w:id="10" w:name="_Toc106173284"/>
      <w:r w:rsidRPr="00B33A7B">
        <w:rPr>
          <w:color w:val="auto"/>
        </w:rPr>
        <w:t xml:space="preserve">Section </w:t>
      </w:r>
      <w:r w:rsidR="00533951" w:rsidRPr="00B33A7B">
        <w:rPr>
          <w:color w:val="auto"/>
        </w:rPr>
        <w:t>200</w:t>
      </w:r>
      <w:r w:rsidRPr="00B33A7B">
        <w:rPr>
          <w:color w:val="auto"/>
        </w:rPr>
        <w:t xml:space="preserve">. Eligible </w:t>
      </w:r>
      <w:r w:rsidR="00533951" w:rsidRPr="00B33A7B">
        <w:rPr>
          <w:color w:val="auto"/>
        </w:rPr>
        <w:t xml:space="preserve">Capital Improvement </w:t>
      </w:r>
      <w:r w:rsidRPr="00B33A7B">
        <w:rPr>
          <w:color w:val="auto"/>
        </w:rPr>
        <w:t>Projects</w:t>
      </w:r>
      <w:bookmarkEnd w:id="9"/>
      <w:r w:rsidR="00707F38" w:rsidRPr="00B33A7B">
        <w:rPr>
          <w:color w:val="auto"/>
        </w:rPr>
        <w:t>.</w:t>
      </w:r>
      <w:bookmarkEnd w:id="10"/>
    </w:p>
    <w:p w14:paraId="0446D9D2" w14:textId="77777777" w:rsidR="00321199" w:rsidRPr="00B33A7B" w:rsidRDefault="00321199" w:rsidP="00C83DED">
      <w:pPr>
        <w:pStyle w:val="ListParagraph"/>
        <w:ind w:right="90" w:hanging="720"/>
        <w:rPr>
          <w:rFonts w:cs="Arial"/>
        </w:rPr>
      </w:pPr>
    </w:p>
    <w:p w14:paraId="2602A649" w14:textId="082B029D" w:rsidR="0099155E" w:rsidRPr="00B33A7B" w:rsidRDefault="00321199" w:rsidP="00993D09">
      <w:pPr>
        <w:pStyle w:val="ListParagraph"/>
        <w:numPr>
          <w:ilvl w:val="0"/>
          <w:numId w:val="4"/>
        </w:numPr>
        <w:ind w:right="90"/>
        <w:rPr>
          <w:rFonts w:cs="Arial"/>
          <w:color w:val="000000" w:themeColor="text1"/>
          <w:shd w:val="clear" w:color="auto" w:fill="FFFFFF"/>
        </w:rPr>
      </w:pPr>
      <w:r w:rsidRPr="00B33A7B">
        <w:rPr>
          <w:rFonts w:cs="Arial"/>
          <w:color w:val="000000" w:themeColor="text1"/>
          <w:shd w:val="clear" w:color="auto" w:fill="FFFFFF"/>
        </w:rPr>
        <w:t xml:space="preserve">To be eligible for funding, a Capital Improvement Project must be an integral part of, or necessary </w:t>
      </w:r>
      <w:r w:rsidR="003B15B0" w:rsidRPr="00B33A7B">
        <w:rPr>
          <w:rFonts w:cs="Arial"/>
          <w:color w:val="000000" w:themeColor="text1"/>
          <w:shd w:val="clear" w:color="auto" w:fill="FFFFFF"/>
        </w:rPr>
        <w:t>to facilitate</w:t>
      </w:r>
      <w:r w:rsidRPr="00B33A7B">
        <w:rPr>
          <w:rFonts w:cs="Arial"/>
          <w:color w:val="000000" w:themeColor="text1"/>
          <w:shd w:val="clear" w:color="auto" w:fill="FFFFFF"/>
        </w:rPr>
        <w:t xml:space="preserve"> the development of</w:t>
      </w:r>
      <w:r w:rsidR="00CA262D" w:rsidRPr="00B33A7B">
        <w:rPr>
          <w:rFonts w:cs="Arial"/>
          <w:color w:val="000000" w:themeColor="text1"/>
          <w:shd w:val="clear" w:color="auto" w:fill="FFFFFF"/>
        </w:rPr>
        <w:t>,</w:t>
      </w:r>
      <w:r w:rsidRPr="00B33A7B">
        <w:rPr>
          <w:rFonts w:cs="Arial"/>
          <w:color w:val="000000" w:themeColor="text1"/>
          <w:shd w:val="clear" w:color="auto" w:fill="FFFFFF"/>
        </w:rPr>
        <w:t xml:space="preserve"> </w:t>
      </w:r>
      <w:r w:rsidR="00286796" w:rsidRPr="00B33A7B">
        <w:rPr>
          <w:rFonts w:cs="Arial"/>
          <w:color w:val="000000" w:themeColor="text1"/>
          <w:shd w:val="clear" w:color="auto" w:fill="FFFFFF"/>
        </w:rPr>
        <w:t xml:space="preserve">the </w:t>
      </w:r>
      <w:r w:rsidR="00DF6948" w:rsidRPr="00B33A7B">
        <w:rPr>
          <w:rFonts w:cs="Arial"/>
          <w:color w:val="000000" w:themeColor="text1"/>
          <w:shd w:val="clear" w:color="auto" w:fill="FFFFFF"/>
        </w:rPr>
        <w:t>Qualifying Infill Project</w:t>
      </w:r>
      <w:r w:rsidR="00976A2F" w:rsidRPr="00B33A7B">
        <w:rPr>
          <w:rFonts w:cs="Arial"/>
          <w:color w:val="000000" w:themeColor="text1"/>
          <w:shd w:val="clear" w:color="auto" w:fill="FFFFFF"/>
        </w:rPr>
        <w:t>(s)</w:t>
      </w:r>
      <w:r w:rsidRPr="00B33A7B">
        <w:rPr>
          <w:rFonts w:cs="Arial"/>
          <w:color w:val="000000" w:themeColor="text1"/>
          <w:shd w:val="clear" w:color="auto" w:fill="FFFFFF"/>
        </w:rPr>
        <w:t xml:space="preserve"> </w:t>
      </w:r>
      <w:proofErr w:type="gramStart"/>
      <w:r w:rsidRPr="00B33A7B">
        <w:rPr>
          <w:rFonts w:cs="Arial"/>
          <w:color w:val="000000" w:themeColor="text1"/>
          <w:shd w:val="clear" w:color="auto" w:fill="FFFFFF"/>
        </w:rPr>
        <w:t xml:space="preserve">or  </w:t>
      </w:r>
      <w:r w:rsidR="00FE59A2" w:rsidRPr="00B33A7B">
        <w:rPr>
          <w:rFonts w:cs="Arial"/>
          <w:color w:val="000000" w:themeColor="text1"/>
          <w:shd w:val="clear" w:color="auto" w:fill="FFFFFF"/>
        </w:rPr>
        <w:t>Qualifying</w:t>
      </w:r>
      <w:proofErr w:type="gramEnd"/>
      <w:r w:rsidR="00FE59A2" w:rsidRPr="00B33A7B">
        <w:rPr>
          <w:rFonts w:cs="Arial"/>
          <w:color w:val="000000" w:themeColor="text1"/>
          <w:shd w:val="clear" w:color="auto" w:fill="FFFFFF"/>
        </w:rPr>
        <w:t xml:space="preserve"> Infill Area</w:t>
      </w:r>
      <w:r w:rsidR="00406641" w:rsidRPr="00B33A7B">
        <w:rPr>
          <w:rFonts w:cs="Arial"/>
          <w:color w:val="000000" w:themeColor="text1"/>
          <w:shd w:val="clear" w:color="auto" w:fill="FFFFFF"/>
        </w:rPr>
        <w:t xml:space="preserve"> identified in the application</w:t>
      </w:r>
      <w:r w:rsidRPr="00B33A7B">
        <w:rPr>
          <w:rFonts w:cs="Arial"/>
          <w:color w:val="000000" w:themeColor="text1"/>
          <w:shd w:val="clear" w:color="auto" w:fill="FFFFFF"/>
        </w:rPr>
        <w:t xml:space="preserve">. </w:t>
      </w:r>
    </w:p>
    <w:p w14:paraId="67060DCD" w14:textId="3030CBF9" w:rsidR="00195227" w:rsidRPr="00B33A7B" w:rsidRDefault="00195227" w:rsidP="0036285A">
      <w:pPr>
        <w:pStyle w:val="ListParagraph"/>
        <w:ind w:right="90"/>
        <w:rPr>
          <w:rFonts w:cs="Arial"/>
          <w:color w:val="000000" w:themeColor="text1"/>
          <w:shd w:val="clear" w:color="auto" w:fill="FFFFFF"/>
        </w:rPr>
      </w:pPr>
    </w:p>
    <w:p w14:paraId="7DCAFC00" w14:textId="44B8C9A3" w:rsidR="0099155E" w:rsidRPr="00B33A7B" w:rsidRDefault="0099155E" w:rsidP="00993D09">
      <w:pPr>
        <w:pStyle w:val="ListParagraph"/>
        <w:numPr>
          <w:ilvl w:val="0"/>
          <w:numId w:val="5"/>
        </w:numPr>
        <w:tabs>
          <w:tab w:val="left" w:pos="1350"/>
        </w:tabs>
        <w:ind w:left="1350" w:hanging="630"/>
        <w:rPr>
          <w:rFonts w:cs="Arial"/>
        </w:rPr>
      </w:pPr>
      <w:r w:rsidRPr="00B33A7B">
        <w:rPr>
          <w:rFonts w:cs="Arial"/>
        </w:rPr>
        <w:t xml:space="preserve">To be eligible for funding, all </w:t>
      </w:r>
      <w:r w:rsidR="008E62B0" w:rsidRPr="00B33A7B">
        <w:rPr>
          <w:rFonts w:cs="Arial"/>
        </w:rPr>
        <w:t xml:space="preserve">Large Jurisdiction </w:t>
      </w:r>
      <w:r w:rsidR="006A1E55" w:rsidRPr="00B33A7B">
        <w:rPr>
          <w:rFonts w:cs="Arial"/>
        </w:rPr>
        <w:t xml:space="preserve">Qualifying Infill Area </w:t>
      </w:r>
      <w:r w:rsidRPr="00B33A7B">
        <w:rPr>
          <w:rFonts w:cs="Arial"/>
        </w:rPr>
        <w:t>applications must include a Qualifying Infill Project, including those Qualifying Infill Projects used to establish the eligibility of a Qualifying Infill Area.</w:t>
      </w:r>
      <w:r w:rsidR="003C4CA7" w:rsidRPr="00B33A7B">
        <w:rPr>
          <w:rFonts w:cs="Arial"/>
        </w:rPr>
        <w:t xml:space="preserve"> </w:t>
      </w:r>
      <w:r w:rsidR="003C4CA7" w:rsidRPr="00B33A7B">
        <w:rPr>
          <w:rFonts w:cs="Arial"/>
          <w:color w:val="000000" w:themeColor="text1"/>
          <w:shd w:val="clear" w:color="auto" w:fill="FFFFFF"/>
        </w:rPr>
        <w:t>This provision does not apply to Small Jurisdiction</w:t>
      </w:r>
      <w:r w:rsidR="00931965" w:rsidRPr="00B33A7B">
        <w:rPr>
          <w:rFonts w:cs="Arial"/>
          <w:color w:val="000000" w:themeColor="text1"/>
          <w:shd w:val="clear" w:color="auto" w:fill="FFFFFF"/>
        </w:rPr>
        <w:t xml:space="preserve"> Qualifying Infill Area applications</w:t>
      </w:r>
      <w:r w:rsidR="003C4CA7" w:rsidRPr="00B33A7B">
        <w:rPr>
          <w:rFonts w:cs="Arial"/>
          <w:color w:val="000000" w:themeColor="text1"/>
          <w:shd w:val="clear" w:color="auto" w:fill="FFFFFF"/>
        </w:rPr>
        <w:t>.</w:t>
      </w:r>
    </w:p>
    <w:p w14:paraId="19FECC01" w14:textId="77777777" w:rsidR="00372FB6" w:rsidRPr="00B33A7B" w:rsidRDefault="00372FB6" w:rsidP="00741DFE">
      <w:pPr>
        <w:ind w:left="720" w:hanging="720"/>
        <w:rPr>
          <w:rFonts w:cs="Arial"/>
        </w:rPr>
      </w:pPr>
    </w:p>
    <w:p w14:paraId="2D1F10CD" w14:textId="2CDE0FFA" w:rsidR="00321199" w:rsidRPr="00B33A7B" w:rsidRDefault="00A64660" w:rsidP="00993D09">
      <w:pPr>
        <w:pStyle w:val="ListParagraph"/>
        <w:numPr>
          <w:ilvl w:val="0"/>
          <w:numId w:val="4"/>
        </w:numPr>
        <w:tabs>
          <w:tab w:val="left" w:pos="0"/>
        </w:tabs>
        <w:ind w:right="90"/>
        <w:rPr>
          <w:rFonts w:cs="Arial"/>
        </w:rPr>
      </w:pPr>
      <w:r w:rsidRPr="00B33A7B">
        <w:rPr>
          <w:rFonts w:cs="Arial"/>
        </w:rPr>
        <w:t xml:space="preserve">The Qualifying Infill </w:t>
      </w:r>
      <w:r w:rsidR="0058695B" w:rsidRPr="00B33A7B">
        <w:rPr>
          <w:rFonts w:cs="Arial"/>
        </w:rPr>
        <w:t>Area</w:t>
      </w:r>
      <w:r w:rsidRPr="00B33A7B">
        <w:rPr>
          <w:rFonts w:cs="Arial"/>
        </w:rPr>
        <w:t xml:space="preserve"> </w:t>
      </w:r>
      <w:r w:rsidR="006600E0" w:rsidRPr="00B33A7B">
        <w:rPr>
          <w:rFonts w:cs="Arial"/>
        </w:rPr>
        <w:t>in</w:t>
      </w:r>
      <w:r w:rsidRPr="00B33A7B">
        <w:rPr>
          <w:rFonts w:cs="Arial"/>
        </w:rPr>
        <w:t xml:space="preserve"> </w:t>
      </w:r>
      <w:r w:rsidR="0035445E" w:rsidRPr="00B33A7B">
        <w:rPr>
          <w:rFonts w:cs="Arial"/>
        </w:rPr>
        <w:t xml:space="preserve">Large Jurisdictions and </w:t>
      </w:r>
      <w:r w:rsidR="008A2204" w:rsidRPr="00B33A7B">
        <w:rPr>
          <w:rFonts w:cs="Arial"/>
        </w:rPr>
        <w:t>both the Qualifying Infill Project</w:t>
      </w:r>
      <w:r w:rsidR="00C672DF" w:rsidRPr="00B33A7B">
        <w:rPr>
          <w:rFonts w:cs="Arial"/>
        </w:rPr>
        <w:t>(s)</w:t>
      </w:r>
      <w:r w:rsidR="008A2204" w:rsidRPr="00B33A7B">
        <w:rPr>
          <w:rFonts w:cs="Arial"/>
        </w:rPr>
        <w:t xml:space="preserve"> </w:t>
      </w:r>
      <w:r w:rsidR="00BB60C7" w:rsidRPr="00B33A7B">
        <w:rPr>
          <w:rFonts w:cs="Arial"/>
        </w:rPr>
        <w:t xml:space="preserve">and </w:t>
      </w:r>
      <w:r w:rsidR="008A2204" w:rsidRPr="00B33A7B">
        <w:rPr>
          <w:rFonts w:cs="Arial"/>
        </w:rPr>
        <w:t xml:space="preserve">Qualifying Infill Area </w:t>
      </w:r>
      <w:r w:rsidR="006600E0" w:rsidRPr="00B33A7B">
        <w:rPr>
          <w:rFonts w:cs="Arial"/>
        </w:rPr>
        <w:t>in</w:t>
      </w:r>
      <w:r w:rsidR="008A2204" w:rsidRPr="00B33A7B">
        <w:rPr>
          <w:rFonts w:cs="Arial"/>
        </w:rPr>
        <w:t xml:space="preserve"> </w:t>
      </w:r>
      <w:r w:rsidR="0035445E" w:rsidRPr="00B33A7B">
        <w:rPr>
          <w:rFonts w:cs="Arial"/>
        </w:rPr>
        <w:t xml:space="preserve">Small Jurisdictions, </w:t>
      </w:r>
      <w:r w:rsidR="00714D55" w:rsidRPr="00B33A7B">
        <w:rPr>
          <w:rFonts w:cs="Arial"/>
        </w:rPr>
        <w:t xml:space="preserve">for which </w:t>
      </w:r>
      <w:r w:rsidR="00653090" w:rsidRPr="00B33A7B">
        <w:rPr>
          <w:rFonts w:cs="Arial"/>
        </w:rPr>
        <w:t>a Capital Improvement Project grant may be awarded</w:t>
      </w:r>
      <w:r w:rsidR="00EB2536" w:rsidRPr="00B33A7B">
        <w:rPr>
          <w:rFonts w:cs="Arial"/>
        </w:rPr>
        <w:t>,</w:t>
      </w:r>
      <w:r w:rsidR="00321199" w:rsidRPr="00B33A7B">
        <w:rPr>
          <w:rFonts w:cs="Arial"/>
        </w:rPr>
        <w:t xml:space="preserve"> must</w:t>
      </w:r>
      <w:r w:rsidR="003A63EF" w:rsidRPr="00B33A7B">
        <w:rPr>
          <w:rFonts w:cs="Arial"/>
        </w:rPr>
        <w:t xml:space="preserve"> meet </w:t>
      </w:r>
      <w:proofErr w:type="gramStart"/>
      <w:r w:rsidR="0078076E" w:rsidRPr="00B33A7B">
        <w:rPr>
          <w:rFonts w:cs="Arial"/>
        </w:rPr>
        <w:t>all of</w:t>
      </w:r>
      <w:proofErr w:type="gramEnd"/>
      <w:r w:rsidR="0078076E" w:rsidRPr="00B33A7B">
        <w:rPr>
          <w:rFonts w:cs="Arial"/>
        </w:rPr>
        <w:t xml:space="preserve"> the following conditions</w:t>
      </w:r>
      <w:r w:rsidR="00321199" w:rsidRPr="00B33A7B">
        <w:rPr>
          <w:rFonts w:cs="Arial"/>
        </w:rPr>
        <w:t>:</w:t>
      </w:r>
    </w:p>
    <w:p w14:paraId="1BD45534" w14:textId="77777777" w:rsidR="00321199" w:rsidRPr="00B33A7B" w:rsidRDefault="00321199" w:rsidP="00264F31">
      <w:pPr>
        <w:pStyle w:val="ListParagraph"/>
        <w:tabs>
          <w:tab w:val="left" w:pos="1350"/>
        </w:tabs>
        <w:ind w:left="1350"/>
        <w:rPr>
          <w:rFonts w:cs="Arial"/>
        </w:rPr>
      </w:pPr>
    </w:p>
    <w:p w14:paraId="3BD55F5E" w14:textId="03ED4A7B" w:rsidR="00321199" w:rsidRPr="00B33A7B" w:rsidRDefault="0057575F" w:rsidP="00993D09">
      <w:pPr>
        <w:pStyle w:val="ListParagraph"/>
        <w:numPr>
          <w:ilvl w:val="0"/>
          <w:numId w:val="68"/>
        </w:numPr>
        <w:tabs>
          <w:tab w:val="left" w:pos="1350"/>
        </w:tabs>
        <w:ind w:left="1350" w:hanging="630"/>
        <w:rPr>
          <w:rFonts w:cs="Arial"/>
        </w:rPr>
      </w:pPr>
      <w:r w:rsidRPr="00B33A7B">
        <w:rPr>
          <w:rFonts w:cs="Arial"/>
        </w:rPr>
        <w:t>B</w:t>
      </w:r>
      <w:r w:rsidR="000B6A3D" w:rsidRPr="00B33A7B">
        <w:rPr>
          <w:rFonts w:cs="Arial"/>
        </w:rPr>
        <w:t>e located</w:t>
      </w:r>
      <w:r w:rsidR="4F111262" w:rsidRPr="00B33A7B">
        <w:rPr>
          <w:rFonts w:cs="Arial"/>
        </w:rPr>
        <w:t xml:space="preserve"> </w:t>
      </w:r>
      <w:r w:rsidR="0093338F" w:rsidRPr="00B33A7B">
        <w:rPr>
          <w:rFonts w:cs="Arial"/>
        </w:rPr>
        <w:t>with</w:t>
      </w:r>
      <w:r w:rsidR="4F111262" w:rsidRPr="00B33A7B">
        <w:rPr>
          <w:rFonts w:cs="Arial"/>
        </w:rPr>
        <w:t xml:space="preserve">in an </w:t>
      </w:r>
      <w:r w:rsidR="19A477E0" w:rsidRPr="00B33A7B">
        <w:rPr>
          <w:rFonts w:cs="Arial"/>
        </w:rPr>
        <w:t>Urbanized Area</w:t>
      </w:r>
      <w:r w:rsidR="4F111262" w:rsidRPr="00B33A7B">
        <w:rPr>
          <w:rFonts w:cs="Arial"/>
        </w:rPr>
        <w:t>.</w:t>
      </w:r>
      <w:r w:rsidR="00D14C70" w:rsidRPr="00B33A7B">
        <w:rPr>
          <w:rFonts w:cs="Arial"/>
        </w:rPr>
        <w:t xml:space="preserve"> </w:t>
      </w:r>
    </w:p>
    <w:p w14:paraId="03B86AD3" w14:textId="77777777" w:rsidR="00F61A47" w:rsidRPr="00B33A7B" w:rsidRDefault="00F61A47" w:rsidP="00264F31">
      <w:pPr>
        <w:pStyle w:val="ListParagraph"/>
        <w:tabs>
          <w:tab w:val="left" w:pos="1350"/>
        </w:tabs>
        <w:ind w:left="1350"/>
        <w:rPr>
          <w:rFonts w:cs="Arial"/>
        </w:rPr>
      </w:pPr>
    </w:p>
    <w:p w14:paraId="4F33A158" w14:textId="789FFAB3" w:rsidR="00B611B6" w:rsidRPr="00B611B6" w:rsidRDefault="00321199" w:rsidP="00B611B6">
      <w:pPr>
        <w:pStyle w:val="ListParagraph"/>
        <w:numPr>
          <w:ilvl w:val="0"/>
          <w:numId w:val="68"/>
        </w:numPr>
        <w:tabs>
          <w:tab w:val="left" w:pos="1350"/>
        </w:tabs>
        <w:ind w:left="1350" w:hanging="630"/>
        <w:rPr>
          <w:rFonts w:cs="Arial"/>
        </w:rPr>
      </w:pPr>
      <w:proofErr w:type="gramStart"/>
      <w:r w:rsidRPr="00B33A7B">
        <w:rPr>
          <w:rFonts w:cs="Arial"/>
        </w:rPr>
        <w:t xml:space="preserve">Be </w:t>
      </w:r>
      <w:r w:rsidR="0035445E" w:rsidRPr="00B33A7B">
        <w:rPr>
          <w:rFonts w:cs="Arial"/>
        </w:rPr>
        <w:t>located in</w:t>
      </w:r>
      <w:proofErr w:type="gramEnd"/>
      <w:r w:rsidR="0035445E" w:rsidRPr="00B33A7B">
        <w:rPr>
          <w:rFonts w:cs="Arial"/>
        </w:rPr>
        <w:t xml:space="preserve"> a </w:t>
      </w:r>
      <w:r w:rsidR="000808EB" w:rsidRPr="00B33A7B">
        <w:rPr>
          <w:rFonts w:cs="Arial"/>
        </w:rPr>
        <w:t xml:space="preserve">city, county, or city and county </w:t>
      </w:r>
      <w:r w:rsidR="00463517" w:rsidRPr="00B33A7B">
        <w:rPr>
          <w:rFonts w:cs="Arial"/>
        </w:rPr>
        <w:t xml:space="preserve">in which the general plan </w:t>
      </w:r>
      <w:r w:rsidR="002108B3" w:rsidRPr="00B33A7B">
        <w:rPr>
          <w:rFonts w:cs="Arial"/>
        </w:rPr>
        <w:t xml:space="preserve">of the </w:t>
      </w:r>
      <w:r w:rsidR="000808EB" w:rsidRPr="00B33A7B">
        <w:rPr>
          <w:rFonts w:cs="Arial"/>
        </w:rPr>
        <w:t>city, county, or city and county</w:t>
      </w:r>
      <w:r w:rsidR="002108B3" w:rsidRPr="00B33A7B">
        <w:rPr>
          <w:rFonts w:cs="Arial"/>
        </w:rPr>
        <w:t xml:space="preserve"> has </w:t>
      </w:r>
      <w:r w:rsidRPr="00B33A7B">
        <w:rPr>
          <w:rFonts w:cs="Arial"/>
        </w:rPr>
        <w:t>an adopted housing element that has been found by the Department to be in substantial compliance with the requirements of</w:t>
      </w:r>
      <w:r w:rsidR="00E06DD4" w:rsidRPr="00B33A7B">
        <w:rPr>
          <w:rFonts w:cs="Arial"/>
        </w:rPr>
        <w:t xml:space="preserve"> Article 10.6 (commencing with </w:t>
      </w:r>
      <w:r w:rsidR="0003427E" w:rsidRPr="00B33A7B">
        <w:rPr>
          <w:rFonts w:cs="Arial"/>
        </w:rPr>
        <w:t xml:space="preserve">Section </w:t>
      </w:r>
      <w:r w:rsidRPr="00B33A7B">
        <w:rPr>
          <w:rFonts w:cs="Arial"/>
        </w:rPr>
        <w:t xml:space="preserve">65580) of Chapter 3 of Division 1 of Title 7 of the </w:t>
      </w:r>
      <w:r w:rsidR="00CA72D5" w:rsidRPr="00B33A7B">
        <w:rPr>
          <w:rFonts w:cs="Arial"/>
        </w:rPr>
        <w:t>GC</w:t>
      </w:r>
      <w:r w:rsidRPr="00B33A7B">
        <w:rPr>
          <w:rFonts w:cs="Arial"/>
        </w:rPr>
        <w:t>, p</w:t>
      </w:r>
      <w:r w:rsidR="00E06DD4" w:rsidRPr="00B33A7B">
        <w:rPr>
          <w:rFonts w:cs="Arial"/>
        </w:rPr>
        <w:t xml:space="preserve">ursuant to </w:t>
      </w:r>
      <w:r w:rsidR="00CA72D5" w:rsidRPr="00B33A7B">
        <w:rPr>
          <w:rFonts w:cs="Arial"/>
        </w:rPr>
        <w:t>GC</w:t>
      </w:r>
      <w:r w:rsidR="00E06DD4" w:rsidRPr="00B33A7B">
        <w:rPr>
          <w:rFonts w:cs="Arial"/>
        </w:rPr>
        <w:t xml:space="preserve"> </w:t>
      </w:r>
      <w:r w:rsidR="0003427E" w:rsidRPr="00B33A7B">
        <w:rPr>
          <w:rFonts w:cs="Arial"/>
        </w:rPr>
        <w:t xml:space="preserve">Section </w:t>
      </w:r>
      <w:r w:rsidR="00E06DD4" w:rsidRPr="00B33A7B">
        <w:rPr>
          <w:rFonts w:cs="Arial"/>
        </w:rPr>
        <w:t>65585</w:t>
      </w:r>
      <w:r w:rsidR="00780F58" w:rsidRPr="00B33A7B">
        <w:rPr>
          <w:rFonts w:cs="Arial"/>
        </w:rPr>
        <w:t xml:space="preserve"> at time of </w:t>
      </w:r>
      <w:r w:rsidR="003E4E74">
        <w:rPr>
          <w:rFonts w:cs="Arial"/>
        </w:rPr>
        <w:t>A</w:t>
      </w:r>
      <w:r w:rsidR="003E4E74" w:rsidRPr="00B33A7B">
        <w:rPr>
          <w:rFonts w:cs="Arial"/>
        </w:rPr>
        <w:t>ward</w:t>
      </w:r>
      <w:r w:rsidR="00AC02C2" w:rsidRPr="00B33A7B">
        <w:rPr>
          <w:rFonts w:cs="Arial"/>
        </w:rPr>
        <w:t>.</w:t>
      </w:r>
      <w:r w:rsidR="0004429B" w:rsidRPr="00B33A7B">
        <w:rPr>
          <w:rFonts w:cs="Arial"/>
        </w:rPr>
        <w:t xml:space="preserve"> If the </w:t>
      </w:r>
      <w:r w:rsidR="003E4E74">
        <w:rPr>
          <w:rFonts w:cs="Arial"/>
        </w:rPr>
        <w:t>A</w:t>
      </w:r>
      <w:r w:rsidR="003E4E74" w:rsidRPr="00B33A7B">
        <w:rPr>
          <w:rFonts w:cs="Arial"/>
        </w:rPr>
        <w:t xml:space="preserve">ward </w:t>
      </w:r>
      <w:r w:rsidR="0004429B" w:rsidRPr="00B33A7B">
        <w:rPr>
          <w:rFonts w:cs="Arial"/>
        </w:rPr>
        <w:t>decisions are made within 120 days of the housing element due date, the Department may refer to the jurisdiction’s compliance from the prior cycle.</w:t>
      </w:r>
      <w:r w:rsidR="00B611B6">
        <w:rPr>
          <w:rFonts w:cs="Arial"/>
        </w:rPr>
        <w:t xml:space="preserve"> </w:t>
      </w:r>
      <w:proofErr w:type="gramStart"/>
      <w:r w:rsidR="00B611B6" w:rsidRPr="00B611B6">
        <w:rPr>
          <w:rFonts w:cs="Arial"/>
        </w:rPr>
        <w:t>For the purpose of</w:t>
      </w:r>
      <w:proofErr w:type="gramEnd"/>
      <w:r w:rsidR="00B611B6" w:rsidRPr="00B611B6">
        <w:rPr>
          <w:rFonts w:cs="Arial"/>
        </w:rPr>
        <w:t xml:space="preserve"> this section alone, jurisdictions that are undergoing Department review of their housing element at the time of </w:t>
      </w:r>
      <w:r w:rsidR="003E4E74">
        <w:rPr>
          <w:rFonts w:cs="Arial"/>
        </w:rPr>
        <w:t>A</w:t>
      </w:r>
      <w:r w:rsidR="003E4E74" w:rsidRPr="00B611B6">
        <w:rPr>
          <w:rFonts w:cs="Arial"/>
        </w:rPr>
        <w:t>ward</w:t>
      </w:r>
      <w:r w:rsidR="00B611B6" w:rsidRPr="00B611B6">
        <w:rPr>
          <w:rFonts w:cs="Arial"/>
        </w:rPr>
        <w:t xml:space="preserve">, and jurisdictions that are receiving Department technical assistance to bring their housing element into compliance at the time of </w:t>
      </w:r>
      <w:r w:rsidR="003E4E74">
        <w:rPr>
          <w:rFonts w:cs="Arial"/>
        </w:rPr>
        <w:t>A</w:t>
      </w:r>
      <w:r w:rsidR="003E4E74" w:rsidRPr="00B611B6">
        <w:rPr>
          <w:rFonts w:cs="Arial"/>
        </w:rPr>
        <w:t>ward</w:t>
      </w:r>
      <w:r w:rsidR="00B611B6" w:rsidRPr="00B611B6">
        <w:rPr>
          <w:rFonts w:cs="Arial"/>
        </w:rPr>
        <w:t xml:space="preserve">, shall both be deemed to be in a presumptive state of substantial compliance by the Department. All </w:t>
      </w:r>
      <w:r w:rsidR="003E4E74">
        <w:rPr>
          <w:rFonts w:cs="Arial"/>
        </w:rPr>
        <w:t>A</w:t>
      </w:r>
      <w:r w:rsidR="003E4E74" w:rsidRPr="00B611B6">
        <w:rPr>
          <w:rFonts w:cs="Arial"/>
        </w:rPr>
        <w:t xml:space="preserve">wards </w:t>
      </w:r>
      <w:r w:rsidR="00B611B6" w:rsidRPr="00B611B6">
        <w:rPr>
          <w:rFonts w:cs="Arial"/>
        </w:rPr>
        <w:t>premised on presumptive substantial compliance shall include conditions in their respective Standard Agreements requiring that prior to funds disbursement, the subject jurisdiction must have received a final housing element certification letter from the Department.</w:t>
      </w:r>
    </w:p>
    <w:p w14:paraId="28C3F5A7" w14:textId="77777777" w:rsidR="00B611B6" w:rsidRPr="00B33A7B" w:rsidRDefault="00B611B6" w:rsidP="00550BDB">
      <w:pPr>
        <w:ind w:left="1440" w:right="90"/>
        <w:rPr>
          <w:rFonts w:cs="Arial"/>
        </w:rPr>
      </w:pPr>
    </w:p>
    <w:p w14:paraId="0624848A" w14:textId="7B8FF683" w:rsidR="00741DFE" w:rsidRPr="00B33A7B" w:rsidRDefault="00375F31" w:rsidP="00993D09">
      <w:pPr>
        <w:pStyle w:val="ListParagraph"/>
        <w:numPr>
          <w:ilvl w:val="0"/>
          <w:numId w:val="68"/>
        </w:numPr>
        <w:tabs>
          <w:tab w:val="left" w:pos="1350"/>
        </w:tabs>
        <w:ind w:left="1350" w:hanging="630"/>
        <w:rPr>
          <w:rFonts w:cs="Arial"/>
        </w:rPr>
      </w:pPr>
      <w:proofErr w:type="gramStart"/>
      <w:r w:rsidRPr="00B33A7B">
        <w:rPr>
          <w:rFonts w:cs="Arial"/>
        </w:rPr>
        <w:t>Be located in</w:t>
      </w:r>
      <w:proofErr w:type="gramEnd"/>
      <w:r w:rsidRPr="00B33A7B">
        <w:rPr>
          <w:rFonts w:cs="Arial"/>
        </w:rPr>
        <w:t xml:space="preserve"> a </w:t>
      </w:r>
      <w:r w:rsidR="000808EB" w:rsidRPr="00B33A7B">
        <w:rPr>
          <w:rFonts w:cs="Arial"/>
        </w:rPr>
        <w:t>city, county, or city and county</w:t>
      </w:r>
      <w:r w:rsidRPr="00B33A7B">
        <w:rPr>
          <w:rFonts w:cs="Arial"/>
        </w:rPr>
        <w:t xml:space="preserve"> that, at the time of application, has submitted its</w:t>
      </w:r>
      <w:r w:rsidR="00B01C73" w:rsidRPr="00B33A7B">
        <w:rPr>
          <w:rFonts w:cs="Arial"/>
        </w:rPr>
        <w:t xml:space="preserve"> </w:t>
      </w:r>
      <w:r w:rsidR="005C03AB" w:rsidRPr="00B33A7B">
        <w:rPr>
          <w:rFonts w:cs="Arial"/>
        </w:rPr>
        <w:t>a</w:t>
      </w:r>
      <w:r w:rsidR="009B3C40" w:rsidRPr="00B33A7B">
        <w:rPr>
          <w:rFonts w:cs="Arial"/>
        </w:rPr>
        <w:t xml:space="preserve">nnual </w:t>
      </w:r>
      <w:r w:rsidR="005C03AB" w:rsidRPr="00B33A7B">
        <w:rPr>
          <w:rFonts w:cs="Arial"/>
        </w:rPr>
        <w:t>p</w:t>
      </w:r>
      <w:r w:rsidR="009B3C40" w:rsidRPr="00B33A7B">
        <w:rPr>
          <w:rFonts w:cs="Arial"/>
        </w:rPr>
        <w:t xml:space="preserve">rogress </w:t>
      </w:r>
      <w:r w:rsidR="005C03AB" w:rsidRPr="00B33A7B">
        <w:rPr>
          <w:rFonts w:cs="Arial"/>
        </w:rPr>
        <w:t>r</w:t>
      </w:r>
      <w:r w:rsidR="009B3C40" w:rsidRPr="00B33A7B">
        <w:rPr>
          <w:rFonts w:cs="Arial"/>
        </w:rPr>
        <w:t>eport</w:t>
      </w:r>
      <w:r w:rsidR="007C2244" w:rsidRPr="00B33A7B">
        <w:rPr>
          <w:rFonts w:cs="Arial"/>
        </w:rPr>
        <w:t>s</w:t>
      </w:r>
      <w:r w:rsidR="0007625E" w:rsidRPr="00B33A7B">
        <w:rPr>
          <w:rFonts w:cs="Arial"/>
        </w:rPr>
        <w:t xml:space="preserve"> </w:t>
      </w:r>
      <w:r w:rsidRPr="00B33A7B">
        <w:rPr>
          <w:rFonts w:cs="Arial"/>
        </w:rPr>
        <w:t xml:space="preserve">for 2017 through the most recently required </w:t>
      </w:r>
      <w:r w:rsidR="005C03AB" w:rsidRPr="00B33A7B">
        <w:rPr>
          <w:rFonts w:cs="Arial"/>
        </w:rPr>
        <w:t>a</w:t>
      </w:r>
      <w:r w:rsidRPr="00B33A7B">
        <w:rPr>
          <w:rFonts w:cs="Arial"/>
        </w:rPr>
        <w:t xml:space="preserve">nnual </w:t>
      </w:r>
      <w:r w:rsidR="005C03AB" w:rsidRPr="00B33A7B">
        <w:rPr>
          <w:rFonts w:cs="Arial"/>
        </w:rPr>
        <w:t>p</w:t>
      </w:r>
      <w:r w:rsidRPr="00B33A7B">
        <w:rPr>
          <w:rFonts w:cs="Arial"/>
        </w:rPr>
        <w:t xml:space="preserve">rogress </w:t>
      </w:r>
      <w:r w:rsidR="005C03AB" w:rsidRPr="00B33A7B">
        <w:rPr>
          <w:rFonts w:cs="Arial"/>
        </w:rPr>
        <w:t>r</w:t>
      </w:r>
      <w:r w:rsidRPr="00B33A7B">
        <w:rPr>
          <w:rFonts w:cs="Arial"/>
        </w:rPr>
        <w:t>eport.</w:t>
      </w:r>
    </w:p>
    <w:p w14:paraId="2F17AFDA" w14:textId="77777777" w:rsidR="00741DFE" w:rsidRPr="00B33A7B" w:rsidRDefault="00741DFE" w:rsidP="000C7EC9">
      <w:pPr>
        <w:pStyle w:val="ListParagraph"/>
        <w:tabs>
          <w:tab w:val="left" w:pos="1350"/>
        </w:tabs>
        <w:ind w:left="1350"/>
        <w:rPr>
          <w:rFonts w:cs="Arial"/>
        </w:rPr>
      </w:pPr>
    </w:p>
    <w:p w14:paraId="3DA5FC71" w14:textId="0FA8E959" w:rsidR="00321199" w:rsidRPr="00B33A7B" w:rsidRDefault="3E51D6D9" w:rsidP="00993D09">
      <w:pPr>
        <w:pStyle w:val="ListParagraph"/>
        <w:numPr>
          <w:ilvl w:val="0"/>
          <w:numId w:val="68"/>
        </w:numPr>
        <w:tabs>
          <w:tab w:val="left" w:pos="1350"/>
        </w:tabs>
        <w:ind w:left="1350" w:hanging="630"/>
        <w:rPr>
          <w:rFonts w:cs="Arial"/>
        </w:rPr>
      </w:pPr>
      <w:r w:rsidRPr="00B33A7B">
        <w:rPr>
          <w:rFonts w:cs="Arial"/>
        </w:rPr>
        <w:t xml:space="preserve">Large Jurisdiction Qualifying Infill Area Applications </w:t>
      </w:r>
      <w:r w:rsidR="00EC685E" w:rsidRPr="00B33A7B">
        <w:rPr>
          <w:rFonts w:cs="Arial"/>
        </w:rPr>
        <w:t xml:space="preserve">and Small Jurisdiction Qualifying Infill Project Applications </w:t>
      </w:r>
      <w:r w:rsidRPr="00B33A7B">
        <w:rPr>
          <w:rFonts w:cs="Arial"/>
        </w:rPr>
        <w:t xml:space="preserve">must </w:t>
      </w:r>
      <w:r w:rsidR="1A4958A8" w:rsidRPr="00B33A7B">
        <w:rPr>
          <w:rFonts w:cs="Arial"/>
        </w:rPr>
        <w:t>i</w:t>
      </w:r>
      <w:r w:rsidR="129922E8" w:rsidRPr="00B33A7B">
        <w:rPr>
          <w:rFonts w:cs="Arial"/>
        </w:rPr>
        <w:t xml:space="preserve">nclude not less than 15 </w:t>
      </w:r>
      <w:r w:rsidR="129922E8" w:rsidRPr="00CA6705">
        <w:rPr>
          <w:rFonts w:cs="Arial"/>
        </w:rPr>
        <w:t xml:space="preserve">percent of </w:t>
      </w:r>
      <w:r w:rsidR="129922E8" w:rsidRPr="00B33A7B">
        <w:rPr>
          <w:rFonts w:cs="Arial"/>
        </w:rPr>
        <w:t>Affordable Units</w:t>
      </w:r>
      <w:r w:rsidR="73ABD302" w:rsidRPr="00B33A7B">
        <w:rPr>
          <w:rFonts w:cs="Arial"/>
        </w:rPr>
        <w:t xml:space="preserve">, </w:t>
      </w:r>
      <w:r w:rsidR="00212D49" w:rsidRPr="00B33A7B">
        <w:rPr>
          <w:rFonts w:cs="Arial"/>
        </w:rPr>
        <w:t xml:space="preserve">both existing and pending, </w:t>
      </w:r>
      <w:r w:rsidR="73ABD302" w:rsidRPr="00B33A7B">
        <w:rPr>
          <w:rFonts w:cs="Arial"/>
        </w:rPr>
        <w:t>as follows:</w:t>
      </w:r>
    </w:p>
    <w:p w14:paraId="23D24708" w14:textId="77777777" w:rsidR="00321199" w:rsidRPr="00B33A7B" w:rsidRDefault="00321199" w:rsidP="000C7EC9">
      <w:pPr>
        <w:pStyle w:val="ListParagraph"/>
        <w:ind w:left="2160" w:right="90"/>
        <w:rPr>
          <w:rFonts w:cs="Arial"/>
        </w:rPr>
      </w:pPr>
    </w:p>
    <w:p w14:paraId="277A188E" w14:textId="05E369CE" w:rsidR="00910566" w:rsidRPr="00B33A7B" w:rsidRDefault="00321199" w:rsidP="00993D09">
      <w:pPr>
        <w:pStyle w:val="ListParagraph"/>
        <w:numPr>
          <w:ilvl w:val="0"/>
          <w:numId w:val="6"/>
        </w:numPr>
        <w:ind w:left="2160" w:right="90" w:hanging="720"/>
        <w:rPr>
          <w:rFonts w:cs="Arial"/>
        </w:rPr>
      </w:pPr>
      <w:r w:rsidRPr="00B33A7B">
        <w:rPr>
          <w:rFonts w:cs="Arial"/>
        </w:rPr>
        <w:lastRenderedPageBreak/>
        <w:t xml:space="preserve">For </w:t>
      </w:r>
      <w:r w:rsidR="001E0C90" w:rsidRPr="00B33A7B">
        <w:rPr>
          <w:rFonts w:cs="Arial"/>
        </w:rPr>
        <w:t>Qualifying Infill P</w:t>
      </w:r>
      <w:r w:rsidR="00200C52" w:rsidRPr="00B33A7B">
        <w:rPr>
          <w:rFonts w:cs="Arial"/>
        </w:rPr>
        <w:t xml:space="preserve">rojects </w:t>
      </w:r>
      <w:r w:rsidR="001E0C90" w:rsidRPr="00B33A7B">
        <w:rPr>
          <w:rFonts w:cs="Arial"/>
        </w:rPr>
        <w:t xml:space="preserve">or Qualifying Infill Areas </w:t>
      </w:r>
      <w:r w:rsidRPr="00B33A7B">
        <w:rPr>
          <w:rFonts w:cs="Arial"/>
        </w:rPr>
        <w:t xml:space="preserve">that contain both rental and ownership units, units of either or both product types may be included in the calculation of the percentage of </w:t>
      </w:r>
      <w:r w:rsidR="006C77BF" w:rsidRPr="00B33A7B">
        <w:rPr>
          <w:rFonts w:cs="Arial"/>
        </w:rPr>
        <w:t>the affordability criteria</w:t>
      </w:r>
      <w:r w:rsidRPr="00B33A7B">
        <w:rPr>
          <w:rFonts w:cs="Arial"/>
        </w:rPr>
        <w:t>.</w:t>
      </w:r>
    </w:p>
    <w:p w14:paraId="6DFA3129" w14:textId="77777777" w:rsidR="00B65B62" w:rsidRPr="00B33A7B" w:rsidRDefault="00B65B62" w:rsidP="000C7EC9">
      <w:pPr>
        <w:pStyle w:val="ListParagraph"/>
        <w:ind w:left="2160" w:right="90"/>
        <w:rPr>
          <w:rFonts w:cs="Arial"/>
        </w:rPr>
      </w:pPr>
      <w:r w:rsidRPr="00B33A7B">
        <w:rPr>
          <w:rFonts w:cs="Arial"/>
        </w:rPr>
        <w:tab/>
      </w:r>
    </w:p>
    <w:p w14:paraId="041837EF" w14:textId="4D2CA3EA" w:rsidR="005E414B" w:rsidRPr="00B33A7B" w:rsidRDefault="00B65B62" w:rsidP="00993D09">
      <w:pPr>
        <w:pStyle w:val="ListParagraph"/>
        <w:numPr>
          <w:ilvl w:val="0"/>
          <w:numId w:val="6"/>
        </w:numPr>
        <w:ind w:left="2160" w:right="90" w:hanging="720"/>
        <w:rPr>
          <w:rFonts w:cs="Arial"/>
        </w:rPr>
      </w:pPr>
      <w:r w:rsidRPr="00B33A7B">
        <w:rPr>
          <w:rFonts w:cs="Arial"/>
        </w:rPr>
        <w:t xml:space="preserve">To the extent included in a </w:t>
      </w:r>
      <w:r w:rsidR="002D1B29" w:rsidRPr="00B33A7B">
        <w:rPr>
          <w:rFonts w:cs="Arial"/>
        </w:rPr>
        <w:t>Capital Improvement P</w:t>
      </w:r>
      <w:r w:rsidRPr="00B33A7B">
        <w:rPr>
          <w:rFonts w:cs="Arial"/>
        </w:rPr>
        <w:t xml:space="preserve">roject grant application, for the purpose of calculating the percentage of </w:t>
      </w:r>
      <w:r w:rsidR="00363A79" w:rsidRPr="00B33A7B">
        <w:rPr>
          <w:rFonts w:cs="Arial"/>
        </w:rPr>
        <w:t>A</w:t>
      </w:r>
      <w:r w:rsidRPr="00B33A7B">
        <w:rPr>
          <w:rFonts w:cs="Arial"/>
        </w:rPr>
        <w:t xml:space="preserve">ffordable </w:t>
      </w:r>
      <w:r w:rsidR="00363A79" w:rsidRPr="00B33A7B">
        <w:rPr>
          <w:rFonts w:cs="Arial"/>
        </w:rPr>
        <w:t>U</w:t>
      </w:r>
      <w:r w:rsidRPr="00B33A7B">
        <w:rPr>
          <w:rFonts w:cs="Arial"/>
        </w:rPr>
        <w:t xml:space="preserve">nits, the Department may consider the entire </w:t>
      </w:r>
      <w:r w:rsidR="00234DF0" w:rsidRPr="00B33A7B">
        <w:rPr>
          <w:rFonts w:cs="Arial"/>
        </w:rPr>
        <w:t>m</w:t>
      </w:r>
      <w:r w:rsidRPr="00B33A7B">
        <w:rPr>
          <w:rFonts w:cs="Arial"/>
        </w:rPr>
        <w:t xml:space="preserve">aster </w:t>
      </w:r>
      <w:r w:rsidR="00234DF0" w:rsidRPr="00B33A7B">
        <w:rPr>
          <w:rFonts w:cs="Arial"/>
        </w:rPr>
        <w:t>d</w:t>
      </w:r>
      <w:r w:rsidRPr="00B33A7B">
        <w:rPr>
          <w:rFonts w:cs="Arial"/>
        </w:rPr>
        <w:t>evelopment in which the development seeking grant funding is included.</w:t>
      </w:r>
    </w:p>
    <w:p w14:paraId="5237A329" w14:textId="77777777" w:rsidR="005E414B" w:rsidRPr="00B33A7B" w:rsidRDefault="005E414B" w:rsidP="000C7EC9">
      <w:pPr>
        <w:pStyle w:val="ListParagraph"/>
        <w:ind w:left="2160" w:right="90"/>
        <w:rPr>
          <w:rFonts w:cs="Arial"/>
        </w:rPr>
      </w:pPr>
    </w:p>
    <w:p w14:paraId="0F3E1E42" w14:textId="62D865C9" w:rsidR="005E414B" w:rsidRPr="00B33A7B" w:rsidRDefault="005E414B" w:rsidP="00993D09">
      <w:pPr>
        <w:pStyle w:val="ListParagraph"/>
        <w:numPr>
          <w:ilvl w:val="0"/>
          <w:numId w:val="6"/>
        </w:numPr>
        <w:ind w:left="2160" w:right="90" w:hanging="720"/>
        <w:rPr>
          <w:rFonts w:cs="Arial"/>
        </w:rPr>
      </w:pPr>
      <w:r w:rsidRPr="00B33A7B">
        <w:rPr>
          <w:rFonts w:cs="Arial"/>
        </w:rPr>
        <w:t xml:space="preserve">Where applicable, an </w:t>
      </w:r>
      <w:r w:rsidR="007C18E6" w:rsidRPr="00B33A7B">
        <w:rPr>
          <w:rFonts w:cs="Arial"/>
        </w:rPr>
        <w:t>Eligible A</w:t>
      </w:r>
      <w:r w:rsidRPr="00B33A7B">
        <w:rPr>
          <w:rFonts w:cs="Arial"/>
        </w:rPr>
        <w:t xml:space="preserve">pplicant </w:t>
      </w:r>
      <w:r w:rsidR="002A057D" w:rsidRPr="00B33A7B">
        <w:rPr>
          <w:rFonts w:cs="Arial"/>
        </w:rPr>
        <w:t>shal</w:t>
      </w:r>
      <w:r w:rsidR="00BF6028" w:rsidRPr="00B33A7B">
        <w:rPr>
          <w:rFonts w:cs="Arial"/>
        </w:rPr>
        <w:t>l i</w:t>
      </w:r>
      <w:r w:rsidRPr="00B33A7B">
        <w:rPr>
          <w:rFonts w:cs="Arial"/>
        </w:rPr>
        <w:t xml:space="preserve">nclude a replacement housing plan to ensure that dwelling units housing persons and families of </w:t>
      </w:r>
      <w:r w:rsidR="004955D3" w:rsidRPr="00B33A7B">
        <w:rPr>
          <w:rFonts w:cs="Arial"/>
        </w:rPr>
        <w:t>Lower</w:t>
      </w:r>
      <w:r w:rsidRPr="00B33A7B">
        <w:rPr>
          <w:rFonts w:cs="Arial"/>
        </w:rPr>
        <w:t xml:space="preserve"> or </w:t>
      </w:r>
      <w:r w:rsidR="00E15164" w:rsidRPr="00B33A7B">
        <w:rPr>
          <w:rFonts w:cs="Arial"/>
        </w:rPr>
        <w:t>Moderate</w:t>
      </w:r>
      <w:r w:rsidR="007E5EAD" w:rsidRPr="00B33A7B">
        <w:rPr>
          <w:rFonts w:cs="Arial"/>
        </w:rPr>
        <w:t xml:space="preserve"> </w:t>
      </w:r>
      <w:r w:rsidR="00E15164" w:rsidRPr="00B33A7B">
        <w:rPr>
          <w:rFonts w:cs="Arial"/>
        </w:rPr>
        <w:t>Income</w:t>
      </w:r>
      <w:r w:rsidRPr="00B33A7B">
        <w:rPr>
          <w:rFonts w:cs="Arial"/>
        </w:rPr>
        <w:t xml:space="preserve"> are not removed from the </w:t>
      </w:r>
      <w:r w:rsidR="00864AAB" w:rsidRPr="00B33A7B">
        <w:rPr>
          <w:rFonts w:cs="Arial"/>
        </w:rPr>
        <w:t>L</w:t>
      </w:r>
      <w:r w:rsidRPr="00B33A7B">
        <w:rPr>
          <w:rFonts w:cs="Arial"/>
        </w:rPr>
        <w:t>ow</w:t>
      </w:r>
      <w:r w:rsidR="00864AAB" w:rsidRPr="00B33A7B">
        <w:rPr>
          <w:rFonts w:cs="Arial"/>
        </w:rPr>
        <w:t>er</w:t>
      </w:r>
      <w:r w:rsidRPr="00B33A7B">
        <w:rPr>
          <w:rFonts w:cs="Arial"/>
        </w:rPr>
        <w:t xml:space="preserve"> and </w:t>
      </w:r>
      <w:proofErr w:type="gramStart"/>
      <w:r w:rsidR="009037C5" w:rsidRPr="00B33A7B">
        <w:rPr>
          <w:rFonts w:cs="Arial"/>
        </w:rPr>
        <w:t>M</w:t>
      </w:r>
      <w:r w:rsidRPr="00B33A7B">
        <w:rPr>
          <w:rFonts w:cs="Arial"/>
        </w:rPr>
        <w:t>oderate</w:t>
      </w:r>
      <w:r w:rsidR="007E5EAD" w:rsidRPr="00B33A7B">
        <w:rPr>
          <w:rFonts w:cs="Arial"/>
        </w:rPr>
        <w:t xml:space="preserve"> </w:t>
      </w:r>
      <w:r w:rsidR="009037C5" w:rsidRPr="00B33A7B">
        <w:rPr>
          <w:rFonts w:cs="Arial"/>
        </w:rPr>
        <w:t>I</w:t>
      </w:r>
      <w:r w:rsidRPr="00B33A7B">
        <w:rPr>
          <w:rFonts w:cs="Arial"/>
        </w:rPr>
        <w:t>ncome</w:t>
      </w:r>
      <w:proofErr w:type="gramEnd"/>
      <w:r w:rsidRPr="00B33A7B">
        <w:rPr>
          <w:rFonts w:cs="Arial"/>
        </w:rPr>
        <w:t xml:space="preserve"> housing market. Residential units to be replaced shall not be counted toward meeting the affordability threshold required for eligibility for funding under this section.</w:t>
      </w:r>
    </w:p>
    <w:p w14:paraId="6AB5451F" w14:textId="77777777" w:rsidR="008E0ADA" w:rsidRPr="00B33A7B" w:rsidRDefault="008E0ADA" w:rsidP="000C7EC9">
      <w:pPr>
        <w:pStyle w:val="ListParagraph"/>
        <w:ind w:left="2160" w:right="90"/>
        <w:rPr>
          <w:rFonts w:cs="Arial"/>
        </w:rPr>
      </w:pPr>
    </w:p>
    <w:p w14:paraId="2377B594" w14:textId="2479CDF0" w:rsidR="00F61A47" w:rsidRPr="00B33A7B" w:rsidRDefault="009A545A" w:rsidP="00993D09">
      <w:pPr>
        <w:pStyle w:val="ListParagraph"/>
        <w:numPr>
          <w:ilvl w:val="0"/>
          <w:numId w:val="6"/>
        </w:numPr>
        <w:ind w:left="2160" w:right="90" w:hanging="720"/>
        <w:rPr>
          <w:rFonts w:cs="Arial"/>
        </w:rPr>
      </w:pPr>
      <w:r w:rsidRPr="00B33A7B">
        <w:rPr>
          <w:rFonts w:cs="Arial"/>
        </w:rPr>
        <w:t>A</w:t>
      </w:r>
      <w:r w:rsidR="00B25E60" w:rsidRPr="00B33A7B">
        <w:rPr>
          <w:rFonts w:cs="Arial"/>
        </w:rPr>
        <w:t xml:space="preserve"> </w:t>
      </w:r>
      <w:r w:rsidR="00DF6948" w:rsidRPr="00B33A7B">
        <w:rPr>
          <w:rFonts w:cs="Arial"/>
        </w:rPr>
        <w:t>Qualifying Infill Project</w:t>
      </w:r>
      <w:r w:rsidR="00B25E60" w:rsidRPr="00B33A7B">
        <w:rPr>
          <w:rFonts w:cs="Arial"/>
        </w:rPr>
        <w:t xml:space="preserve"> or </w:t>
      </w:r>
      <w:r w:rsidR="00FE59A2" w:rsidRPr="00B33A7B">
        <w:rPr>
          <w:rFonts w:cs="Arial"/>
        </w:rPr>
        <w:t>Qualifying Infill Area</w:t>
      </w:r>
      <w:r w:rsidRPr="00B33A7B">
        <w:rPr>
          <w:rFonts w:cs="Arial"/>
        </w:rPr>
        <w:t xml:space="preserve"> for which a disposition and development agreement or other</w:t>
      </w:r>
      <w:r w:rsidR="00507062" w:rsidRPr="00B33A7B">
        <w:rPr>
          <w:rFonts w:cs="Arial"/>
        </w:rPr>
        <w:t xml:space="preserve"> project</w:t>
      </w:r>
      <w:r w:rsidR="008700CA" w:rsidRPr="00B33A7B">
        <w:rPr>
          <w:rFonts w:cs="Arial"/>
        </w:rPr>
        <w:t>-</w:t>
      </w:r>
      <w:r w:rsidR="00B25E60" w:rsidRPr="00B33A7B">
        <w:rPr>
          <w:rFonts w:cs="Arial"/>
        </w:rPr>
        <w:t xml:space="preserve"> or area-</w:t>
      </w:r>
      <w:r w:rsidRPr="00B33A7B">
        <w:rPr>
          <w:rFonts w:cs="Arial"/>
        </w:rPr>
        <w:t xml:space="preserve">specific agreement between the </w:t>
      </w:r>
      <w:r w:rsidR="002D1B29" w:rsidRPr="00B33A7B">
        <w:rPr>
          <w:rFonts w:cs="Arial"/>
        </w:rPr>
        <w:t>D</w:t>
      </w:r>
      <w:r w:rsidRPr="00B33A7B">
        <w:rPr>
          <w:rFonts w:cs="Arial"/>
        </w:rPr>
        <w:t>eveloper and the local agency having jurisdiction over the project has been execute</w:t>
      </w:r>
      <w:r w:rsidR="00B25E60" w:rsidRPr="00B33A7B">
        <w:rPr>
          <w:rFonts w:cs="Arial"/>
        </w:rPr>
        <w:t>d on or before July 31, 2019</w:t>
      </w:r>
      <w:r w:rsidRPr="00B33A7B">
        <w:rPr>
          <w:rFonts w:cs="Arial"/>
        </w:rPr>
        <w:t>, shall be deemed to meet the affordability r</w:t>
      </w:r>
      <w:r w:rsidR="00B25E60" w:rsidRPr="00B33A7B">
        <w:rPr>
          <w:rFonts w:cs="Arial"/>
        </w:rPr>
        <w:t>equirement of this paragraph</w:t>
      </w:r>
      <w:r w:rsidRPr="00B33A7B">
        <w:rPr>
          <w:rFonts w:cs="Arial"/>
        </w:rPr>
        <w:t xml:space="preserve"> if the agreement </w:t>
      </w:r>
      <w:r w:rsidR="00BC32C0" w:rsidRPr="00B33A7B">
        <w:rPr>
          <w:rFonts w:cs="Arial"/>
        </w:rPr>
        <w:t>includes affordability restrictions</w:t>
      </w:r>
      <w:r w:rsidRPr="00B33A7B">
        <w:rPr>
          <w:rFonts w:cs="Arial"/>
        </w:rPr>
        <w:t xml:space="preserve"> that subject the</w:t>
      </w:r>
      <w:r w:rsidR="00BC32C0" w:rsidRPr="00B33A7B">
        <w:rPr>
          <w:rFonts w:cs="Arial"/>
        </w:rPr>
        <w:t xml:space="preserve"> </w:t>
      </w:r>
      <w:r w:rsidR="00DF6948" w:rsidRPr="00B33A7B">
        <w:rPr>
          <w:rFonts w:cs="Arial"/>
        </w:rPr>
        <w:t>Qualifying Infill Project</w:t>
      </w:r>
      <w:r w:rsidR="00E06B85" w:rsidRPr="00B33A7B">
        <w:rPr>
          <w:rFonts w:cs="Arial"/>
        </w:rPr>
        <w:t xml:space="preserve"> or</w:t>
      </w:r>
      <w:r w:rsidR="00910566" w:rsidRPr="00B33A7B">
        <w:rPr>
          <w:rFonts w:cs="Arial"/>
        </w:rPr>
        <w:t xml:space="preserve"> </w:t>
      </w:r>
      <w:r w:rsidR="00FE59A2" w:rsidRPr="00B33A7B">
        <w:rPr>
          <w:rFonts w:cs="Arial"/>
        </w:rPr>
        <w:t>Qualifying Infill Area</w:t>
      </w:r>
      <w:r w:rsidRPr="00B33A7B">
        <w:rPr>
          <w:rFonts w:cs="Arial"/>
        </w:rPr>
        <w:t xml:space="preserve"> to the production of </w:t>
      </w:r>
      <w:r w:rsidR="009F028A" w:rsidRPr="00B33A7B">
        <w:rPr>
          <w:rFonts w:cs="Arial"/>
        </w:rPr>
        <w:t xml:space="preserve">Affordable Units </w:t>
      </w:r>
      <w:r w:rsidR="00B25E60" w:rsidRPr="00B33A7B">
        <w:rPr>
          <w:rFonts w:cs="Arial"/>
        </w:rPr>
        <w:t xml:space="preserve">for </w:t>
      </w:r>
      <w:r w:rsidR="009037C5" w:rsidRPr="00B33A7B">
        <w:rPr>
          <w:rFonts w:cs="Arial"/>
        </w:rPr>
        <w:t>V</w:t>
      </w:r>
      <w:r w:rsidR="00B25E60" w:rsidRPr="00B33A7B">
        <w:rPr>
          <w:rFonts w:cs="Arial"/>
        </w:rPr>
        <w:t xml:space="preserve">ery </w:t>
      </w:r>
      <w:r w:rsidR="009037C5" w:rsidRPr="00B33A7B">
        <w:rPr>
          <w:rFonts w:cs="Arial"/>
        </w:rPr>
        <w:t>L</w:t>
      </w:r>
      <w:r w:rsidR="00B25E60" w:rsidRPr="00B33A7B">
        <w:rPr>
          <w:rFonts w:cs="Arial"/>
        </w:rPr>
        <w:t xml:space="preserve">ow, </w:t>
      </w:r>
      <w:r w:rsidR="00A57F5E" w:rsidRPr="00B33A7B">
        <w:rPr>
          <w:rFonts w:cs="Arial"/>
        </w:rPr>
        <w:t>L</w:t>
      </w:r>
      <w:r w:rsidR="00B25E60" w:rsidRPr="00B33A7B">
        <w:rPr>
          <w:rFonts w:cs="Arial"/>
        </w:rPr>
        <w:t>ow</w:t>
      </w:r>
      <w:r w:rsidR="00A57F5E" w:rsidRPr="00B33A7B">
        <w:rPr>
          <w:rFonts w:cs="Arial"/>
        </w:rPr>
        <w:t>er</w:t>
      </w:r>
      <w:r w:rsidRPr="00B33A7B">
        <w:rPr>
          <w:rFonts w:cs="Arial"/>
        </w:rPr>
        <w:t xml:space="preserve"> or </w:t>
      </w:r>
      <w:r w:rsidR="009037C5" w:rsidRPr="00B33A7B">
        <w:rPr>
          <w:rFonts w:cs="Arial"/>
        </w:rPr>
        <w:t>M</w:t>
      </w:r>
      <w:r w:rsidRPr="00B33A7B">
        <w:rPr>
          <w:rFonts w:cs="Arial"/>
        </w:rPr>
        <w:t>oderate</w:t>
      </w:r>
      <w:r w:rsidR="007E5EAD" w:rsidRPr="00B33A7B">
        <w:rPr>
          <w:rFonts w:cs="Arial"/>
        </w:rPr>
        <w:t xml:space="preserve"> </w:t>
      </w:r>
      <w:r w:rsidR="009037C5" w:rsidRPr="00B33A7B">
        <w:rPr>
          <w:rFonts w:cs="Arial"/>
        </w:rPr>
        <w:t>I</w:t>
      </w:r>
      <w:r w:rsidRPr="00B33A7B">
        <w:rPr>
          <w:rFonts w:cs="Arial"/>
        </w:rPr>
        <w:t>ncome households.</w:t>
      </w:r>
      <w:r w:rsidRPr="00B33A7B" w:rsidDel="009A545A">
        <w:rPr>
          <w:rFonts w:cs="Arial"/>
        </w:rPr>
        <w:t xml:space="preserve"> </w:t>
      </w:r>
      <w:r w:rsidR="005E414B" w:rsidRPr="00B33A7B" w:rsidDel="005E414B">
        <w:rPr>
          <w:rFonts w:cs="Arial"/>
        </w:rPr>
        <w:t xml:space="preserve"> </w:t>
      </w:r>
    </w:p>
    <w:p w14:paraId="427DA264" w14:textId="0833E9D2" w:rsidR="00321199" w:rsidRPr="00B33A7B" w:rsidRDefault="00321199" w:rsidP="00814922">
      <w:pPr>
        <w:pStyle w:val="ListParagraph"/>
        <w:tabs>
          <w:tab w:val="left" w:pos="1350"/>
        </w:tabs>
        <w:ind w:left="1350"/>
        <w:rPr>
          <w:rFonts w:cs="Arial"/>
        </w:rPr>
      </w:pPr>
    </w:p>
    <w:p w14:paraId="4FBB8799" w14:textId="28387E9A" w:rsidR="00741DFE" w:rsidRPr="00B33A7B" w:rsidRDefault="129922E8" w:rsidP="00993D09">
      <w:pPr>
        <w:pStyle w:val="ListParagraph"/>
        <w:numPr>
          <w:ilvl w:val="0"/>
          <w:numId w:val="68"/>
        </w:numPr>
        <w:tabs>
          <w:tab w:val="left" w:pos="1350"/>
        </w:tabs>
        <w:ind w:left="1350" w:hanging="630"/>
      </w:pPr>
      <w:r w:rsidRPr="00B33A7B">
        <w:rPr>
          <w:rFonts w:cs="Arial"/>
        </w:rPr>
        <w:t xml:space="preserve">Include Net Densities on the parcels to be developed that are equal to or greater than the densities described </w:t>
      </w:r>
      <w:r w:rsidR="7B51F5BE" w:rsidRPr="00B33A7B">
        <w:rPr>
          <w:rFonts w:cs="Arial"/>
        </w:rPr>
        <w:t>below</w:t>
      </w:r>
      <w:r w:rsidR="17EC9DC9" w:rsidRPr="00B33A7B">
        <w:rPr>
          <w:rFonts w:cs="Arial"/>
        </w:rPr>
        <w:t>:</w:t>
      </w:r>
    </w:p>
    <w:p w14:paraId="41DEFED3" w14:textId="77777777" w:rsidR="00D16A08" w:rsidRPr="00B33A7B" w:rsidRDefault="00D16A08" w:rsidP="00B82A66">
      <w:pPr>
        <w:pStyle w:val="ListParagraph"/>
        <w:tabs>
          <w:tab w:val="left" w:pos="1350"/>
        </w:tabs>
        <w:ind w:left="1350"/>
      </w:pPr>
    </w:p>
    <w:p w14:paraId="0899C5DD" w14:textId="3BB6F824" w:rsidR="0020203D" w:rsidRPr="00B33A7B" w:rsidRDefault="0020203D" w:rsidP="00993D09">
      <w:pPr>
        <w:pStyle w:val="ListParagraph"/>
        <w:numPr>
          <w:ilvl w:val="0"/>
          <w:numId w:val="17"/>
        </w:numPr>
        <w:ind w:left="2160" w:right="90" w:hanging="720"/>
        <w:rPr>
          <w:rFonts w:cs="Arial"/>
        </w:rPr>
      </w:pPr>
      <w:r w:rsidRPr="00B33A7B">
        <w:rPr>
          <w:rFonts w:cs="Arial"/>
        </w:rPr>
        <w:t xml:space="preserve">For an incorporated city within a nonmetropolitan county and for a nonmetropolitan county that has a micropolitan area:  sites allowing at least </w:t>
      </w:r>
      <w:r w:rsidR="00BF1254" w:rsidRPr="00B33A7B">
        <w:rPr>
          <w:rFonts w:cs="Arial"/>
        </w:rPr>
        <w:t xml:space="preserve">15 </w:t>
      </w:r>
      <w:r w:rsidRPr="00B33A7B">
        <w:rPr>
          <w:rFonts w:cs="Arial"/>
        </w:rPr>
        <w:t>units per acre.</w:t>
      </w:r>
    </w:p>
    <w:p w14:paraId="6EE74EB5" w14:textId="77777777" w:rsidR="00F26E58" w:rsidRPr="00B33A7B" w:rsidRDefault="00F26E58" w:rsidP="00F26E58">
      <w:pPr>
        <w:pStyle w:val="ListParagraph"/>
        <w:ind w:left="2160" w:right="90"/>
        <w:rPr>
          <w:rFonts w:cs="Arial"/>
        </w:rPr>
      </w:pPr>
    </w:p>
    <w:p w14:paraId="0E4875B9" w14:textId="24FC1019" w:rsidR="0020203D" w:rsidRPr="00B33A7B" w:rsidRDefault="0020203D" w:rsidP="00993D09">
      <w:pPr>
        <w:pStyle w:val="ListParagraph"/>
        <w:numPr>
          <w:ilvl w:val="0"/>
          <w:numId w:val="17"/>
        </w:numPr>
        <w:ind w:left="2160" w:right="90" w:hanging="720"/>
        <w:rPr>
          <w:rFonts w:cs="Arial"/>
        </w:rPr>
      </w:pPr>
      <w:r w:rsidRPr="00B33A7B">
        <w:rPr>
          <w:rFonts w:cs="Arial"/>
        </w:rPr>
        <w:t>For an unincorporated area in a nonmetropolitan county not included in clause (</w:t>
      </w:r>
      <w:r w:rsidR="00565469" w:rsidRPr="00B33A7B">
        <w:rPr>
          <w:rFonts w:cs="Arial"/>
        </w:rPr>
        <w:t>A</w:t>
      </w:r>
      <w:r w:rsidRPr="00B33A7B">
        <w:rPr>
          <w:rFonts w:cs="Arial"/>
        </w:rPr>
        <w:t xml:space="preserve">):  sites allowing at least </w:t>
      </w:r>
      <w:r w:rsidR="00BF1254" w:rsidRPr="00B33A7B">
        <w:rPr>
          <w:rFonts w:cs="Arial"/>
        </w:rPr>
        <w:t xml:space="preserve">10 </w:t>
      </w:r>
      <w:r w:rsidRPr="00B33A7B">
        <w:rPr>
          <w:rFonts w:cs="Arial"/>
        </w:rPr>
        <w:t>units per acre.</w:t>
      </w:r>
    </w:p>
    <w:p w14:paraId="783D81FD" w14:textId="77777777" w:rsidR="00F26E58" w:rsidRPr="00B33A7B" w:rsidRDefault="00F26E58" w:rsidP="00F26E58">
      <w:pPr>
        <w:ind w:right="90"/>
        <w:rPr>
          <w:rFonts w:cs="Arial"/>
        </w:rPr>
      </w:pPr>
    </w:p>
    <w:p w14:paraId="0CD8E3CC" w14:textId="75AB97FE" w:rsidR="0020203D" w:rsidRPr="00B33A7B" w:rsidRDefault="0020203D" w:rsidP="00993D09">
      <w:pPr>
        <w:pStyle w:val="ListParagraph"/>
        <w:numPr>
          <w:ilvl w:val="0"/>
          <w:numId w:val="17"/>
        </w:numPr>
        <w:ind w:left="2160" w:right="90" w:hanging="720"/>
        <w:rPr>
          <w:rFonts w:cs="Arial"/>
        </w:rPr>
      </w:pPr>
      <w:r w:rsidRPr="00B33A7B">
        <w:rPr>
          <w:rFonts w:cs="Arial"/>
        </w:rPr>
        <w:t xml:space="preserve">For a suburban jurisdiction:  sites allowing at least </w:t>
      </w:r>
      <w:r w:rsidR="00BF1254" w:rsidRPr="00B33A7B">
        <w:rPr>
          <w:rFonts w:cs="Arial"/>
        </w:rPr>
        <w:t xml:space="preserve">20 </w:t>
      </w:r>
      <w:r w:rsidRPr="00B33A7B">
        <w:rPr>
          <w:rFonts w:cs="Arial"/>
        </w:rPr>
        <w:t>units per acre.</w:t>
      </w:r>
    </w:p>
    <w:p w14:paraId="1C4CBFD0" w14:textId="77777777" w:rsidR="00F26E58" w:rsidRPr="00B33A7B" w:rsidRDefault="00F26E58" w:rsidP="00F26E58">
      <w:pPr>
        <w:ind w:right="90"/>
        <w:rPr>
          <w:rFonts w:cs="Arial"/>
        </w:rPr>
      </w:pPr>
    </w:p>
    <w:p w14:paraId="77A7B550" w14:textId="4C9C74EE" w:rsidR="0020203D" w:rsidRPr="00B33A7B" w:rsidRDefault="0020203D" w:rsidP="00993D09">
      <w:pPr>
        <w:pStyle w:val="ListParagraph"/>
        <w:numPr>
          <w:ilvl w:val="0"/>
          <w:numId w:val="17"/>
        </w:numPr>
        <w:ind w:left="2160" w:right="90" w:hanging="720"/>
        <w:rPr>
          <w:rFonts w:cs="Arial"/>
        </w:rPr>
      </w:pPr>
      <w:r w:rsidRPr="00B33A7B">
        <w:rPr>
          <w:rFonts w:cs="Arial"/>
        </w:rPr>
        <w:t xml:space="preserve">For a jurisdiction in a metropolitan county:  sites allowing at least </w:t>
      </w:r>
      <w:r w:rsidR="00BF1254" w:rsidRPr="00B33A7B">
        <w:rPr>
          <w:rFonts w:cs="Arial"/>
        </w:rPr>
        <w:t xml:space="preserve">30 </w:t>
      </w:r>
      <w:r w:rsidRPr="00B33A7B">
        <w:rPr>
          <w:rFonts w:cs="Arial"/>
        </w:rPr>
        <w:t>units per acre.</w:t>
      </w:r>
    </w:p>
    <w:p w14:paraId="7C66E7F6" w14:textId="77777777" w:rsidR="00732B0C" w:rsidRPr="00B33A7B" w:rsidRDefault="00732B0C" w:rsidP="00732B0C">
      <w:pPr>
        <w:pStyle w:val="ListParagraph"/>
        <w:rPr>
          <w:rFonts w:cs="Arial"/>
        </w:rPr>
      </w:pPr>
    </w:p>
    <w:p w14:paraId="254FAB2F" w14:textId="293E9E09" w:rsidR="00732B0C" w:rsidRPr="00B33A7B" w:rsidRDefault="00732B0C" w:rsidP="00993D09">
      <w:pPr>
        <w:pStyle w:val="ListParagraph"/>
        <w:numPr>
          <w:ilvl w:val="0"/>
          <w:numId w:val="17"/>
        </w:numPr>
        <w:ind w:left="2160" w:right="90" w:hanging="720"/>
        <w:rPr>
          <w:rFonts w:cs="Arial"/>
        </w:rPr>
      </w:pPr>
      <w:r w:rsidRPr="00B33A7B">
        <w:rPr>
          <w:rFonts w:cs="Arial"/>
        </w:rPr>
        <w:t xml:space="preserve">For a Rural Area: sites allowing at least </w:t>
      </w:r>
      <w:r w:rsidR="00BF1254" w:rsidRPr="00B33A7B">
        <w:rPr>
          <w:rFonts w:cs="Arial"/>
        </w:rPr>
        <w:t xml:space="preserve">10 </w:t>
      </w:r>
      <w:r w:rsidRPr="00B33A7B">
        <w:rPr>
          <w:rFonts w:cs="Arial"/>
        </w:rPr>
        <w:t xml:space="preserve">units per acre. </w:t>
      </w:r>
    </w:p>
    <w:p w14:paraId="11C38088" w14:textId="77777777" w:rsidR="00D7177A" w:rsidRPr="00B33A7B" w:rsidRDefault="00D7177A" w:rsidP="00814922">
      <w:pPr>
        <w:pStyle w:val="ListParagraph"/>
        <w:ind w:left="2160" w:right="90"/>
        <w:rPr>
          <w:rFonts w:cs="Arial"/>
        </w:rPr>
      </w:pPr>
    </w:p>
    <w:p w14:paraId="2D8145F1" w14:textId="29A68BC8" w:rsidR="00870F50" w:rsidRPr="00B33A7B" w:rsidRDefault="009505C5" w:rsidP="00110B88">
      <w:pPr>
        <w:tabs>
          <w:tab w:val="left" w:pos="1350"/>
        </w:tabs>
        <w:ind w:left="1350"/>
        <w:rPr>
          <w:rFonts w:cs="Arial"/>
        </w:rPr>
      </w:pPr>
      <w:r w:rsidRPr="00B33A7B">
        <w:rPr>
          <w:rFonts w:cs="Arial"/>
        </w:rPr>
        <w:t>A city with a population greater than 100,000 in a standard</w:t>
      </w:r>
      <w:r w:rsidR="00814922" w:rsidRPr="00B33A7B">
        <w:rPr>
          <w:rFonts w:cs="Arial"/>
        </w:rPr>
        <w:t xml:space="preserve"> </w:t>
      </w:r>
      <w:r w:rsidRPr="00B33A7B">
        <w:rPr>
          <w:rFonts w:cs="Arial"/>
        </w:rPr>
        <w:t>metropolitan statistical area or a population of less than 2</w:t>
      </w:r>
      <w:r w:rsidR="00C262B0">
        <w:rPr>
          <w:rFonts w:cs="Arial"/>
        </w:rPr>
        <w:t xml:space="preserve"> million</w:t>
      </w:r>
      <w:r w:rsidR="00814922" w:rsidRPr="00B33A7B">
        <w:rPr>
          <w:rFonts w:cs="Arial"/>
        </w:rPr>
        <w:t xml:space="preserve"> </w:t>
      </w:r>
      <w:r w:rsidRPr="00B33A7B">
        <w:rPr>
          <w:rFonts w:cs="Arial"/>
        </w:rPr>
        <w:t>may</w:t>
      </w:r>
      <w:r w:rsidR="00814922" w:rsidRPr="00B33A7B">
        <w:rPr>
          <w:rFonts w:cs="Arial"/>
        </w:rPr>
        <w:t xml:space="preserve"> </w:t>
      </w:r>
      <w:r w:rsidRPr="00B33A7B">
        <w:rPr>
          <w:rFonts w:cs="Arial"/>
        </w:rPr>
        <w:t xml:space="preserve">petition the Department for, and the Department may grant, an exception to the density </w:t>
      </w:r>
      <w:r w:rsidRPr="00B33A7B">
        <w:rPr>
          <w:rFonts w:cs="Arial"/>
        </w:rPr>
        <w:lastRenderedPageBreak/>
        <w:t xml:space="preserve">requirements set forth in this subsection, if </w:t>
      </w:r>
      <w:r w:rsidR="00814922" w:rsidRPr="00B33A7B">
        <w:rPr>
          <w:rFonts w:cs="Arial"/>
        </w:rPr>
        <w:t>t</w:t>
      </w:r>
      <w:r w:rsidRPr="00B33A7B">
        <w:rPr>
          <w:rFonts w:cs="Arial"/>
        </w:rPr>
        <w:t>he</w:t>
      </w:r>
      <w:r w:rsidR="00814922" w:rsidRPr="00B33A7B">
        <w:rPr>
          <w:rFonts w:cs="Arial"/>
        </w:rPr>
        <w:t xml:space="preserve"> </w:t>
      </w:r>
      <w:r w:rsidRPr="00B33A7B">
        <w:rPr>
          <w:rFonts w:cs="Arial"/>
        </w:rPr>
        <w:t xml:space="preserve">city believes it is unable to meet the density requirements </w:t>
      </w:r>
      <w:r w:rsidR="00814922" w:rsidRPr="00B33A7B">
        <w:rPr>
          <w:rFonts w:cs="Arial"/>
        </w:rPr>
        <w:t>d</w:t>
      </w:r>
      <w:r w:rsidRPr="00B33A7B">
        <w:rPr>
          <w:rFonts w:cs="Arial"/>
        </w:rPr>
        <w:t>escribed</w:t>
      </w:r>
      <w:r w:rsidR="00814922" w:rsidRPr="00B33A7B">
        <w:rPr>
          <w:rFonts w:cs="Arial"/>
        </w:rPr>
        <w:t xml:space="preserve"> </w:t>
      </w:r>
      <w:r w:rsidRPr="00B33A7B">
        <w:rPr>
          <w:rFonts w:cs="Arial"/>
        </w:rPr>
        <w:t>herein. The city shall submit the petition with its application and shall include the reasons why the city believes the exception is warranted.</w:t>
      </w:r>
      <w:r w:rsidR="00814922" w:rsidRPr="00B33A7B">
        <w:rPr>
          <w:rFonts w:cs="Arial"/>
        </w:rPr>
        <w:t xml:space="preserve"> </w:t>
      </w:r>
      <w:r w:rsidRPr="00B33A7B">
        <w:rPr>
          <w:rFonts w:cs="Arial"/>
        </w:rPr>
        <w:t>The city shall provide information supporting the need for the exception, including, but not limited to, any limitations that the city may</w:t>
      </w:r>
      <w:r w:rsidR="00814922" w:rsidRPr="00B33A7B">
        <w:rPr>
          <w:rFonts w:cs="Arial"/>
        </w:rPr>
        <w:t xml:space="preserve"> </w:t>
      </w:r>
      <w:r w:rsidRPr="00B33A7B">
        <w:rPr>
          <w:rFonts w:cs="Arial"/>
        </w:rPr>
        <w:t>encounter in meeting the density requirements specified in subsection (5). Any exception shall be for the purposes of this section only. This subdivision shall become inoperative on January 1, 202</w:t>
      </w:r>
      <w:r w:rsidR="00052142" w:rsidRPr="00B33A7B">
        <w:rPr>
          <w:rFonts w:cs="Arial"/>
        </w:rPr>
        <w:t>6</w:t>
      </w:r>
      <w:r w:rsidR="00C71D11" w:rsidRPr="00B33A7B">
        <w:rPr>
          <w:rFonts w:cs="Arial"/>
        </w:rPr>
        <w:t>.</w:t>
      </w:r>
    </w:p>
    <w:p w14:paraId="49949E62" w14:textId="77777777" w:rsidR="00C71D11" w:rsidRPr="00B33A7B" w:rsidRDefault="00C71D11" w:rsidP="00110B88">
      <w:pPr>
        <w:tabs>
          <w:tab w:val="left" w:pos="1350"/>
        </w:tabs>
        <w:ind w:left="1350"/>
        <w:rPr>
          <w:rFonts w:cs="Arial"/>
        </w:rPr>
      </w:pPr>
    </w:p>
    <w:p w14:paraId="392E640E" w14:textId="3A1FFFA2" w:rsidR="00321199" w:rsidRPr="00B33A7B" w:rsidRDefault="00321199" w:rsidP="00993D09">
      <w:pPr>
        <w:pStyle w:val="ListParagraph"/>
        <w:numPr>
          <w:ilvl w:val="0"/>
          <w:numId w:val="68"/>
        </w:numPr>
        <w:tabs>
          <w:tab w:val="left" w:pos="1350"/>
        </w:tabs>
        <w:ind w:left="1350" w:hanging="630"/>
        <w:rPr>
          <w:rFonts w:cs="Arial"/>
        </w:rPr>
      </w:pPr>
      <w:proofErr w:type="gramStart"/>
      <w:r w:rsidRPr="00B33A7B">
        <w:rPr>
          <w:rFonts w:cs="Arial"/>
        </w:rPr>
        <w:t>Be located in</w:t>
      </w:r>
      <w:proofErr w:type="gramEnd"/>
      <w:r w:rsidRPr="00B33A7B">
        <w:rPr>
          <w:rFonts w:cs="Arial"/>
        </w:rPr>
        <w:t xml:space="preserve"> an area designated for mixed-use or residential development</w:t>
      </w:r>
      <w:r w:rsidR="00BE1AE8" w:rsidRPr="00B33A7B">
        <w:rPr>
          <w:rFonts w:cs="Arial"/>
        </w:rPr>
        <w:t xml:space="preserve"> </w:t>
      </w:r>
      <w:r w:rsidRPr="00B33A7B">
        <w:rPr>
          <w:rFonts w:cs="Arial"/>
        </w:rPr>
        <w:t>pursuant to one of the following</w:t>
      </w:r>
      <w:r w:rsidR="009A4DE9" w:rsidRPr="00B33A7B">
        <w:rPr>
          <w:rFonts w:cs="Arial"/>
        </w:rPr>
        <w:t xml:space="preserve"> adopted plans</w:t>
      </w:r>
      <w:r w:rsidR="00593D4D" w:rsidRPr="00B33A7B">
        <w:rPr>
          <w:rFonts w:cs="Arial"/>
        </w:rPr>
        <w:t>:</w:t>
      </w:r>
    </w:p>
    <w:p w14:paraId="43C1364A" w14:textId="10965ED9" w:rsidR="00321199" w:rsidRPr="00B33A7B" w:rsidRDefault="00321199" w:rsidP="00A1486F">
      <w:pPr>
        <w:pStyle w:val="ListParagraph"/>
        <w:ind w:left="2160" w:right="90"/>
      </w:pPr>
    </w:p>
    <w:p w14:paraId="664CA07A" w14:textId="5ACE3ABE" w:rsidR="00321199" w:rsidRPr="00B33A7B" w:rsidRDefault="00321199" w:rsidP="00993D09">
      <w:pPr>
        <w:pStyle w:val="ListParagraph"/>
        <w:numPr>
          <w:ilvl w:val="0"/>
          <w:numId w:val="7"/>
        </w:numPr>
        <w:ind w:left="2160" w:right="90" w:hanging="720"/>
      </w:pPr>
      <w:r w:rsidRPr="00B33A7B">
        <w:t>A general plan</w:t>
      </w:r>
      <w:r w:rsidR="00B139D4" w:rsidRPr="00B33A7B">
        <w:t xml:space="preserve"> </w:t>
      </w:r>
      <w:r w:rsidR="00B558AD" w:rsidRPr="00B33A7B">
        <w:t xml:space="preserve">adopted pursuant to </w:t>
      </w:r>
      <w:r w:rsidR="00CA72D5" w:rsidRPr="00B33A7B">
        <w:t>GC</w:t>
      </w:r>
      <w:r w:rsidR="00B558AD" w:rsidRPr="00B33A7B">
        <w:t xml:space="preserve"> </w:t>
      </w:r>
      <w:r w:rsidR="0003427E" w:rsidRPr="00B33A7B">
        <w:t xml:space="preserve">Section </w:t>
      </w:r>
      <w:r w:rsidR="00B558AD" w:rsidRPr="00B33A7B">
        <w:t>65300</w:t>
      </w:r>
      <w:r w:rsidR="00B139D4" w:rsidRPr="00B33A7B">
        <w:t>.</w:t>
      </w:r>
    </w:p>
    <w:p w14:paraId="708FB890" w14:textId="77777777" w:rsidR="00526D06" w:rsidRPr="00B33A7B" w:rsidRDefault="00526D06" w:rsidP="00A1486F">
      <w:pPr>
        <w:pStyle w:val="ListParagraph"/>
        <w:ind w:left="2160" w:right="90"/>
      </w:pPr>
    </w:p>
    <w:p w14:paraId="5557F518" w14:textId="27EEDBBE" w:rsidR="00375F31" w:rsidRPr="00B33A7B" w:rsidRDefault="00375F31" w:rsidP="00993D09">
      <w:pPr>
        <w:pStyle w:val="ListParagraph"/>
        <w:numPr>
          <w:ilvl w:val="0"/>
          <w:numId w:val="7"/>
        </w:numPr>
        <w:ind w:left="2160" w:right="90" w:hanging="720"/>
      </w:pPr>
      <w:r w:rsidRPr="00B33A7B">
        <w:t xml:space="preserve">A </w:t>
      </w:r>
      <w:r w:rsidR="00465318" w:rsidRPr="00B33A7B">
        <w:t xml:space="preserve">regional </w:t>
      </w:r>
      <w:r w:rsidRPr="00B33A7B">
        <w:t>sustainable communities</w:t>
      </w:r>
      <w:r w:rsidR="00465318" w:rsidRPr="00B33A7B">
        <w:t>’</w:t>
      </w:r>
      <w:r w:rsidRPr="00B33A7B">
        <w:t xml:space="preserve"> strategy </w:t>
      </w:r>
      <w:r w:rsidR="00CF0A97" w:rsidRPr="00B33A7B">
        <w:t>or alternative planning strategy approved</w:t>
      </w:r>
      <w:r w:rsidRPr="00B33A7B">
        <w:t xml:space="preserve"> pursuant to </w:t>
      </w:r>
      <w:r w:rsidR="00CA72D5" w:rsidRPr="00B33A7B">
        <w:t>GC</w:t>
      </w:r>
      <w:r w:rsidR="00B558AD" w:rsidRPr="00B33A7B">
        <w:t xml:space="preserve"> </w:t>
      </w:r>
      <w:r w:rsidR="0003427E" w:rsidRPr="00B33A7B">
        <w:t xml:space="preserve">Section </w:t>
      </w:r>
      <w:r w:rsidR="00B558AD" w:rsidRPr="00B33A7B">
        <w:t>65080</w:t>
      </w:r>
      <w:r w:rsidRPr="00B33A7B">
        <w:t>.</w:t>
      </w:r>
    </w:p>
    <w:p w14:paraId="24B5623B" w14:textId="77777777" w:rsidR="00321199" w:rsidRPr="00B33A7B" w:rsidRDefault="00321199" w:rsidP="00A1486F">
      <w:pPr>
        <w:pStyle w:val="ListParagraph"/>
        <w:ind w:left="2160" w:right="90"/>
      </w:pPr>
    </w:p>
    <w:p w14:paraId="054EED40" w14:textId="2F0955D3" w:rsidR="00780C5F" w:rsidRPr="00B33A7B" w:rsidRDefault="00375F31" w:rsidP="00993D09">
      <w:pPr>
        <w:pStyle w:val="ListParagraph"/>
        <w:numPr>
          <w:ilvl w:val="0"/>
          <w:numId w:val="7"/>
        </w:numPr>
        <w:ind w:left="2160" w:right="90" w:hanging="720"/>
      </w:pPr>
      <w:r w:rsidRPr="00B33A7B">
        <w:t>A specific plan adopted pursuant to</w:t>
      </w:r>
      <w:r w:rsidR="00B558AD" w:rsidRPr="00B33A7B">
        <w:t xml:space="preserve"> </w:t>
      </w:r>
      <w:r w:rsidRPr="00B33A7B">
        <w:t>G</w:t>
      </w:r>
      <w:r w:rsidR="00CA72D5" w:rsidRPr="00B33A7B">
        <w:t>C</w:t>
      </w:r>
      <w:r w:rsidR="00B558AD" w:rsidRPr="00B33A7B">
        <w:t xml:space="preserve"> </w:t>
      </w:r>
      <w:r w:rsidR="0003427E" w:rsidRPr="00B33A7B">
        <w:t xml:space="preserve">Section </w:t>
      </w:r>
      <w:r w:rsidR="00B558AD" w:rsidRPr="00B33A7B">
        <w:t>65450</w:t>
      </w:r>
    </w:p>
    <w:p w14:paraId="014DCD46" w14:textId="1F2112A6" w:rsidR="00321199" w:rsidRPr="00B33A7B" w:rsidRDefault="00321199" w:rsidP="00A1486F">
      <w:pPr>
        <w:pStyle w:val="ListParagraph"/>
        <w:ind w:left="2160" w:right="90"/>
      </w:pPr>
    </w:p>
    <w:p w14:paraId="20C8A530" w14:textId="4A123393" w:rsidR="00055CA2" w:rsidRPr="00B33A7B" w:rsidRDefault="00375F31" w:rsidP="00993D09">
      <w:pPr>
        <w:pStyle w:val="ListParagraph"/>
        <w:numPr>
          <w:ilvl w:val="0"/>
          <w:numId w:val="7"/>
        </w:numPr>
        <w:ind w:left="2160" w:right="90" w:hanging="720"/>
      </w:pPr>
      <w:r w:rsidRPr="00B33A7B">
        <w:t xml:space="preserve">A </w:t>
      </w:r>
      <w:r w:rsidR="00430C55" w:rsidRPr="00B33A7B">
        <w:t>W</w:t>
      </w:r>
      <w:r w:rsidRPr="00B33A7B">
        <w:t xml:space="preserve">orkforce </w:t>
      </w:r>
      <w:r w:rsidR="00430C55" w:rsidRPr="00B33A7B">
        <w:t>H</w:t>
      </w:r>
      <w:r w:rsidRPr="00B33A7B">
        <w:t xml:space="preserve">ousing </w:t>
      </w:r>
      <w:r w:rsidR="00430C55" w:rsidRPr="00B33A7B">
        <w:t>O</w:t>
      </w:r>
      <w:r w:rsidRPr="00B33A7B">
        <w:t xml:space="preserve">pportunity </w:t>
      </w:r>
      <w:r w:rsidR="00430C55" w:rsidRPr="00B33A7B">
        <w:t>Z</w:t>
      </w:r>
      <w:r w:rsidRPr="00B33A7B">
        <w:t>one established pursuant to</w:t>
      </w:r>
      <w:r w:rsidR="00B558AD" w:rsidRPr="00B33A7B">
        <w:t xml:space="preserve"> </w:t>
      </w:r>
      <w:r w:rsidR="00CA72D5" w:rsidRPr="00B33A7B">
        <w:t>GC</w:t>
      </w:r>
      <w:r w:rsidR="00B558AD" w:rsidRPr="00B33A7B">
        <w:t xml:space="preserve"> </w:t>
      </w:r>
      <w:r w:rsidR="0003427E" w:rsidRPr="00B33A7B">
        <w:t xml:space="preserve">Section </w:t>
      </w:r>
      <w:r w:rsidR="00B558AD" w:rsidRPr="00B33A7B">
        <w:t>65620</w:t>
      </w:r>
      <w:r w:rsidRPr="00B33A7B">
        <w:t>.</w:t>
      </w:r>
    </w:p>
    <w:p w14:paraId="58CB7E91" w14:textId="77777777" w:rsidR="00526D06" w:rsidRPr="00B33A7B" w:rsidRDefault="00526D06" w:rsidP="00A1486F">
      <w:pPr>
        <w:pStyle w:val="ListParagraph"/>
        <w:ind w:left="2160" w:right="90"/>
      </w:pPr>
    </w:p>
    <w:p w14:paraId="0DAA2A65" w14:textId="18C0479E" w:rsidR="007C18E6" w:rsidRPr="00B33A7B" w:rsidRDefault="00375F31" w:rsidP="00993D09">
      <w:pPr>
        <w:pStyle w:val="ListParagraph"/>
        <w:numPr>
          <w:ilvl w:val="0"/>
          <w:numId w:val="7"/>
        </w:numPr>
        <w:ind w:left="2160" w:right="90" w:hanging="720"/>
      </w:pPr>
      <w:r w:rsidRPr="00B33A7B">
        <w:t xml:space="preserve">A </w:t>
      </w:r>
      <w:r w:rsidR="00AC5206" w:rsidRPr="00B33A7B">
        <w:t>H</w:t>
      </w:r>
      <w:r w:rsidRPr="00B33A7B">
        <w:t xml:space="preserve">ousing </w:t>
      </w:r>
      <w:r w:rsidR="00AC5206" w:rsidRPr="00B33A7B">
        <w:t>S</w:t>
      </w:r>
      <w:r w:rsidRPr="00B33A7B">
        <w:t xml:space="preserve">ustainability </w:t>
      </w:r>
      <w:r w:rsidR="00AC5206" w:rsidRPr="00B33A7B">
        <w:t>D</w:t>
      </w:r>
      <w:r w:rsidRPr="00B33A7B">
        <w:t xml:space="preserve">istrict established pursuant to </w:t>
      </w:r>
      <w:r w:rsidR="00CA72D5" w:rsidRPr="00B33A7B">
        <w:t>GC</w:t>
      </w:r>
      <w:r w:rsidR="00B558AD" w:rsidRPr="00B33A7B">
        <w:t xml:space="preserve"> </w:t>
      </w:r>
      <w:r w:rsidR="0003427E" w:rsidRPr="00B33A7B">
        <w:t xml:space="preserve">Section </w:t>
      </w:r>
      <w:r w:rsidR="00B558AD" w:rsidRPr="00B33A7B">
        <w:t>66201</w:t>
      </w:r>
      <w:r w:rsidRPr="00B33A7B">
        <w:t>.</w:t>
      </w:r>
    </w:p>
    <w:p w14:paraId="67C95138" w14:textId="2477BED2" w:rsidR="00F73572" w:rsidRPr="00B33A7B" w:rsidRDefault="00F73572" w:rsidP="00513F0D">
      <w:pPr>
        <w:pStyle w:val="ListParagraph"/>
        <w:tabs>
          <w:tab w:val="left" w:pos="1350"/>
        </w:tabs>
        <w:ind w:left="1350"/>
        <w:rPr>
          <w:rFonts w:cs="Arial"/>
        </w:rPr>
      </w:pPr>
    </w:p>
    <w:p w14:paraId="59D33289" w14:textId="3008E028" w:rsidR="00F73572" w:rsidRPr="00B33A7B" w:rsidRDefault="00F73572" w:rsidP="00993D09">
      <w:pPr>
        <w:pStyle w:val="ListParagraph"/>
        <w:numPr>
          <w:ilvl w:val="0"/>
          <w:numId w:val="68"/>
        </w:numPr>
        <w:tabs>
          <w:tab w:val="left" w:pos="1350"/>
        </w:tabs>
        <w:ind w:left="1350" w:hanging="630"/>
        <w:rPr>
          <w:rFonts w:cs="Arial"/>
        </w:rPr>
      </w:pPr>
      <w:r w:rsidRPr="00B33A7B">
        <w:rPr>
          <w:rFonts w:cs="Arial"/>
        </w:rPr>
        <w:t xml:space="preserve">The </w:t>
      </w:r>
      <w:r w:rsidR="00203E29" w:rsidRPr="00B33A7B">
        <w:rPr>
          <w:rFonts w:cs="Arial"/>
        </w:rPr>
        <w:t>Eligible Applicant</w:t>
      </w:r>
      <w:r w:rsidRPr="00B33A7B">
        <w:rPr>
          <w:rFonts w:cs="Arial"/>
        </w:rPr>
        <w:t xml:space="preserve"> must identify a mechanism, such as a minimum density ordinance or a recorded, binding </w:t>
      </w:r>
      <w:r w:rsidR="00A323B1">
        <w:rPr>
          <w:rFonts w:cs="Arial"/>
        </w:rPr>
        <w:t>C</w:t>
      </w:r>
      <w:r w:rsidR="00A323B1" w:rsidRPr="00B33A7B">
        <w:rPr>
          <w:rFonts w:cs="Arial"/>
        </w:rPr>
        <w:t>ovenant</w:t>
      </w:r>
      <w:r w:rsidRPr="00B33A7B">
        <w:rPr>
          <w:rFonts w:cs="Arial"/>
        </w:rPr>
        <w:t>, acceptable to the Department to</w:t>
      </w:r>
      <w:r w:rsidR="003752BC" w:rsidRPr="00B33A7B">
        <w:rPr>
          <w:rFonts w:cs="Arial"/>
        </w:rPr>
        <w:t xml:space="preserve"> </w:t>
      </w:r>
      <w:r w:rsidRPr="00B33A7B">
        <w:rPr>
          <w:rFonts w:cs="Arial"/>
        </w:rPr>
        <w:t>reliably ensure that future development will occur at an overall Net Density</w:t>
      </w:r>
      <w:r w:rsidR="003752BC" w:rsidRPr="00B33A7B">
        <w:rPr>
          <w:rFonts w:cs="Arial"/>
        </w:rPr>
        <w:t xml:space="preserve"> </w:t>
      </w:r>
      <w:r w:rsidRPr="00B33A7B">
        <w:rPr>
          <w:rFonts w:cs="Arial"/>
        </w:rPr>
        <w:t>equaling or exceeding</w:t>
      </w:r>
      <w:r w:rsidR="009037C5" w:rsidRPr="00B33A7B">
        <w:rPr>
          <w:rFonts w:cs="Arial"/>
        </w:rPr>
        <w:t xml:space="preserve"> that set forth in </w:t>
      </w:r>
      <w:r w:rsidRPr="00B33A7B">
        <w:rPr>
          <w:rFonts w:cs="Arial"/>
        </w:rPr>
        <w:t xml:space="preserve">Section </w:t>
      </w:r>
      <w:r w:rsidR="00BD7BAD" w:rsidRPr="00B33A7B">
        <w:rPr>
          <w:rFonts w:cs="Arial"/>
        </w:rPr>
        <w:t>200</w:t>
      </w:r>
      <w:r w:rsidR="009037C5" w:rsidRPr="00B33A7B">
        <w:rPr>
          <w:rFonts w:cs="Arial"/>
        </w:rPr>
        <w:t>(</w:t>
      </w:r>
      <w:r w:rsidR="00960234" w:rsidRPr="00B33A7B">
        <w:rPr>
          <w:rFonts w:cs="Arial"/>
        </w:rPr>
        <w:t>b</w:t>
      </w:r>
      <w:r w:rsidRPr="00B33A7B">
        <w:rPr>
          <w:rFonts w:cs="Arial"/>
        </w:rPr>
        <w:t>)(5)</w:t>
      </w:r>
      <w:r w:rsidR="009037C5" w:rsidRPr="00B33A7B">
        <w:rPr>
          <w:rFonts w:cs="Arial"/>
        </w:rPr>
        <w:t xml:space="preserve">. This </w:t>
      </w:r>
      <w:r w:rsidRPr="00B33A7B">
        <w:rPr>
          <w:rFonts w:cs="Arial"/>
        </w:rPr>
        <w:t>mechanism must be in effect and legally enforceable prior to the</w:t>
      </w:r>
      <w:r w:rsidR="00011CF2" w:rsidRPr="00B33A7B">
        <w:rPr>
          <w:rFonts w:cs="Arial"/>
        </w:rPr>
        <w:t xml:space="preserve"> initial</w:t>
      </w:r>
      <w:r w:rsidR="005D2F95" w:rsidRPr="00B33A7B">
        <w:rPr>
          <w:rFonts w:cs="Arial"/>
        </w:rPr>
        <w:t xml:space="preserve"> </w:t>
      </w:r>
      <w:r w:rsidRPr="00B33A7B">
        <w:rPr>
          <w:rFonts w:cs="Arial"/>
        </w:rPr>
        <w:t>disbursement of Program funds.</w:t>
      </w:r>
    </w:p>
    <w:p w14:paraId="16469E1E" w14:textId="77777777" w:rsidR="00F73572" w:rsidRPr="00B33A7B" w:rsidRDefault="00F73572" w:rsidP="00513F0D">
      <w:pPr>
        <w:pStyle w:val="ListParagraph"/>
        <w:tabs>
          <w:tab w:val="left" w:pos="1350"/>
        </w:tabs>
        <w:ind w:left="1350"/>
        <w:rPr>
          <w:rFonts w:cs="Arial"/>
        </w:rPr>
      </w:pPr>
    </w:p>
    <w:p w14:paraId="2E2CB167" w14:textId="5F8C3A2B" w:rsidR="00F73572" w:rsidRPr="00B33A7B" w:rsidRDefault="00203E29" w:rsidP="00993D09">
      <w:pPr>
        <w:pStyle w:val="ListParagraph"/>
        <w:numPr>
          <w:ilvl w:val="0"/>
          <w:numId w:val="68"/>
        </w:numPr>
        <w:tabs>
          <w:tab w:val="left" w:pos="1350"/>
        </w:tabs>
        <w:ind w:left="1350" w:hanging="630"/>
        <w:rPr>
          <w:rFonts w:cs="Arial"/>
        </w:rPr>
      </w:pPr>
      <w:r w:rsidRPr="00B33A7B">
        <w:rPr>
          <w:rFonts w:cs="Arial"/>
        </w:rPr>
        <w:t xml:space="preserve">Eligible </w:t>
      </w:r>
      <w:r w:rsidR="00F73572" w:rsidRPr="00B33A7B">
        <w:rPr>
          <w:rFonts w:cs="Arial"/>
        </w:rPr>
        <w:t>Applicants shall designate the proposed residential units</w:t>
      </w:r>
      <w:r w:rsidR="00FA3916" w:rsidRPr="00B33A7B">
        <w:rPr>
          <w:rFonts w:cs="Arial"/>
        </w:rPr>
        <w:t xml:space="preserve"> </w:t>
      </w:r>
      <w:r w:rsidR="00F73572" w:rsidRPr="00B33A7B">
        <w:rPr>
          <w:rFonts w:cs="Arial"/>
        </w:rPr>
        <w:t>in the</w:t>
      </w:r>
      <w:r w:rsidR="00075EBD" w:rsidRPr="00B33A7B">
        <w:rPr>
          <w:rFonts w:cs="Arial"/>
        </w:rPr>
        <w:t xml:space="preserve"> </w:t>
      </w:r>
      <w:r w:rsidRPr="00B33A7B">
        <w:rPr>
          <w:rFonts w:cs="Arial"/>
        </w:rPr>
        <w:t xml:space="preserve">Qualifying Infill </w:t>
      </w:r>
      <w:r w:rsidR="00F73572" w:rsidRPr="00B33A7B">
        <w:rPr>
          <w:rFonts w:cs="Arial"/>
        </w:rPr>
        <w:t xml:space="preserve">Project, or within the </w:t>
      </w:r>
      <w:r w:rsidR="00FE59A2" w:rsidRPr="00B33A7B">
        <w:rPr>
          <w:rFonts w:cs="Arial"/>
        </w:rPr>
        <w:t>Qualifying Infill Area</w:t>
      </w:r>
      <w:r w:rsidRPr="00B33A7B">
        <w:rPr>
          <w:rFonts w:cs="Arial"/>
        </w:rPr>
        <w:t>, that the Eligible A</w:t>
      </w:r>
      <w:r w:rsidR="00F73572" w:rsidRPr="00B33A7B">
        <w:rPr>
          <w:rFonts w:cs="Arial"/>
        </w:rPr>
        <w:t xml:space="preserve">pplicant </w:t>
      </w:r>
      <w:r w:rsidRPr="00B33A7B">
        <w:rPr>
          <w:rFonts w:cs="Arial"/>
        </w:rPr>
        <w:t xml:space="preserve">intends to utilize </w:t>
      </w:r>
      <w:r w:rsidR="00F73572" w:rsidRPr="00B33A7B">
        <w:rPr>
          <w:rFonts w:cs="Arial"/>
        </w:rPr>
        <w:t xml:space="preserve">for the purpose of establishing the maximum Program grant </w:t>
      </w:r>
      <w:r w:rsidRPr="00B33A7B">
        <w:rPr>
          <w:rFonts w:cs="Arial"/>
        </w:rPr>
        <w:t xml:space="preserve">amount pursuant </w:t>
      </w:r>
      <w:r w:rsidR="00F73572" w:rsidRPr="00B33A7B">
        <w:rPr>
          <w:rFonts w:cs="Arial"/>
        </w:rPr>
        <w:t xml:space="preserve">to Section </w:t>
      </w:r>
      <w:r w:rsidR="00E2409C" w:rsidRPr="00B33A7B">
        <w:rPr>
          <w:rFonts w:cs="Arial"/>
        </w:rPr>
        <w:t>205</w:t>
      </w:r>
      <w:r w:rsidR="00F73572" w:rsidRPr="00B33A7B">
        <w:rPr>
          <w:rFonts w:cs="Arial"/>
        </w:rPr>
        <w:t xml:space="preserve">, and for the purpose of rating </w:t>
      </w:r>
      <w:r w:rsidR="0000723E" w:rsidRPr="00B33A7B">
        <w:rPr>
          <w:rFonts w:cs="Arial"/>
        </w:rPr>
        <w:t xml:space="preserve">Qualifying Infill Area </w:t>
      </w:r>
      <w:r w:rsidR="00F73572" w:rsidRPr="00B33A7B">
        <w:rPr>
          <w:rFonts w:cs="Arial"/>
        </w:rPr>
        <w:t>applications</w:t>
      </w:r>
      <w:r w:rsidR="00305CD7" w:rsidRPr="00B33A7B">
        <w:rPr>
          <w:rFonts w:cs="Arial"/>
        </w:rPr>
        <w:t xml:space="preserve"> from Large Jurisdictions</w:t>
      </w:r>
      <w:r w:rsidR="00F73572" w:rsidRPr="00B33A7B">
        <w:rPr>
          <w:rFonts w:cs="Arial"/>
        </w:rPr>
        <w:t xml:space="preserve"> </w:t>
      </w:r>
      <w:r w:rsidRPr="00B33A7B">
        <w:rPr>
          <w:rFonts w:cs="Arial"/>
        </w:rPr>
        <w:t xml:space="preserve">pursuant to Section </w:t>
      </w:r>
      <w:r w:rsidR="00FC09EB" w:rsidRPr="00B33A7B">
        <w:rPr>
          <w:rFonts w:cs="Arial"/>
        </w:rPr>
        <w:t>40</w:t>
      </w:r>
      <w:r w:rsidR="0041211B" w:rsidRPr="00B33A7B">
        <w:rPr>
          <w:rFonts w:cs="Arial"/>
        </w:rPr>
        <w:t>2</w:t>
      </w:r>
      <w:r w:rsidR="00F73572" w:rsidRPr="00B33A7B">
        <w:rPr>
          <w:rFonts w:cs="Arial"/>
        </w:rPr>
        <w:t xml:space="preserve">. </w:t>
      </w:r>
      <w:r w:rsidR="00C665CF" w:rsidRPr="00B33A7B">
        <w:rPr>
          <w:rFonts w:cs="Arial"/>
        </w:rPr>
        <w:t>A</w:t>
      </w:r>
      <w:r w:rsidR="00F73572" w:rsidRPr="00B33A7B">
        <w:rPr>
          <w:rFonts w:cs="Arial"/>
        </w:rPr>
        <w:t>ny such designated units must be</w:t>
      </w:r>
      <w:r w:rsidR="005D2F95" w:rsidRPr="00B33A7B">
        <w:rPr>
          <w:rFonts w:cs="Arial"/>
        </w:rPr>
        <w:t xml:space="preserve"> </w:t>
      </w:r>
      <w:r w:rsidR="00F73572" w:rsidRPr="00B33A7B">
        <w:rPr>
          <w:rFonts w:cs="Arial"/>
        </w:rPr>
        <w:t>utilized for both purposes</w:t>
      </w:r>
      <w:r w:rsidR="009331B3" w:rsidRPr="00B33A7B">
        <w:rPr>
          <w:rFonts w:cs="Arial"/>
        </w:rPr>
        <w:t xml:space="preserve"> in </w:t>
      </w:r>
      <w:r w:rsidR="00287BBC" w:rsidRPr="00B33A7B">
        <w:rPr>
          <w:rFonts w:cs="Arial"/>
        </w:rPr>
        <w:t xml:space="preserve">Qualifying Infill Area </w:t>
      </w:r>
      <w:r w:rsidR="009331B3" w:rsidRPr="00B33A7B">
        <w:rPr>
          <w:rFonts w:cs="Arial"/>
        </w:rPr>
        <w:t>applications from Large Jurisdictions</w:t>
      </w:r>
      <w:r w:rsidR="00F73572" w:rsidRPr="00B33A7B">
        <w:rPr>
          <w:rFonts w:cs="Arial"/>
        </w:rPr>
        <w:t xml:space="preserve">. </w:t>
      </w:r>
    </w:p>
    <w:p w14:paraId="039E815B" w14:textId="77777777" w:rsidR="00F73572" w:rsidRPr="00B33A7B" w:rsidRDefault="00F73572" w:rsidP="00513F0D">
      <w:pPr>
        <w:pStyle w:val="ListParagraph"/>
        <w:tabs>
          <w:tab w:val="left" w:pos="1350"/>
        </w:tabs>
        <w:ind w:left="1350"/>
        <w:rPr>
          <w:rFonts w:cs="Arial"/>
        </w:rPr>
      </w:pPr>
    </w:p>
    <w:p w14:paraId="72D537BA" w14:textId="31253C5C" w:rsidR="00F73572" w:rsidRPr="00B33A7B" w:rsidRDefault="00F73572" w:rsidP="00993D09">
      <w:pPr>
        <w:pStyle w:val="ListParagraph"/>
        <w:numPr>
          <w:ilvl w:val="0"/>
          <w:numId w:val="68"/>
        </w:numPr>
        <w:tabs>
          <w:tab w:val="left" w:pos="1350"/>
        </w:tabs>
        <w:ind w:left="1350" w:hanging="630"/>
        <w:rPr>
          <w:rFonts w:cs="Arial"/>
        </w:rPr>
      </w:pPr>
      <w:r w:rsidRPr="00B33A7B">
        <w:rPr>
          <w:rFonts w:cs="Arial"/>
        </w:rPr>
        <w:t xml:space="preserve">The application must demonstrate that the percentage of Affordable Units, and units restricted to other income limits and rents as designated for the purpose of determining the maximum Program grant amount in Section </w:t>
      </w:r>
      <w:r w:rsidR="00FC09EB" w:rsidRPr="00B33A7B">
        <w:rPr>
          <w:rFonts w:cs="Arial"/>
        </w:rPr>
        <w:t xml:space="preserve">205 </w:t>
      </w:r>
      <w:r w:rsidRPr="00B33A7B">
        <w:rPr>
          <w:rFonts w:cs="Arial"/>
        </w:rPr>
        <w:t xml:space="preserve">and for rating purposes pursuant to Section </w:t>
      </w:r>
      <w:r w:rsidR="00FC09EB" w:rsidRPr="00B33A7B">
        <w:rPr>
          <w:rFonts w:cs="Arial"/>
        </w:rPr>
        <w:t>40</w:t>
      </w:r>
      <w:r w:rsidR="00CF0692" w:rsidRPr="00B33A7B">
        <w:rPr>
          <w:rFonts w:cs="Arial"/>
        </w:rPr>
        <w:t>2</w:t>
      </w:r>
      <w:r w:rsidRPr="00B33A7B">
        <w:rPr>
          <w:rFonts w:cs="Arial"/>
        </w:rPr>
        <w:t xml:space="preserve">, shall be maintained or exceeded through the completion of each residential development proposed in the application. The Department may modify the requirement set forth in the previous sentence to conform to a similar local public agency requirement, </w:t>
      </w:r>
      <w:r w:rsidRPr="00B33A7B">
        <w:rPr>
          <w:rFonts w:cs="Arial"/>
        </w:rPr>
        <w:lastRenderedPageBreak/>
        <w:t xml:space="preserve">provided that </w:t>
      </w:r>
      <w:r w:rsidR="00D056EE" w:rsidRPr="00B33A7B">
        <w:rPr>
          <w:rFonts w:cs="Arial"/>
        </w:rPr>
        <w:t>the Department</w:t>
      </w:r>
      <w:r w:rsidRPr="00B33A7B">
        <w:rPr>
          <w:rFonts w:cs="Arial"/>
        </w:rPr>
        <w:t xml:space="preserve"> determines that the local requirement will reliably result in completion of the required Affordable Units </w:t>
      </w:r>
      <w:r w:rsidR="00D056EE" w:rsidRPr="00B33A7B">
        <w:rPr>
          <w:rFonts w:cs="Arial"/>
        </w:rPr>
        <w:t xml:space="preserve">as set forth in </w:t>
      </w:r>
      <w:r w:rsidR="0003427E" w:rsidRPr="00B33A7B">
        <w:rPr>
          <w:rFonts w:cs="Arial"/>
        </w:rPr>
        <w:t>S</w:t>
      </w:r>
      <w:r w:rsidR="00D056EE" w:rsidRPr="00B33A7B">
        <w:rPr>
          <w:rFonts w:cs="Arial"/>
        </w:rPr>
        <w:t xml:space="preserve">ection </w:t>
      </w:r>
      <w:r w:rsidR="007E3E36" w:rsidRPr="00B33A7B">
        <w:rPr>
          <w:rFonts w:cs="Arial"/>
        </w:rPr>
        <w:t>40</w:t>
      </w:r>
      <w:r w:rsidR="00D72EF2" w:rsidRPr="00B33A7B">
        <w:rPr>
          <w:rFonts w:cs="Arial"/>
        </w:rPr>
        <w:t>3</w:t>
      </w:r>
      <w:r w:rsidRPr="00B33A7B">
        <w:rPr>
          <w:rFonts w:cs="Arial"/>
        </w:rPr>
        <w:t>.</w:t>
      </w:r>
    </w:p>
    <w:p w14:paraId="4F9C0E70" w14:textId="77777777" w:rsidR="00F73572" w:rsidRPr="00B33A7B" w:rsidRDefault="00F73572" w:rsidP="00513F0D">
      <w:pPr>
        <w:pStyle w:val="ListParagraph"/>
        <w:tabs>
          <w:tab w:val="left" w:pos="1350"/>
        </w:tabs>
        <w:ind w:left="1350"/>
        <w:rPr>
          <w:rFonts w:cs="Arial"/>
        </w:rPr>
      </w:pPr>
    </w:p>
    <w:p w14:paraId="02E7DF98" w14:textId="21A06315" w:rsidR="008A1E64" w:rsidRPr="00B33A7B" w:rsidRDefault="000958CB" w:rsidP="00993D09">
      <w:pPr>
        <w:pStyle w:val="ListParagraph"/>
        <w:numPr>
          <w:ilvl w:val="0"/>
          <w:numId w:val="68"/>
        </w:numPr>
        <w:tabs>
          <w:tab w:val="left" w:pos="1350"/>
        </w:tabs>
        <w:ind w:left="1350" w:hanging="630"/>
        <w:rPr>
          <w:rFonts w:cs="Arial"/>
        </w:rPr>
      </w:pPr>
      <w:r w:rsidRPr="00683344">
        <w:rPr>
          <w:rFonts w:cs="Arial"/>
          <w:color w:val="C00000"/>
        </w:rPr>
        <w:t>At the time of the application due date, the c</w:t>
      </w:r>
      <w:r w:rsidR="00F73572" w:rsidRPr="00683344">
        <w:rPr>
          <w:rFonts w:cs="Arial"/>
          <w:color w:val="C00000"/>
        </w:rPr>
        <w:t xml:space="preserve">onstruction </w:t>
      </w:r>
      <w:r w:rsidRPr="00683344">
        <w:rPr>
          <w:rFonts w:cs="Arial"/>
          <w:color w:val="C00000"/>
        </w:rPr>
        <w:t xml:space="preserve">work of the </w:t>
      </w:r>
      <w:r w:rsidR="002A2881" w:rsidRPr="00B33A7B">
        <w:rPr>
          <w:rFonts w:cs="Arial"/>
        </w:rPr>
        <w:t xml:space="preserve">Capital Improvement Project </w:t>
      </w:r>
      <w:r w:rsidR="002A2881" w:rsidRPr="00683344">
        <w:rPr>
          <w:rFonts w:cs="Arial"/>
          <w:color w:val="C00000"/>
        </w:rPr>
        <w:t>has not</w:t>
      </w:r>
      <w:r w:rsidR="00F73572" w:rsidRPr="00683344">
        <w:rPr>
          <w:rFonts w:cs="Arial"/>
          <w:color w:val="C00000"/>
        </w:rPr>
        <w:t xml:space="preserve"> commenced</w:t>
      </w:r>
      <w:r w:rsidR="002A2881" w:rsidRPr="00683344">
        <w:rPr>
          <w:rFonts w:cs="Arial"/>
          <w:color w:val="C00000"/>
        </w:rPr>
        <w:t xml:space="preserve">, </w:t>
      </w:r>
      <w:r w:rsidR="00F73572" w:rsidRPr="00B33A7B">
        <w:rPr>
          <w:rFonts w:cs="Arial"/>
        </w:rPr>
        <w:t>except for</w:t>
      </w:r>
      <w:r w:rsidR="007E569A" w:rsidRPr="00B33A7B">
        <w:rPr>
          <w:rFonts w:cs="Arial"/>
        </w:rPr>
        <w:t>:</w:t>
      </w:r>
    </w:p>
    <w:p w14:paraId="14798471" w14:textId="77777777" w:rsidR="008A1E64" w:rsidRPr="00B33A7B" w:rsidRDefault="008A1E64" w:rsidP="007E569A">
      <w:pPr>
        <w:pStyle w:val="ListParagraph"/>
        <w:rPr>
          <w:rFonts w:cs="Arial"/>
        </w:rPr>
      </w:pPr>
    </w:p>
    <w:p w14:paraId="25E45278" w14:textId="03EC2B0A" w:rsidR="00F73572" w:rsidRPr="00B33A7B" w:rsidRDefault="00F73572" w:rsidP="00993D09">
      <w:pPr>
        <w:pStyle w:val="ListParagraph"/>
        <w:numPr>
          <w:ilvl w:val="0"/>
          <w:numId w:val="28"/>
        </w:numPr>
        <w:ind w:left="2160" w:right="90" w:hanging="720"/>
      </w:pPr>
      <w:r w:rsidRPr="00B33A7B">
        <w:t>Affordable Units identified in a disposition and development</w:t>
      </w:r>
      <w:r w:rsidR="00513F0D" w:rsidRPr="00B33A7B">
        <w:t xml:space="preserve"> </w:t>
      </w:r>
      <w:r w:rsidRPr="00B33A7B">
        <w:t xml:space="preserve">agreement or other </w:t>
      </w:r>
      <w:r w:rsidR="000F0CD3" w:rsidRPr="00B33A7B">
        <w:t>p</w:t>
      </w:r>
      <w:r w:rsidRPr="00B33A7B">
        <w:t>roject- or area-specific agreement between the Developer and the local agency having jurisdiction over the Affordable Units</w:t>
      </w:r>
      <w:r w:rsidR="00513F0D" w:rsidRPr="00B33A7B">
        <w:t xml:space="preserve"> </w:t>
      </w:r>
      <w:r w:rsidRPr="00B33A7B">
        <w:t>executed on or before July 31, 2019 that requires the Affordable Units to be built as a</w:t>
      </w:r>
      <w:r w:rsidR="00513F0D" w:rsidRPr="00B33A7B">
        <w:t xml:space="preserve"> </w:t>
      </w:r>
      <w:r w:rsidRPr="00B33A7B">
        <w:t xml:space="preserve">condition of local approval for the other units designated </w:t>
      </w:r>
      <w:r w:rsidR="002D1B29" w:rsidRPr="00B33A7B">
        <w:t>in the application,</w:t>
      </w:r>
      <w:r w:rsidR="00513F0D" w:rsidRPr="00B33A7B">
        <w:t xml:space="preserve"> </w:t>
      </w:r>
      <w:r w:rsidR="002D1B29" w:rsidRPr="00B33A7B">
        <w:t>where the D</w:t>
      </w:r>
      <w:r w:rsidRPr="00B33A7B">
        <w:t>eveloper of the other units contributed funds or land to cover costs of developing the Affordable Units, in an amount not less than 25 percent of the total development cost of the Affordable Units</w:t>
      </w:r>
      <w:r w:rsidR="00981971" w:rsidRPr="00B33A7B">
        <w:t xml:space="preserve">; </w:t>
      </w:r>
      <w:r w:rsidR="007E569A" w:rsidRPr="00B33A7B">
        <w:t xml:space="preserve">or </w:t>
      </w:r>
    </w:p>
    <w:p w14:paraId="6BE1561D" w14:textId="77777777" w:rsidR="007E569A" w:rsidRPr="00683344" w:rsidRDefault="007E569A" w:rsidP="007E569A">
      <w:pPr>
        <w:pStyle w:val="ListParagraph"/>
        <w:ind w:left="2160" w:right="90"/>
        <w:rPr>
          <w:color w:val="C00000"/>
        </w:rPr>
      </w:pPr>
    </w:p>
    <w:p w14:paraId="57D9F72A" w14:textId="1AFE35C9" w:rsidR="00981971" w:rsidRPr="00683344" w:rsidRDefault="31A59427" w:rsidP="00993D09">
      <w:pPr>
        <w:pStyle w:val="ListParagraph"/>
        <w:numPr>
          <w:ilvl w:val="0"/>
          <w:numId w:val="28"/>
        </w:numPr>
        <w:ind w:left="2160" w:right="90" w:hanging="720"/>
        <w:rPr>
          <w:color w:val="C00000"/>
        </w:rPr>
      </w:pPr>
      <w:r w:rsidRPr="00683344">
        <w:rPr>
          <w:color w:val="C00000"/>
        </w:rPr>
        <w:t>Emergency repairs to existing structures required to eliminate hazards or threats to health and safety.</w:t>
      </w:r>
    </w:p>
    <w:p w14:paraId="3C36C9E5" w14:textId="77777777" w:rsidR="00957D55" w:rsidRPr="00683344" w:rsidRDefault="00957D55" w:rsidP="00957D55">
      <w:pPr>
        <w:ind w:right="90"/>
        <w:rPr>
          <w:color w:val="C00000"/>
        </w:rPr>
      </w:pPr>
    </w:p>
    <w:p w14:paraId="2BC6170B" w14:textId="69FDE2F1" w:rsidR="00957D55" w:rsidRPr="00683344" w:rsidRDefault="002267EA" w:rsidP="00993D09">
      <w:pPr>
        <w:pStyle w:val="ListParagraph"/>
        <w:numPr>
          <w:ilvl w:val="0"/>
          <w:numId w:val="4"/>
        </w:numPr>
        <w:tabs>
          <w:tab w:val="left" w:pos="0"/>
        </w:tabs>
        <w:ind w:right="90"/>
        <w:rPr>
          <w:rFonts w:cs="Arial"/>
          <w:color w:val="C00000"/>
        </w:rPr>
      </w:pPr>
      <w:r w:rsidRPr="00683344">
        <w:rPr>
          <w:rFonts w:cs="Arial"/>
          <w:color w:val="C00000"/>
        </w:rPr>
        <w:t xml:space="preserve">The </w:t>
      </w:r>
      <w:r w:rsidR="002479A4" w:rsidRPr="00683344">
        <w:rPr>
          <w:rFonts w:cs="Arial"/>
          <w:color w:val="C00000"/>
        </w:rPr>
        <w:t xml:space="preserve">Qualifying Infill </w:t>
      </w:r>
      <w:r w:rsidR="00957D55" w:rsidRPr="00683344">
        <w:rPr>
          <w:rFonts w:cs="Arial"/>
          <w:color w:val="C00000"/>
        </w:rPr>
        <w:t xml:space="preserve">Project meets accessibility requirements pursuant to Section 300 below. </w:t>
      </w:r>
      <w:r w:rsidRPr="00683344">
        <w:rPr>
          <w:rFonts w:cs="Arial"/>
          <w:color w:val="C00000"/>
        </w:rPr>
        <w:t xml:space="preserve">The </w:t>
      </w:r>
      <w:r w:rsidR="002479A4" w:rsidRPr="00683344">
        <w:rPr>
          <w:rFonts w:cs="Arial"/>
          <w:color w:val="C00000"/>
        </w:rPr>
        <w:t xml:space="preserve">Qualifying Infill </w:t>
      </w:r>
      <w:r w:rsidR="00957D55" w:rsidRPr="00683344">
        <w:rPr>
          <w:rFonts w:cs="Arial"/>
          <w:color w:val="C00000"/>
        </w:rPr>
        <w:t xml:space="preserve">Projects </w:t>
      </w:r>
      <w:r w:rsidR="00C82C03" w:rsidRPr="00683344">
        <w:rPr>
          <w:rFonts w:cs="Arial"/>
          <w:color w:val="C00000"/>
        </w:rPr>
        <w:t xml:space="preserve">associated with the Capital Improvement Project </w:t>
      </w:r>
      <w:r w:rsidR="00957D55" w:rsidRPr="00683344">
        <w:rPr>
          <w:rFonts w:cs="Arial"/>
          <w:color w:val="C00000"/>
        </w:rPr>
        <w:t>must also provide a preference for Accessible Housing Unit(s) to persons with disabilities requiring the accessibility features of those units in accordance with CCR, Title 4, Section 10337(b)(2).</w:t>
      </w:r>
    </w:p>
    <w:p w14:paraId="7CA27D87" w14:textId="696ED8F6" w:rsidR="006A5E52" w:rsidRPr="00B33A7B" w:rsidRDefault="006A5E52" w:rsidP="00623011">
      <w:pPr>
        <w:pStyle w:val="ListParagraph"/>
        <w:ind w:right="360" w:hanging="720"/>
        <w:rPr>
          <w:rFonts w:cs="Arial"/>
        </w:rPr>
      </w:pPr>
    </w:p>
    <w:p w14:paraId="652B6C8E" w14:textId="4B3F08B6" w:rsidR="006A5E52" w:rsidRPr="00B33A7B" w:rsidRDefault="006A5E52" w:rsidP="00993D09">
      <w:pPr>
        <w:pStyle w:val="ListParagraph"/>
        <w:numPr>
          <w:ilvl w:val="0"/>
          <w:numId w:val="4"/>
        </w:numPr>
        <w:tabs>
          <w:tab w:val="left" w:pos="0"/>
        </w:tabs>
        <w:ind w:right="90"/>
        <w:rPr>
          <w:rFonts w:cs="Arial"/>
        </w:rPr>
      </w:pPr>
      <w:r w:rsidRPr="00B33A7B">
        <w:rPr>
          <w:rFonts w:cs="Arial"/>
        </w:rPr>
        <w:t xml:space="preserve">For purposes of evaluating </w:t>
      </w:r>
      <w:r w:rsidR="00712761" w:rsidRPr="00B33A7B">
        <w:rPr>
          <w:rFonts w:cs="Arial"/>
        </w:rPr>
        <w:t xml:space="preserve">Qualifying Infill Area </w:t>
      </w:r>
      <w:r w:rsidRPr="00B33A7B">
        <w:rPr>
          <w:rFonts w:cs="Arial"/>
        </w:rPr>
        <w:t>applications from Large Jurisdictions:</w:t>
      </w:r>
    </w:p>
    <w:p w14:paraId="5B0EC2B8" w14:textId="77777777" w:rsidR="00727D24" w:rsidRPr="00B33A7B" w:rsidRDefault="00727D24" w:rsidP="001871E6">
      <w:pPr>
        <w:pStyle w:val="ListParagraph"/>
        <w:ind w:left="1440" w:right="360" w:hanging="720"/>
        <w:rPr>
          <w:rFonts w:cs="Arial"/>
        </w:rPr>
      </w:pPr>
    </w:p>
    <w:p w14:paraId="7F734FC8" w14:textId="1B5CFD03" w:rsidR="006A5E52" w:rsidRPr="00B33A7B" w:rsidRDefault="006A5E52" w:rsidP="00993D09">
      <w:pPr>
        <w:pStyle w:val="ListParagraph"/>
        <w:numPr>
          <w:ilvl w:val="0"/>
          <w:numId w:val="18"/>
        </w:numPr>
        <w:tabs>
          <w:tab w:val="left" w:pos="1350"/>
        </w:tabs>
        <w:ind w:left="1350" w:hanging="630"/>
        <w:rPr>
          <w:rFonts w:cs="Arial"/>
        </w:rPr>
      </w:pPr>
      <w:r w:rsidRPr="00B33A7B">
        <w:rPr>
          <w:rFonts w:cs="Arial"/>
        </w:rPr>
        <w:t>“</w:t>
      </w:r>
      <w:r w:rsidR="00FE59A2" w:rsidRPr="00B33A7B">
        <w:rPr>
          <w:rFonts w:cs="Arial"/>
        </w:rPr>
        <w:t>Qualifying Infill Area</w:t>
      </w:r>
      <w:r w:rsidRPr="00B33A7B">
        <w:rPr>
          <w:rFonts w:cs="Arial"/>
        </w:rPr>
        <w:t xml:space="preserve">” </w:t>
      </w:r>
      <w:r w:rsidR="00C66B54" w:rsidRPr="00B33A7B">
        <w:rPr>
          <w:rFonts w:cs="Arial"/>
        </w:rPr>
        <w:t xml:space="preserve">in a Large Jurisdiction application </w:t>
      </w:r>
      <w:r w:rsidRPr="00B33A7B">
        <w:rPr>
          <w:rFonts w:cs="Arial"/>
        </w:rPr>
        <w:t xml:space="preserve">means a contiguous area located within an </w:t>
      </w:r>
      <w:r w:rsidR="004C3ECF" w:rsidRPr="00B33A7B">
        <w:rPr>
          <w:rFonts w:cs="Arial"/>
        </w:rPr>
        <w:t>Urbanized Area</w:t>
      </w:r>
      <w:r w:rsidRPr="00B33A7B">
        <w:rPr>
          <w:rFonts w:cs="Arial"/>
        </w:rPr>
        <w:t xml:space="preserve"> (i) that has been previously developed, or where at least 75 percent of the perimeter of the area adjoins parcels that are</w:t>
      </w:r>
      <w:r w:rsidR="006D6E4E" w:rsidRPr="00B33A7B">
        <w:rPr>
          <w:rFonts w:cs="Arial"/>
        </w:rPr>
        <w:t xml:space="preserve"> </w:t>
      </w:r>
      <w:r w:rsidRPr="00B33A7B">
        <w:rPr>
          <w:rFonts w:cs="Arial"/>
        </w:rPr>
        <w:t xml:space="preserve">developed with </w:t>
      </w:r>
      <w:r w:rsidR="004C3ECF" w:rsidRPr="00B33A7B">
        <w:rPr>
          <w:rFonts w:cs="Arial"/>
        </w:rPr>
        <w:t>Urban Uses</w:t>
      </w:r>
      <w:r w:rsidRPr="00B33A7B">
        <w:rPr>
          <w:rFonts w:cs="Arial"/>
        </w:rPr>
        <w:t>, and (ii) in which at least one development application has been approved or is pending approval for a residential</w:t>
      </w:r>
      <w:r w:rsidR="006D6E4E" w:rsidRPr="00B33A7B">
        <w:rPr>
          <w:rFonts w:cs="Arial"/>
        </w:rPr>
        <w:t xml:space="preserve"> </w:t>
      </w:r>
      <w:r w:rsidRPr="00B33A7B">
        <w:rPr>
          <w:rFonts w:cs="Arial"/>
        </w:rPr>
        <w:t xml:space="preserve">or mixed-use residential project that </w:t>
      </w:r>
      <w:r w:rsidR="002E5517" w:rsidRPr="00B33A7B">
        <w:rPr>
          <w:rFonts w:cs="Arial"/>
        </w:rPr>
        <w:t xml:space="preserve">meets the definition and criteria in </w:t>
      </w:r>
      <w:r w:rsidR="00E03107" w:rsidRPr="00B33A7B">
        <w:rPr>
          <w:rFonts w:cs="Arial"/>
        </w:rPr>
        <w:t>H</w:t>
      </w:r>
      <w:r w:rsidR="00CD309B" w:rsidRPr="00B33A7B">
        <w:rPr>
          <w:rFonts w:cs="Arial"/>
        </w:rPr>
        <w:t>SC Sect</w:t>
      </w:r>
      <w:r w:rsidR="005F3ACA" w:rsidRPr="00B33A7B">
        <w:rPr>
          <w:rFonts w:cs="Arial"/>
        </w:rPr>
        <w:t>ion</w:t>
      </w:r>
      <w:r w:rsidR="00CD309B" w:rsidRPr="00B33A7B">
        <w:rPr>
          <w:rFonts w:cs="Arial"/>
        </w:rPr>
        <w:t xml:space="preserve"> 53559</w:t>
      </w:r>
      <w:r w:rsidR="001D633F" w:rsidRPr="00B33A7B">
        <w:rPr>
          <w:rFonts w:cs="Arial"/>
        </w:rPr>
        <w:t>(c)</w:t>
      </w:r>
      <w:r w:rsidR="00FC1CE5" w:rsidRPr="00B33A7B">
        <w:rPr>
          <w:rFonts w:cs="Arial"/>
        </w:rPr>
        <w:t>(</w:t>
      </w:r>
      <w:r w:rsidR="00CD309B" w:rsidRPr="00B33A7B">
        <w:rPr>
          <w:rFonts w:cs="Arial"/>
        </w:rPr>
        <w:t>4)(B)</w:t>
      </w:r>
      <w:r w:rsidR="00C665CF" w:rsidRPr="00B33A7B">
        <w:rPr>
          <w:rFonts w:cs="Arial"/>
        </w:rPr>
        <w:t xml:space="preserve"> for a Q</w:t>
      </w:r>
      <w:r w:rsidR="002E5517" w:rsidRPr="00B33A7B">
        <w:rPr>
          <w:rFonts w:cs="Arial"/>
        </w:rPr>
        <w:t>ualif</w:t>
      </w:r>
      <w:r w:rsidR="00C665CF" w:rsidRPr="00B33A7B">
        <w:rPr>
          <w:rFonts w:cs="Arial"/>
        </w:rPr>
        <w:t>ying Infill P</w:t>
      </w:r>
      <w:r w:rsidR="002E5517" w:rsidRPr="00B33A7B">
        <w:rPr>
          <w:rFonts w:cs="Arial"/>
        </w:rPr>
        <w:t>roject</w:t>
      </w:r>
      <w:r w:rsidRPr="00B33A7B">
        <w:rPr>
          <w:rFonts w:cs="Arial"/>
        </w:rPr>
        <w:t>.</w:t>
      </w:r>
      <w:r w:rsidRPr="00B33A7B">
        <w:rPr>
          <w:rFonts w:cs="Arial"/>
        </w:rPr>
        <w:tab/>
      </w:r>
    </w:p>
    <w:p w14:paraId="2A2CA859" w14:textId="029E993B" w:rsidR="00E72158" w:rsidRPr="00B33A7B" w:rsidRDefault="00E72158" w:rsidP="0011180A">
      <w:pPr>
        <w:rPr>
          <w:rFonts w:cs="Arial"/>
        </w:rPr>
      </w:pPr>
    </w:p>
    <w:p w14:paraId="13862413" w14:textId="4331CF58" w:rsidR="00E72158" w:rsidRPr="00B33A7B" w:rsidRDefault="579647F2" w:rsidP="73DCA5CE">
      <w:pPr>
        <w:pStyle w:val="ListParagraph"/>
        <w:numPr>
          <w:ilvl w:val="0"/>
          <w:numId w:val="4"/>
        </w:numPr>
        <w:ind w:right="90"/>
        <w:rPr>
          <w:rFonts w:cs="Arial"/>
        </w:rPr>
      </w:pPr>
      <w:r w:rsidRPr="00B33A7B">
        <w:rPr>
          <w:rFonts w:cs="Arial"/>
        </w:rPr>
        <w:t>For purposes of evaluating applications from Small Jurisdictions</w:t>
      </w:r>
      <w:r w:rsidR="6618D11E" w:rsidRPr="00B33A7B">
        <w:rPr>
          <w:rFonts w:cs="Arial"/>
        </w:rPr>
        <w:t xml:space="preserve"> via </w:t>
      </w:r>
      <w:r w:rsidR="6387DA99" w:rsidRPr="00B33A7B">
        <w:rPr>
          <w:rFonts w:cs="Arial"/>
        </w:rPr>
        <w:t xml:space="preserve">an </w:t>
      </w:r>
      <w:r w:rsidR="00BC7696">
        <w:rPr>
          <w:rFonts w:cs="Arial"/>
        </w:rPr>
        <w:t>O</w:t>
      </w:r>
      <w:r w:rsidR="00BC7696" w:rsidRPr="00B33A7B">
        <w:rPr>
          <w:rFonts w:cs="Arial"/>
        </w:rPr>
        <w:t>ver</w:t>
      </w:r>
      <w:r w:rsidR="6618D11E" w:rsidRPr="00B33A7B">
        <w:rPr>
          <w:rFonts w:cs="Arial"/>
        </w:rPr>
        <w:t>-the-</w:t>
      </w:r>
      <w:r w:rsidR="00BC7696">
        <w:rPr>
          <w:rFonts w:cs="Arial"/>
        </w:rPr>
        <w:t>C</w:t>
      </w:r>
      <w:r w:rsidR="00BC7696" w:rsidRPr="00B33A7B">
        <w:rPr>
          <w:rFonts w:cs="Arial"/>
        </w:rPr>
        <w:t xml:space="preserve">ounter </w:t>
      </w:r>
      <w:r w:rsidR="6618D11E" w:rsidRPr="00B33A7B">
        <w:rPr>
          <w:rFonts w:cs="Arial"/>
        </w:rPr>
        <w:t>process</w:t>
      </w:r>
      <w:r w:rsidR="1C52D717" w:rsidRPr="00B33A7B">
        <w:rPr>
          <w:rFonts w:cs="Arial"/>
        </w:rPr>
        <w:t xml:space="preserve"> (</w:t>
      </w:r>
      <w:r w:rsidR="006D5FE8" w:rsidRPr="00B33A7B">
        <w:rPr>
          <w:rFonts w:cs="Arial"/>
        </w:rPr>
        <w:t xml:space="preserve">please note that </w:t>
      </w:r>
      <w:r w:rsidR="1C52D717" w:rsidRPr="00B33A7B">
        <w:rPr>
          <w:rFonts w:cs="Arial"/>
        </w:rPr>
        <w:t>this section does not apply to the Small Jurisdiction Qualifying Infill Project</w:t>
      </w:r>
      <w:r w:rsidR="4255D5AD" w:rsidRPr="00B33A7B">
        <w:rPr>
          <w:rFonts w:cs="Arial"/>
        </w:rPr>
        <w:t xml:space="preserve"> </w:t>
      </w:r>
      <w:r w:rsidR="69B542F5" w:rsidRPr="00B33A7B">
        <w:rPr>
          <w:rFonts w:cs="Arial"/>
        </w:rPr>
        <w:t>A</w:t>
      </w:r>
      <w:r w:rsidR="4255D5AD" w:rsidRPr="00B33A7B">
        <w:rPr>
          <w:rFonts w:cs="Arial"/>
        </w:rPr>
        <w:t xml:space="preserve">pplicants under the AB 434 competitive </w:t>
      </w:r>
      <w:r w:rsidR="006D5FE8" w:rsidRPr="00B33A7B">
        <w:rPr>
          <w:rFonts w:cs="Arial"/>
        </w:rPr>
        <w:t xml:space="preserve">Super </w:t>
      </w:r>
      <w:r w:rsidR="4255D5AD" w:rsidRPr="00B33A7B">
        <w:rPr>
          <w:rFonts w:cs="Arial"/>
        </w:rPr>
        <w:t>NOFA)</w:t>
      </w:r>
      <w:r w:rsidRPr="00B33A7B">
        <w:rPr>
          <w:rFonts w:cs="Arial"/>
        </w:rPr>
        <w:t>:</w:t>
      </w:r>
    </w:p>
    <w:p w14:paraId="517BF26C" w14:textId="5A1D0B30" w:rsidR="00E72158" w:rsidRPr="00B33A7B" w:rsidRDefault="00FE130A" w:rsidP="00E72158">
      <w:pPr>
        <w:rPr>
          <w:rFonts w:cs="Arial"/>
        </w:rPr>
      </w:pPr>
      <w:r w:rsidRPr="00B33A7B">
        <w:rPr>
          <w:rFonts w:cs="Arial"/>
        </w:rPr>
        <w:t xml:space="preserve"> </w:t>
      </w:r>
    </w:p>
    <w:p w14:paraId="57535F6F" w14:textId="1FF64FDF" w:rsidR="00E72158" w:rsidRPr="00B33A7B" w:rsidRDefault="00E72158" w:rsidP="00993D09">
      <w:pPr>
        <w:pStyle w:val="ListParagraph"/>
        <w:numPr>
          <w:ilvl w:val="0"/>
          <w:numId w:val="8"/>
        </w:numPr>
        <w:ind w:right="360" w:hanging="720"/>
        <w:rPr>
          <w:rFonts w:cs="Arial"/>
        </w:rPr>
      </w:pPr>
      <w:r w:rsidRPr="00B33A7B">
        <w:rPr>
          <w:rFonts w:cs="Arial"/>
        </w:rPr>
        <w:t>“</w:t>
      </w:r>
      <w:r w:rsidR="00FE59A2" w:rsidRPr="00B33A7B">
        <w:rPr>
          <w:rFonts w:cs="Arial"/>
        </w:rPr>
        <w:t>Qualifying Infill Area</w:t>
      </w:r>
      <w:r w:rsidRPr="00B33A7B">
        <w:rPr>
          <w:rFonts w:cs="Arial"/>
        </w:rPr>
        <w:t xml:space="preserve">” </w:t>
      </w:r>
      <w:r w:rsidR="00C66B54" w:rsidRPr="00B33A7B">
        <w:rPr>
          <w:rFonts w:cs="Arial"/>
        </w:rPr>
        <w:t xml:space="preserve">in a Small Jurisdiction application </w:t>
      </w:r>
      <w:r w:rsidRPr="00B33A7B">
        <w:rPr>
          <w:rFonts w:cs="Arial"/>
        </w:rPr>
        <w:t>means a contiguous area located within an</w:t>
      </w:r>
      <w:r w:rsidR="001871E6" w:rsidRPr="00B33A7B">
        <w:rPr>
          <w:rFonts w:cs="Arial"/>
        </w:rPr>
        <w:t xml:space="preserve"> </w:t>
      </w:r>
      <w:r w:rsidR="004C3ECF" w:rsidRPr="00B33A7B">
        <w:rPr>
          <w:rFonts w:cs="Arial"/>
        </w:rPr>
        <w:t>Urbanized Area</w:t>
      </w:r>
      <w:r w:rsidRPr="00B33A7B">
        <w:rPr>
          <w:rFonts w:cs="Arial"/>
        </w:rPr>
        <w:t xml:space="preserve"> that meets either of the following criteria:</w:t>
      </w:r>
    </w:p>
    <w:p w14:paraId="33501823" w14:textId="77777777" w:rsidR="00E72158" w:rsidRPr="00B33A7B" w:rsidRDefault="00E72158" w:rsidP="00AC63C6">
      <w:pPr>
        <w:pStyle w:val="ListParagraph"/>
        <w:ind w:left="2160" w:right="90"/>
      </w:pPr>
    </w:p>
    <w:p w14:paraId="52BF2F38" w14:textId="0996329C" w:rsidR="00E72158" w:rsidRPr="00B33A7B" w:rsidRDefault="00E72158" w:rsidP="00993D09">
      <w:pPr>
        <w:pStyle w:val="ListParagraph"/>
        <w:numPr>
          <w:ilvl w:val="0"/>
          <w:numId w:val="9"/>
        </w:numPr>
        <w:ind w:left="2160" w:right="90" w:hanging="720"/>
      </w:pPr>
      <w:r w:rsidRPr="00B33A7B">
        <w:t>The area contains sites included on the inventory of land suitable and available for residential development in the housing</w:t>
      </w:r>
      <w:r w:rsidR="00AC63C6" w:rsidRPr="00B33A7B">
        <w:t xml:space="preserve"> </w:t>
      </w:r>
      <w:r w:rsidRPr="00B33A7B">
        <w:t xml:space="preserve">element of the </w:t>
      </w:r>
      <w:r w:rsidRPr="00B33A7B">
        <w:lastRenderedPageBreak/>
        <w:t xml:space="preserve">applicable city or county general plan pursuant to paragraph (3) of subdivision (a) of </w:t>
      </w:r>
      <w:r w:rsidR="0003427E" w:rsidRPr="00B33A7B">
        <w:t xml:space="preserve">Section </w:t>
      </w:r>
      <w:r w:rsidRPr="00B33A7B">
        <w:t>65583 of the G</w:t>
      </w:r>
      <w:r w:rsidR="00CA72D5" w:rsidRPr="00B33A7B">
        <w:t>C</w:t>
      </w:r>
      <w:r w:rsidRPr="00B33A7B">
        <w:t xml:space="preserve">, and at least 50 percent of the perimeter of the area shall adjoin parcels that are developed with </w:t>
      </w:r>
      <w:r w:rsidR="004B7D09" w:rsidRPr="00B33A7B">
        <w:t>Urban Uses</w:t>
      </w:r>
      <w:r w:rsidRPr="00B33A7B">
        <w:t>.</w:t>
      </w:r>
    </w:p>
    <w:p w14:paraId="0CEBEF33" w14:textId="77777777" w:rsidR="00E72158" w:rsidRPr="00B33A7B" w:rsidRDefault="00E72158" w:rsidP="00B84F3A">
      <w:pPr>
        <w:pStyle w:val="ListParagraph"/>
        <w:ind w:left="2160" w:right="90"/>
      </w:pPr>
    </w:p>
    <w:p w14:paraId="6164627F" w14:textId="60CCBB73" w:rsidR="00E72158" w:rsidRPr="00B33A7B" w:rsidRDefault="00E72158" w:rsidP="00993D09">
      <w:pPr>
        <w:pStyle w:val="ListParagraph"/>
        <w:numPr>
          <w:ilvl w:val="0"/>
          <w:numId w:val="9"/>
        </w:numPr>
        <w:ind w:left="2160" w:right="90" w:hanging="720"/>
      </w:pPr>
      <w:r w:rsidRPr="00B33A7B">
        <w:t xml:space="preserve">The </w:t>
      </w:r>
      <w:r w:rsidR="000F0CD3" w:rsidRPr="00B33A7B">
        <w:t>C</w:t>
      </w:r>
      <w:r w:rsidRPr="00B33A7B">
        <w:t xml:space="preserve">apital </w:t>
      </w:r>
      <w:r w:rsidR="000F0CD3" w:rsidRPr="00B33A7B">
        <w:t>I</w:t>
      </w:r>
      <w:r w:rsidRPr="00B33A7B">
        <w:t xml:space="preserve">mprovement </w:t>
      </w:r>
      <w:r w:rsidR="000F0CD3" w:rsidRPr="00B33A7B">
        <w:t>P</w:t>
      </w:r>
      <w:r w:rsidRPr="00B33A7B">
        <w:t>roject for which funding is requested is necessary, as documented by an environmental review or some other adopted planning document, to make the area suitable and available for residential development, or to allow the area to accommodate housing for additional income levels, and the area otherwise meets the requirements for inclusion on</w:t>
      </w:r>
      <w:r w:rsidR="00AC63C6" w:rsidRPr="00B33A7B">
        <w:t xml:space="preserve"> </w:t>
      </w:r>
      <w:r w:rsidRPr="00B33A7B">
        <w:t xml:space="preserve">the inventory of land suitable and available for residential development in the housing element of the applicable city or county general plan pursuant to paragraph (3) of subdivision (a) of </w:t>
      </w:r>
      <w:r w:rsidR="0003427E" w:rsidRPr="00B33A7B">
        <w:t xml:space="preserve">Section </w:t>
      </w:r>
      <w:r w:rsidRPr="00B33A7B">
        <w:t>65583 of the G</w:t>
      </w:r>
      <w:r w:rsidR="00CA72D5" w:rsidRPr="00B33A7B">
        <w:t>C</w:t>
      </w:r>
      <w:r w:rsidRPr="00B33A7B">
        <w:t xml:space="preserve">. At least 50 percent of the perimeter of the area shall adjoin parcels that are </w:t>
      </w:r>
      <w:r w:rsidR="0077491A" w:rsidRPr="00B33A7B">
        <w:t>d</w:t>
      </w:r>
      <w:r w:rsidRPr="00B33A7B">
        <w:t xml:space="preserve">eveloped with </w:t>
      </w:r>
      <w:r w:rsidR="004C3ECF" w:rsidRPr="00B33A7B">
        <w:t>Urban Uses</w:t>
      </w:r>
      <w:r w:rsidRPr="00B33A7B">
        <w:t>.</w:t>
      </w:r>
    </w:p>
    <w:p w14:paraId="2135DA5B" w14:textId="262F847D" w:rsidR="00E72158" w:rsidRPr="00B33A7B" w:rsidRDefault="00E72158" w:rsidP="00AE3A43">
      <w:pPr>
        <w:pStyle w:val="ListParagraph"/>
        <w:ind w:left="1440" w:right="360"/>
        <w:rPr>
          <w:rFonts w:cs="Arial"/>
        </w:rPr>
      </w:pPr>
    </w:p>
    <w:p w14:paraId="703B391A" w14:textId="0E82E592" w:rsidR="00E72158" w:rsidRPr="00B33A7B" w:rsidRDefault="00E72158" w:rsidP="00993D09">
      <w:pPr>
        <w:pStyle w:val="ListParagraph"/>
        <w:numPr>
          <w:ilvl w:val="0"/>
          <w:numId w:val="8"/>
        </w:numPr>
        <w:ind w:right="360" w:hanging="720"/>
        <w:rPr>
          <w:rFonts w:cs="Arial"/>
        </w:rPr>
      </w:pPr>
      <w:r w:rsidRPr="00B33A7B">
        <w:rPr>
          <w:rFonts w:cs="Arial"/>
        </w:rPr>
        <w:t>“</w:t>
      </w:r>
      <w:r w:rsidR="00DF6948" w:rsidRPr="00B33A7B">
        <w:rPr>
          <w:rFonts w:cs="Arial"/>
        </w:rPr>
        <w:t>Qualifying Infill Project</w:t>
      </w:r>
      <w:r w:rsidRPr="00B33A7B">
        <w:rPr>
          <w:rFonts w:cs="Arial"/>
        </w:rPr>
        <w:t xml:space="preserve">” </w:t>
      </w:r>
      <w:r w:rsidR="00C66B54" w:rsidRPr="00B33A7B">
        <w:rPr>
          <w:rFonts w:cs="Arial"/>
        </w:rPr>
        <w:t xml:space="preserve">in a Small Jurisdiction application </w:t>
      </w:r>
      <w:r w:rsidRPr="00B33A7B">
        <w:rPr>
          <w:rFonts w:cs="Arial"/>
        </w:rPr>
        <w:t xml:space="preserve">means a residential or mixed-use residential project located within an </w:t>
      </w:r>
      <w:r w:rsidR="004C3ECF" w:rsidRPr="00B33A7B">
        <w:rPr>
          <w:rFonts w:cs="Arial"/>
        </w:rPr>
        <w:t>Urbanized Area</w:t>
      </w:r>
      <w:r w:rsidRPr="00B33A7B">
        <w:rPr>
          <w:rFonts w:cs="Arial"/>
        </w:rPr>
        <w:t xml:space="preserve"> on a site that has been </w:t>
      </w:r>
      <w:r w:rsidR="005C57F0" w:rsidRPr="00B33A7B">
        <w:rPr>
          <w:rFonts w:cs="Arial"/>
        </w:rPr>
        <w:t>p</w:t>
      </w:r>
      <w:r w:rsidRPr="00B33A7B">
        <w:rPr>
          <w:rFonts w:cs="Arial"/>
        </w:rPr>
        <w:t xml:space="preserve">reviously developed, or on a vacant site where at least 50 percent of the perimeter of the site adjoins parcels that are developed with </w:t>
      </w:r>
      <w:r w:rsidR="004B7D09" w:rsidRPr="00B33A7B">
        <w:rPr>
          <w:rFonts w:cs="Arial"/>
        </w:rPr>
        <w:t>Urban Uses</w:t>
      </w:r>
      <w:r w:rsidRPr="00B33A7B">
        <w:rPr>
          <w:rFonts w:cs="Arial"/>
        </w:rPr>
        <w:t xml:space="preserve">. </w:t>
      </w:r>
    </w:p>
    <w:p w14:paraId="20BDF2EB" w14:textId="77777777" w:rsidR="0099155E" w:rsidRPr="00B33A7B" w:rsidRDefault="0099155E" w:rsidP="00E72158">
      <w:pPr>
        <w:rPr>
          <w:rFonts w:cs="Arial"/>
        </w:rPr>
      </w:pPr>
    </w:p>
    <w:p w14:paraId="223F0C39" w14:textId="26EC192D" w:rsidR="00616FAE" w:rsidRPr="00B33A7B" w:rsidRDefault="00AE1E59" w:rsidP="0011180A">
      <w:pPr>
        <w:ind w:left="2160" w:hanging="1440"/>
        <w:rPr>
          <w:rFonts w:cs="Arial"/>
        </w:rPr>
      </w:pPr>
      <w:r w:rsidRPr="00B33A7B">
        <w:rPr>
          <w:rFonts w:cs="Arial"/>
        </w:rPr>
        <w:t>(</w:t>
      </w:r>
      <w:r w:rsidR="0099155E" w:rsidRPr="00B33A7B">
        <w:rPr>
          <w:rFonts w:cs="Arial"/>
        </w:rPr>
        <w:t>3</w:t>
      </w:r>
      <w:r w:rsidRPr="00B33A7B">
        <w:rPr>
          <w:rFonts w:cs="Arial"/>
        </w:rPr>
        <w:t>)</w:t>
      </w:r>
      <w:r w:rsidR="00BC6C0E" w:rsidRPr="00B33A7B">
        <w:rPr>
          <w:rFonts w:cs="Arial"/>
        </w:rPr>
        <w:t xml:space="preserve">      </w:t>
      </w:r>
      <w:r w:rsidR="009736C0" w:rsidRPr="00B33A7B">
        <w:rPr>
          <w:rFonts w:cs="Arial"/>
        </w:rPr>
        <w:t>Applications from Small Jurisdictions must</w:t>
      </w:r>
      <w:r w:rsidR="00616FAE" w:rsidRPr="00B33A7B">
        <w:t xml:space="preserve"> </w:t>
      </w:r>
      <w:r w:rsidR="00616FAE" w:rsidRPr="00B33A7B">
        <w:rPr>
          <w:rFonts w:cs="Arial"/>
        </w:rPr>
        <w:t>include a complete description of</w:t>
      </w:r>
    </w:p>
    <w:p w14:paraId="1875C07F" w14:textId="542387B2" w:rsidR="00DA6927" w:rsidRPr="00B33A7B" w:rsidRDefault="00616FAE" w:rsidP="002A696A">
      <w:pPr>
        <w:ind w:left="1440" w:hanging="810"/>
        <w:rPr>
          <w:rFonts w:cs="Arial"/>
        </w:rPr>
      </w:pPr>
      <w:r w:rsidRPr="00B33A7B">
        <w:rPr>
          <w:rFonts w:cs="Arial"/>
        </w:rPr>
        <w:tab/>
      </w:r>
      <w:r w:rsidR="79753CB2" w:rsidRPr="00B33A7B">
        <w:rPr>
          <w:rFonts w:cs="Arial"/>
        </w:rPr>
        <w:t xml:space="preserve">the </w:t>
      </w:r>
      <w:r w:rsidR="16314E32" w:rsidRPr="00B33A7B">
        <w:rPr>
          <w:rFonts w:cs="Arial"/>
        </w:rPr>
        <w:t>Q</w:t>
      </w:r>
      <w:r w:rsidR="79753CB2" w:rsidRPr="00B33A7B">
        <w:rPr>
          <w:rFonts w:cs="Arial"/>
        </w:rPr>
        <w:t xml:space="preserve">ualifying </w:t>
      </w:r>
      <w:r w:rsidR="16314E32" w:rsidRPr="00B33A7B">
        <w:rPr>
          <w:rFonts w:cs="Arial"/>
        </w:rPr>
        <w:t>I</w:t>
      </w:r>
      <w:r w:rsidR="79753CB2" w:rsidRPr="00B33A7B">
        <w:rPr>
          <w:rFonts w:cs="Arial"/>
        </w:rPr>
        <w:t xml:space="preserve">nfill </w:t>
      </w:r>
      <w:r w:rsidR="16314E32" w:rsidRPr="00B33A7B">
        <w:rPr>
          <w:rFonts w:cs="Arial"/>
        </w:rPr>
        <w:t>P</w:t>
      </w:r>
      <w:r w:rsidR="79753CB2" w:rsidRPr="00B33A7B">
        <w:rPr>
          <w:rFonts w:cs="Arial"/>
        </w:rPr>
        <w:t xml:space="preserve">roject or </w:t>
      </w:r>
      <w:r w:rsidR="16314E32" w:rsidRPr="00B33A7B">
        <w:rPr>
          <w:rFonts w:cs="Arial"/>
        </w:rPr>
        <w:t>Q</w:t>
      </w:r>
      <w:r w:rsidR="79753CB2" w:rsidRPr="00B33A7B">
        <w:rPr>
          <w:rFonts w:cs="Arial"/>
        </w:rPr>
        <w:t xml:space="preserve">ualifying </w:t>
      </w:r>
      <w:r w:rsidR="16314E32" w:rsidRPr="00B33A7B">
        <w:rPr>
          <w:rFonts w:cs="Arial"/>
        </w:rPr>
        <w:t>I</w:t>
      </w:r>
      <w:r w:rsidR="79753CB2" w:rsidRPr="00B33A7B">
        <w:rPr>
          <w:rFonts w:cs="Arial"/>
        </w:rPr>
        <w:t xml:space="preserve">nfill </w:t>
      </w:r>
      <w:r w:rsidR="16314E32" w:rsidRPr="00B33A7B">
        <w:rPr>
          <w:rFonts w:cs="Arial"/>
        </w:rPr>
        <w:t>A</w:t>
      </w:r>
      <w:r w:rsidR="79753CB2" w:rsidRPr="00B33A7B">
        <w:rPr>
          <w:rFonts w:cs="Arial"/>
        </w:rPr>
        <w:t xml:space="preserve">rea and </w:t>
      </w:r>
      <w:r w:rsidR="5D443985" w:rsidRPr="00B33A7B">
        <w:rPr>
          <w:rFonts w:cs="Arial"/>
        </w:rPr>
        <w:t xml:space="preserve">the Capital Improvement Project </w:t>
      </w:r>
      <w:r w:rsidR="31E7C489" w:rsidRPr="00B33A7B">
        <w:rPr>
          <w:rFonts w:cs="Arial"/>
        </w:rPr>
        <w:t>along with</w:t>
      </w:r>
      <w:r w:rsidR="5D443985" w:rsidRPr="00B33A7B">
        <w:rPr>
          <w:rFonts w:cs="Arial"/>
        </w:rPr>
        <w:t xml:space="preserve"> r</w:t>
      </w:r>
      <w:r w:rsidR="3B87B78A" w:rsidRPr="00B33A7B">
        <w:rPr>
          <w:rFonts w:cs="Arial"/>
        </w:rPr>
        <w:t>equested grant funding for the P</w:t>
      </w:r>
      <w:r w:rsidR="0F97D9DF" w:rsidRPr="00B33A7B">
        <w:rPr>
          <w:rFonts w:cs="Arial"/>
        </w:rPr>
        <w:t>roject.</w:t>
      </w:r>
      <w:r w:rsidR="5D443985" w:rsidRPr="00B33A7B">
        <w:rPr>
          <w:rFonts w:cs="Arial"/>
        </w:rPr>
        <w:t xml:space="preserve"> </w:t>
      </w:r>
      <w:r w:rsidR="0F97D9DF" w:rsidRPr="00B33A7B">
        <w:rPr>
          <w:rFonts w:cs="Arial"/>
        </w:rPr>
        <w:t xml:space="preserve">The application must </w:t>
      </w:r>
      <w:r w:rsidR="5E1D3FA8" w:rsidRPr="00B33A7B">
        <w:rPr>
          <w:rFonts w:cs="Arial"/>
        </w:rPr>
        <w:t xml:space="preserve">describe </w:t>
      </w:r>
      <w:r w:rsidR="5D443985" w:rsidRPr="00B33A7B">
        <w:rPr>
          <w:rFonts w:cs="Arial"/>
        </w:rPr>
        <w:t xml:space="preserve">how the </w:t>
      </w:r>
      <w:r w:rsidR="00321BD1" w:rsidRPr="00B33A7B">
        <w:rPr>
          <w:rFonts w:cs="Arial"/>
        </w:rPr>
        <w:t>P</w:t>
      </w:r>
      <w:r w:rsidR="5D443985" w:rsidRPr="00B33A7B">
        <w:rPr>
          <w:rFonts w:cs="Arial"/>
        </w:rPr>
        <w:t>roject is necessary to support the development of housing, and how it meets the criteria of this sectio</w:t>
      </w:r>
      <w:r w:rsidR="5E1D3FA8" w:rsidRPr="00B33A7B">
        <w:rPr>
          <w:rFonts w:cs="Arial"/>
        </w:rPr>
        <w:t xml:space="preserve">n, </w:t>
      </w:r>
      <w:proofErr w:type="gramStart"/>
      <w:r w:rsidR="5E1D3FA8" w:rsidRPr="00B33A7B">
        <w:rPr>
          <w:rFonts w:cs="Arial"/>
        </w:rPr>
        <w:t>including;</w:t>
      </w:r>
      <w:proofErr w:type="gramEnd"/>
    </w:p>
    <w:p w14:paraId="35322137" w14:textId="695B1F53" w:rsidR="00DA6927" w:rsidRPr="00B33A7B" w:rsidRDefault="00DA6927" w:rsidP="002A696A">
      <w:pPr>
        <w:ind w:left="1440" w:hanging="810"/>
        <w:rPr>
          <w:rFonts w:cs="Arial"/>
          <w:color w:val="000000"/>
        </w:rPr>
      </w:pPr>
    </w:p>
    <w:p w14:paraId="68A9504B" w14:textId="6BD6385D" w:rsidR="009F0DF9" w:rsidRPr="00B33A7B" w:rsidRDefault="00155758" w:rsidP="00993D09">
      <w:pPr>
        <w:pStyle w:val="ListParagraph"/>
        <w:numPr>
          <w:ilvl w:val="0"/>
          <w:numId w:val="19"/>
        </w:numPr>
        <w:ind w:left="2160" w:right="90" w:hanging="720"/>
      </w:pPr>
      <w:r w:rsidRPr="00B33A7B">
        <w:t>A</w:t>
      </w:r>
      <w:r w:rsidR="00165984" w:rsidRPr="00B33A7B">
        <w:t xml:space="preserve"> financial document that shows the gap financing needed for the </w:t>
      </w:r>
      <w:r w:rsidR="00017E26" w:rsidRPr="00B33A7B">
        <w:t>Project</w:t>
      </w:r>
      <w:r w:rsidR="00165984" w:rsidRPr="00B33A7B">
        <w:t xml:space="preserve">. </w:t>
      </w:r>
      <w:r w:rsidR="005017E2" w:rsidRPr="00B33A7B">
        <w:t xml:space="preserve">This requirement is typically </w:t>
      </w:r>
      <w:r w:rsidR="00312D95" w:rsidRPr="00B33A7B">
        <w:t>satisfied</w:t>
      </w:r>
      <w:r w:rsidR="005017E2" w:rsidRPr="00B33A7B">
        <w:t xml:space="preserve"> by the Development Budget tab of the </w:t>
      </w:r>
      <w:r w:rsidR="003E7A44" w:rsidRPr="00B33A7B">
        <w:t>application workbook</w:t>
      </w:r>
      <w:r w:rsidR="005017E2" w:rsidRPr="00B33A7B">
        <w:t>.</w:t>
      </w:r>
    </w:p>
    <w:p w14:paraId="616BA17F" w14:textId="16492A2E" w:rsidR="00616FAE" w:rsidRPr="00B33A7B" w:rsidRDefault="00616FAE" w:rsidP="009F0DF9">
      <w:pPr>
        <w:ind w:right="90"/>
        <w:rPr>
          <w:rFonts w:cs="Arial"/>
        </w:rPr>
      </w:pPr>
    </w:p>
    <w:p w14:paraId="10E8E2FF" w14:textId="5A00CADC" w:rsidR="00165F2D" w:rsidRPr="00B33A7B" w:rsidRDefault="00165984" w:rsidP="00993D09">
      <w:pPr>
        <w:pStyle w:val="ListParagraph"/>
        <w:numPr>
          <w:ilvl w:val="0"/>
          <w:numId w:val="10"/>
        </w:numPr>
        <w:tabs>
          <w:tab w:val="left" w:pos="1152"/>
        </w:tabs>
        <w:rPr>
          <w:rFonts w:cs="Arial"/>
        </w:rPr>
      </w:pPr>
      <w:r w:rsidRPr="00B33A7B">
        <w:rPr>
          <w:rFonts w:cs="Arial"/>
        </w:rPr>
        <w:t>Fo</w:t>
      </w:r>
      <w:r w:rsidR="002A0FC1" w:rsidRPr="00B33A7B">
        <w:rPr>
          <w:rFonts w:cs="Arial"/>
        </w:rPr>
        <w:t xml:space="preserve">r a </w:t>
      </w:r>
      <w:r w:rsidR="00DF6948" w:rsidRPr="00B33A7B">
        <w:rPr>
          <w:rFonts w:cs="Arial"/>
        </w:rPr>
        <w:t>Qualifying Infill Project</w:t>
      </w:r>
      <w:r w:rsidR="002A0FC1" w:rsidRPr="00B33A7B">
        <w:rPr>
          <w:rFonts w:cs="Arial"/>
        </w:rPr>
        <w:t xml:space="preserve"> </w:t>
      </w:r>
      <w:r w:rsidR="00BC6914" w:rsidRPr="00B33A7B">
        <w:rPr>
          <w:rFonts w:cs="Arial"/>
        </w:rPr>
        <w:t>located in the unincorporated area of the</w:t>
      </w:r>
      <w:r w:rsidR="009C4AC8" w:rsidRPr="00B33A7B">
        <w:rPr>
          <w:rFonts w:cs="Arial"/>
        </w:rPr>
        <w:t xml:space="preserve"> </w:t>
      </w:r>
      <w:r w:rsidR="00BC6914" w:rsidRPr="00B33A7B">
        <w:rPr>
          <w:rFonts w:cs="Arial"/>
        </w:rPr>
        <w:t xml:space="preserve">county, the Department shall allow an </w:t>
      </w:r>
      <w:r w:rsidR="00203E29" w:rsidRPr="00B33A7B">
        <w:rPr>
          <w:rFonts w:cs="Arial"/>
        </w:rPr>
        <w:t>Eligible A</w:t>
      </w:r>
      <w:r w:rsidR="00AD2492" w:rsidRPr="00B33A7B">
        <w:rPr>
          <w:rFonts w:cs="Arial"/>
        </w:rPr>
        <w:t>pplicant to satisfy</w:t>
      </w:r>
      <w:r w:rsidR="00203E29" w:rsidRPr="00B33A7B">
        <w:rPr>
          <w:rFonts w:cs="Arial"/>
        </w:rPr>
        <w:t xml:space="preserve"> </w:t>
      </w:r>
      <w:r w:rsidR="00AD2492" w:rsidRPr="00B33A7B">
        <w:rPr>
          <w:rFonts w:cs="Arial"/>
        </w:rPr>
        <w:t>th</w:t>
      </w:r>
      <w:r w:rsidR="00155758" w:rsidRPr="00B33A7B">
        <w:rPr>
          <w:rFonts w:cs="Arial"/>
        </w:rPr>
        <w:t>e requirement in this paragraph</w:t>
      </w:r>
      <w:r w:rsidR="00BC6914" w:rsidRPr="00B33A7B">
        <w:rPr>
          <w:rFonts w:cs="Arial"/>
        </w:rPr>
        <w:t xml:space="preserve"> by submitting copies of</w:t>
      </w:r>
      <w:r w:rsidR="009C4AC8" w:rsidRPr="00B33A7B">
        <w:rPr>
          <w:rFonts w:cs="Arial"/>
        </w:rPr>
        <w:t xml:space="preserve"> </w:t>
      </w:r>
      <w:r w:rsidR="00BC6914" w:rsidRPr="00B33A7B">
        <w:rPr>
          <w:rFonts w:cs="Arial"/>
        </w:rPr>
        <w:t>an application or applications for other sources of state or</w:t>
      </w:r>
      <w:r w:rsidR="009C4AC8" w:rsidRPr="00B33A7B">
        <w:rPr>
          <w:rFonts w:cs="Arial"/>
        </w:rPr>
        <w:t xml:space="preserve"> </w:t>
      </w:r>
      <w:r w:rsidR="00BC6914" w:rsidRPr="00B33A7B">
        <w:rPr>
          <w:rFonts w:cs="Arial"/>
        </w:rPr>
        <w:t>federal funding</w:t>
      </w:r>
      <w:r w:rsidR="00D1292D" w:rsidRPr="00B33A7B">
        <w:rPr>
          <w:rFonts w:cs="Arial"/>
        </w:rPr>
        <w:t xml:space="preserve"> </w:t>
      </w:r>
      <w:r w:rsidR="00203E29" w:rsidRPr="00B33A7B">
        <w:rPr>
          <w:rFonts w:cs="Arial"/>
        </w:rPr>
        <w:t xml:space="preserve">for a </w:t>
      </w:r>
      <w:r w:rsidR="00DF6948" w:rsidRPr="00B33A7B">
        <w:rPr>
          <w:rFonts w:cs="Arial"/>
        </w:rPr>
        <w:t>Qualifying Infill Project</w:t>
      </w:r>
      <w:r w:rsidR="00D1292D" w:rsidRPr="00B33A7B">
        <w:rPr>
          <w:rFonts w:cs="Arial"/>
        </w:rPr>
        <w:t>.</w:t>
      </w:r>
    </w:p>
    <w:p w14:paraId="38511414" w14:textId="77777777" w:rsidR="00616FAE" w:rsidRPr="00B33A7B" w:rsidRDefault="00616FAE" w:rsidP="0011180A">
      <w:pPr>
        <w:ind w:left="1440"/>
        <w:rPr>
          <w:rFonts w:cs="Arial"/>
        </w:rPr>
      </w:pPr>
    </w:p>
    <w:p w14:paraId="27DA5EC1" w14:textId="102E3F9E" w:rsidR="00616FAE" w:rsidRPr="00B33A7B" w:rsidRDefault="00155758" w:rsidP="00993D09">
      <w:pPr>
        <w:pStyle w:val="ListParagraph"/>
        <w:numPr>
          <w:ilvl w:val="0"/>
          <w:numId w:val="19"/>
        </w:numPr>
        <w:ind w:left="2160" w:right="90" w:hanging="720"/>
      </w:pPr>
      <w:r w:rsidRPr="00B33A7B">
        <w:t>D</w:t>
      </w:r>
      <w:r w:rsidR="00616FAE" w:rsidRPr="00B33A7B">
        <w:t>ocumentation of all necessary entitlement and permits</w:t>
      </w:r>
      <w:r w:rsidR="00203E29" w:rsidRPr="00B33A7B">
        <w:t>, and a certification from the Eligible A</w:t>
      </w:r>
      <w:r w:rsidR="00616FAE" w:rsidRPr="00B33A7B">
        <w:t>pplicant that the project is shovel</w:t>
      </w:r>
      <w:r w:rsidR="00AA4B4C" w:rsidRPr="00B33A7B">
        <w:t xml:space="preserve"> </w:t>
      </w:r>
      <w:r w:rsidR="00616FAE" w:rsidRPr="00B33A7B">
        <w:t>ready.</w:t>
      </w:r>
    </w:p>
    <w:p w14:paraId="3C099A27" w14:textId="77777777" w:rsidR="00D1292D" w:rsidRPr="00B33A7B" w:rsidRDefault="00D1292D" w:rsidP="0011180A">
      <w:pPr>
        <w:ind w:left="1440"/>
        <w:rPr>
          <w:rFonts w:cs="Arial"/>
        </w:rPr>
      </w:pPr>
      <w:r w:rsidRPr="00B33A7B">
        <w:rPr>
          <w:rFonts w:cs="Arial"/>
        </w:rPr>
        <w:tab/>
      </w:r>
    </w:p>
    <w:p w14:paraId="33306362" w14:textId="594B3749" w:rsidR="005B0098" w:rsidRPr="00B33A7B" w:rsidRDefault="00D1292D" w:rsidP="00993D09">
      <w:pPr>
        <w:pStyle w:val="ListParagraph"/>
        <w:numPr>
          <w:ilvl w:val="0"/>
          <w:numId w:val="11"/>
        </w:numPr>
        <w:tabs>
          <w:tab w:val="left" w:pos="1152"/>
        </w:tabs>
        <w:rPr>
          <w:rFonts w:cs="Arial"/>
        </w:rPr>
      </w:pPr>
      <w:r w:rsidRPr="00B33A7B">
        <w:rPr>
          <w:rFonts w:cs="Arial"/>
        </w:rPr>
        <w:t xml:space="preserve">For a </w:t>
      </w:r>
      <w:r w:rsidR="00DF6948" w:rsidRPr="00B33A7B">
        <w:rPr>
          <w:rFonts w:cs="Arial"/>
        </w:rPr>
        <w:t>Qualifying Infill Project</w:t>
      </w:r>
      <w:r w:rsidRPr="00B33A7B">
        <w:rPr>
          <w:rFonts w:cs="Arial"/>
        </w:rPr>
        <w:t xml:space="preserve"> located in the unincorporated area of the county, </w:t>
      </w:r>
      <w:r w:rsidR="00203E29" w:rsidRPr="00B33A7B">
        <w:rPr>
          <w:rFonts w:cs="Arial"/>
        </w:rPr>
        <w:t xml:space="preserve">the </w:t>
      </w:r>
      <w:r w:rsidR="00A367DF" w:rsidRPr="00B33A7B">
        <w:rPr>
          <w:rFonts w:cs="Arial"/>
        </w:rPr>
        <w:t>D</w:t>
      </w:r>
      <w:r w:rsidR="00203E29" w:rsidRPr="00B33A7B">
        <w:rPr>
          <w:rFonts w:cs="Arial"/>
        </w:rPr>
        <w:t>epartment shall allow the Eligible A</w:t>
      </w:r>
      <w:r w:rsidRPr="00B33A7B">
        <w:rPr>
          <w:rFonts w:cs="Arial"/>
        </w:rPr>
        <w:t>pplicant to meet the requirement</w:t>
      </w:r>
      <w:r w:rsidR="00155758" w:rsidRPr="00B33A7B">
        <w:rPr>
          <w:rFonts w:cs="Arial"/>
        </w:rPr>
        <w:t xml:space="preserve"> described in this paragraph</w:t>
      </w:r>
      <w:r w:rsidRPr="00B33A7B">
        <w:rPr>
          <w:rFonts w:cs="Arial"/>
        </w:rPr>
        <w:t xml:space="preserve"> by</w:t>
      </w:r>
      <w:r w:rsidR="00C7729A" w:rsidRPr="00B33A7B">
        <w:rPr>
          <w:rFonts w:cs="Arial"/>
        </w:rPr>
        <w:t xml:space="preserve"> </w:t>
      </w:r>
      <w:r w:rsidRPr="00B33A7B">
        <w:rPr>
          <w:rFonts w:cs="Arial"/>
        </w:rPr>
        <w:t xml:space="preserve">submitting a letter of intent from a willing affordable </w:t>
      </w:r>
      <w:r w:rsidR="00246887" w:rsidRPr="00B33A7B">
        <w:rPr>
          <w:rFonts w:cs="Arial"/>
        </w:rPr>
        <w:t>h</w:t>
      </w:r>
      <w:r w:rsidRPr="00B33A7B">
        <w:rPr>
          <w:rFonts w:cs="Arial"/>
        </w:rPr>
        <w:t>ousing</w:t>
      </w:r>
      <w:r w:rsidR="00C7729A" w:rsidRPr="00B33A7B">
        <w:rPr>
          <w:rFonts w:cs="Arial"/>
        </w:rPr>
        <w:t xml:space="preserve"> </w:t>
      </w:r>
      <w:r w:rsidR="002D1B29" w:rsidRPr="00B33A7B">
        <w:rPr>
          <w:rFonts w:cs="Arial"/>
        </w:rPr>
        <w:lastRenderedPageBreak/>
        <w:t>D</w:t>
      </w:r>
      <w:r w:rsidRPr="00B33A7B">
        <w:rPr>
          <w:rFonts w:cs="Arial"/>
        </w:rPr>
        <w:t>eveloper that has previously completed at least one comparable housing project, certifyi</w:t>
      </w:r>
      <w:r w:rsidR="002D1B29" w:rsidRPr="00B33A7B">
        <w:rPr>
          <w:rFonts w:cs="Arial"/>
        </w:rPr>
        <w:t>ng that the D</w:t>
      </w:r>
      <w:r w:rsidRPr="00B33A7B">
        <w:rPr>
          <w:rFonts w:cs="Arial"/>
        </w:rPr>
        <w:t xml:space="preserve">eveloper is willing to submit an </w:t>
      </w:r>
      <w:r w:rsidR="00203E29" w:rsidRPr="00B33A7B">
        <w:rPr>
          <w:rFonts w:cs="Arial"/>
        </w:rPr>
        <w:tab/>
        <w:t xml:space="preserve">application to </w:t>
      </w:r>
      <w:r w:rsidRPr="00B33A7B">
        <w:rPr>
          <w:rFonts w:cs="Arial"/>
        </w:rPr>
        <w:t xml:space="preserve">the county for approval by the county of a </w:t>
      </w:r>
      <w:r w:rsidR="00DF6948" w:rsidRPr="00B33A7B">
        <w:rPr>
          <w:rFonts w:cs="Arial"/>
        </w:rPr>
        <w:t>Qualifying Infill Project</w:t>
      </w:r>
      <w:r w:rsidRPr="00B33A7B">
        <w:rPr>
          <w:rFonts w:cs="Arial"/>
        </w:rPr>
        <w:t xml:space="preserve"> within the area in the event that the funding requested pursuant to this subdivision is awarded.</w:t>
      </w:r>
    </w:p>
    <w:p w14:paraId="21A5D2CE" w14:textId="77777777" w:rsidR="005B0098" w:rsidRPr="00B33A7B" w:rsidRDefault="005B0098" w:rsidP="005B0098">
      <w:pPr>
        <w:pStyle w:val="ListParagraph"/>
        <w:tabs>
          <w:tab w:val="left" w:pos="1152"/>
        </w:tabs>
        <w:ind w:left="2880"/>
        <w:rPr>
          <w:rFonts w:cs="Arial"/>
        </w:rPr>
      </w:pPr>
    </w:p>
    <w:p w14:paraId="5986A917" w14:textId="4FB39F3D" w:rsidR="005B0098" w:rsidRPr="00B33A7B" w:rsidRDefault="00257672" w:rsidP="73DCA5CE">
      <w:pPr>
        <w:pStyle w:val="ListParagraph"/>
        <w:numPr>
          <w:ilvl w:val="0"/>
          <w:numId w:val="4"/>
        </w:numPr>
        <w:ind w:right="90"/>
        <w:rPr>
          <w:rFonts w:cs="Arial"/>
        </w:rPr>
      </w:pPr>
      <w:r w:rsidRPr="00B33A7B">
        <w:rPr>
          <w:rFonts w:cs="Arial"/>
        </w:rPr>
        <w:t>E</w:t>
      </w:r>
      <w:r w:rsidR="4B37D7E7" w:rsidRPr="00B33A7B">
        <w:rPr>
          <w:rFonts w:cs="Arial"/>
        </w:rPr>
        <w:t xml:space="preserve">ligible </w:t>
      </w:r>
      <w:r w:rsidR="4B37D7E7" w:rsidRPr="00683344">
        <w:rPr>
          <w:rFonts w:cs="Arial"/>
          <w:color w:val="C00000"/>
        </w:rPr>
        <w:t xml:space="preserve">Tribal Entity Applicants </w:t>
      </w:r>
      <w:r w:rsidR="4B37D7E7" w:rsidRPr="00B33A7B">
        <w:rPr>
          <w:rFonts w:cs="Arial"/>
        </w:rPr>
        <w:t>applying for a C</w:t>
      </w:r>
      <w:r w:rsidR="00D263BA" w:rsidRPr="00B33A7B">
        <w:rPr>
          <w:rFonts w:cs="Arial"/>
        </w:rPr>
        <w:t xml:space="preserve">apital </w:t>
      </w:r>
      <w:r w:rsidR="4B37D7E7" w:rsidRPr="00B33A7B">
        <w:rPr>
          <w:rFonts w:cs="Arial"/>
        </w:rPr>
        <w:t>I</w:t>
      </w:r>
      <w:r w:rsidR="00D263BA" w:rsidRPr="00B33A7B">
        <w:rPr>
          <w:rFonts w:cs="Arial"/>
        </w:rPr>
        <w:t xml:space="preserve">mprovement </w:t>
      </w:r>
      <w:r w:rsidR="4B37D7E7" w:rsidRPr="00B33A7B">
        <w:rPr>
          <w:rFonts w:cs="Arial"/>
        </w:rPr>
        <w:t>P</w:t>
      </w:r>
      <w:r w:rsidR="00D263BA" w:rsidRPr="00B33A7B">
        <w:rPr>
          <w:rFonts w:cs="Arial"/>
        </w:rPr>
        <w:t>roject</w:t>
      </w:r>
      <w:r w:rsidR="4B37D7E7" w:rsidRPr="00B33A7B">
        <w:rPr>
          <w:rFonts w:cs="Arial"/>
        </w:rPr>
        <w:t xml:space="preserve"> grant, where the eligible C</w:t>
      </w:r>
      <w:r w:rsidR="00707100" w:rsidRPr="00B33A7B">
        <w:rPr>
          <w:rFonts w:cs="Arial"/>
        </w:rPr>
        <w:t xml:space="preserve">apital </w:t>
      </w:r>
      <w:r w:rsidR="4B37D7E7" w:rsidRPr="00B33A7B">
        <w:rPr>
          <w:rFonts w:cs="Arial"/>
        </w:rPr>
        <w:t>I</w:t>
      </w:r>
      <w:r w:rsidR="00707100" w:rsidRPr="00B33A7B">
        <w:rPr>
          <w:rFonts w:cs="Arial"/>
        </w:rPr>
        <w:t xml:space="preserve">mprovement </w:t>
      </w:r>
      <w:r w:rsidR="4B37D7E7" w:rsidRPr="00B33A7B">
        <w:rPr>
          <w:rFonts w:cs="Arial"/>
        </w:rPr>
        <w:t>P</w:t>
      </w:r>
      <w:r w:rsidR="00707100" w:rsidRPr="00B33A7B">
        <w:rPr>
          <w:rFonts w:cs="Arial"/>
        </w:rPr>
        <w:t>roject</w:t>
      </w:r>
      <w:r w:rsidR="4B37D7E7" w:rsidRPr="00B33A7B">
        <w:rPr>
          <w:rFonts w:cs="Arial"/>
        </w:rPr>
        <w:t xml:space="preserve"> and Q</w:t>
      </w:r>
      <w:r w:rsidR="00707100" w:rsidRPr="00B33A7B">
        <w:rPr>
          <w:rFonts w:cs="Arial"/>
        </w:rPr>
        <w:t xml:space="preserve">ualifying </w:t>
      </w:r>
      <w:r w:rsidR="4B37D7E7" w:rsidRPr="00B33A7B">
        <w:rPr>
          <w:rFonts w:cs="Arial"/>
        </w:rPr>
        <w:t>I</w:t>
      </w:r>
      <w:r w:rsidR="00707100" w:rsidRPr="00B33A7B">
        <w:rPr>
          <w:rFonts w:cs="Arial"/>
        </w:rPr>
        <w:t xml:space="preserve">nfill </w:t>
      </w:r>
      <w:r w:rsidR="4B37D7E7" w:rsidRPr="00B33A7B">
        <w:rPr>
          <w:rFonts w:cs="Arial"/>
        </w:rPr>
        <w:t>P</w:t>
      </w:r>
      <w:r w:rsidR="00707100" w:rsidRPr="00B33A7B">
        <w:rPr>
          <w:rFonts w:cs="Arial"/>
        </w:rPr>
        <w:t>roject</w:t>
      </w:r>
      <w:r w:rsidR="4B37D7E7" w:rsidRPr="00B33A7B">
        <w:rPr>
          <w:rFonts w:cs="Arial"/>
        </w:rPr>
        <w:t xml:space="preserve"> or Q</w:t>
      </w:r>
      <w:r w:rsidR="00707100" w:rsidRPr="00B33A7B">
        <w:rPr>
          <w:rFonts w:cs="Arial"/>
        </w:rPr>
        <w:t xml:space="preserve">ualifying </w:t>
      </w:r>
      <w:r w:rsidR="4B37D7E7" w:rsidRPr="00B33A7B">
        <w:rPr>
          <w:rFonts w:cs="Arial"/>
        </w:rPr>
        <w:t>I</w:t>
      </w:r>
      <w:r w:rsidR="00707100" w:rsidRPr="00B33A7B">
        <w:rPr>
          <w:rFonts w:cs="Arial"/>
        </w:rPr>
        <w:t xml:space="preserve">nfill </w:t>
      </w:r>
      <w:r w:rsidR="4B37D7E7" w:rsidRPr="00B33A7B">
        <w:rPr>
          <w:rFonts w:cs="Arial"/>
        </w:rPr>
        <w:t>A</w:t>
      </w:r>
      <w:r w:rsidR="00707100" w:rsidRPr="00B33A7B">
        <w:rPr>
          <w:rFonts w:cs="Arial"/>
        </w:rPr>
        <w:t>rea</w:t>
      </w:r>
      <w:r w:rsidR="4B37D7E7" w:rsidRPr="00B33A7B">
        <w:rPr>
          <w:rFonts w:cs="Arial"/>
        </w:rPr>
        <w:t xml:space="preserve"> are sited within the State of California in Indian Country or on Tribal Trust or Restricted Land, </w:t>
      </w:r>
      <w:r w:rsidR="00C70635" w:rsidRPr="00B33A7B">
        <w:rPr>
          <w:rFonts w:cs="Arial"/>
        </w:rPr>
        <w:t>must also comply with</w:t>
      </w:r>
      <w:r w:rsidR="00860D17" w:rsidRPr="00B33A7B">
        <w:rPr>
          <w:rFonts w:cs="Arial"/>
        </w:rPr>
        <w:t xml:space="preserve"> </w:t>
      </w:r>
      <w:r w:rsidR="4B37D7E7" w:rsidRPr="00B33A7B">
        <w:rPr>
          <w:rFonts w:cs="Arial"/>
        </w:rPr>
        <w:t>the following:</w:t>
      </w:r>
    </w:p>
    <w:p w14:paraId="1D645262" w14:textId="77777777" w:rsidR="005B0098" w:rsidRPr="00B33A7B" w:rsidRDefault="005B0098" w:rsidP="005B0098">
      <w:pPr>
        <w:pStyle w:val="ListParagraph"/>
        <w:ind w:left="1440" w:hanging="720"/>
        <w:rPr>
          <w:rFonts w:cs="Arial"/>
          <w:color w:val="FF0000"/>
        </w:rPr>
      </w:pPr>
    </w:p>
    <w:p w14:paraId="6809E8B6" w14:textId="2903C40B" w:rsidR="005B0098" w:rsidRPr="00683344" w:rsidRDefault="00591DAA" w:rsidP="009454B2">
      <w:pPr>
        <w:pStyle w:val="ListParagraph"/>
        <w:widowControl w:val="0"/>
        <w:numPr>
          <w:ilvl w:val="1"/>
          <w:numId w:val="27"/>
        </w:numPr>
        <w:autoSpaceDE w:val="0"/>
        <w:autoSpaceDN w:val="0"/>
        <w:ind w:left="1440" w:hanging="720"/>
        <w:rPr>
          <w:rFonts w:cs="Arial"/>
          <w:color w:val="C00000"/>
        </w:rPr>
      </w:pPr>
      <w:r w:rsidRPr="00B33A7B">
        <w:rPr>
          <w:rFonts w:cs="Arial"/>
        </w:rPr>
        <w:t xml:space="preserve">Qualifying Infill </w:t>
      </w:r>
      <w:r w:rsidR="33406092" w:rsidRPr="00B33A7B">
        <w:rPr>
          <w:rFonts w:cs="Arial"/>
        </w:rPr>
        <w:t xml:space="preserve">Project </w:t>
      </w:r>
      <w:r w:rsidR="74EB47D5" w:rsidRPr="00683344">
        <w:rPr>
          <w:rFonts w:cs="Arial"/>
          <w:color w:val="C00000"/>
        </w:rPr>
        <w:t>o</w:t>
      </w:r>
      <w:r w:rsidR="4B37D7E7" w:rsidRPr="00683344">
        <w:rPr>
          <w:rFonts w:cs="Arial"/>
          <w:color w:val="C00000"/>
        </w:rPr>
        <w:t xml:space="preserve">ccupancy </w:t>
      </w:r>
      <w:r w:rsidRPr="00683344">
        <w:rPr>
          <w:rFonts w:cs="Arial"/>
          <w:color w:val="C00000"/>
        </w:rPr>
        <w:t xml:space="preserve">must be limited to </w:t>
      </w:r>
      <w:r w:rsidR="624A5CA9" w:rsidRPr="00683344">
        <w:rPr>
          <w:rFonts w:cs="Arial"/>
          <w:color w:val="C00000"/>
        </w:rPr>
        <w:t>T</w:t>
      </w:r>
      <w:r w:rsidR="4B37D7E7" w:rsidRPr="00683344">
        <w:rPr>
          <w:rFonts w:cs="Arial"/>
          <w:color w:val="C00000"/>
        </w:rPr>
        <w:t xml:space="preserve">ribal </w:t>
      </w:r>
      <w:r w:rsidR="624A5CA9" w:rsidRPr="00683344">
        <w:rPr>
          <w:rFonts w:cs="Arial"/>
          <w:color w:val="C00000"/>
        </w:rPr>
        <w:t>H</w:t>
      </w:r>
      <w:r w:rsidR="4B37D7E7" w:rsidRPr="00683344">
        <w:rPr>
          <w:rFonts w:cs="Arial"/>
          <w:color w:val="C00000"/>
        </w:rPr>
        <w:t>ouseholds</w:t>
      </w:r>
      <w:r w:rsidR="74EB47D5" w:rsidRPr="00683344">
        <w:rPr>
          <w:rFonts w:cs="Arial"/>
          <w:color w:val="C00000"/>
        </w:rPr>
        <w:t xml:space="preserve"> to the greatest extent possible.</w:t>
      </w:r>
    </w:p>
    <w:p w14:paraId="5F317285" w14:textId="77777777" w:rsidR="005B0098" w:rsidRPr="00B33A7B" w:rsidRDefault="005B0098" w:rsidP="005B0098">
      <w:pPr>
        <w:ind w:hanging="720"/>
        <w:rPr>
          <w:rFonts w:cs="Arial"/>
          <w:color w:val="FF0000"/>
        </w:rPr>
      </w:pPr>
    </w:p>
    <w:p w14:paraId="5B46029E" w14:textId="491C6BEC" w:rsidR="255D1F0B" w:rsidRPr="00B33A7B" w:rsidRDefault="00A9190A" w:rsidP="009454B2">
      <w:pPr>
        <w:pStyle w:val="ListParagraph"/>
        <w:widowControl w:val="0"/>
        <w:numPr>
          <w:ilvl w:val="1"/>
          <w:numId w:val="27"/>
        </w:numPr>
        <w:autoSpaceDE w:val="0"/>
        <w:autoSpaceDN w:val="0"/>
        <w:ind w:left="1440" w:hanging="720"/>
      </w:pPr>
      <w:r w:rsidRPr="00683344">
        <w:rPr>
          <w:rFonts w:cs="Arial"/>
          <w:color w:val="C00000"/>
        </w:rPr>
        <w:t>A</w:t>
      </w:r>
      <w:r w:rsidRPr="00B33A7B">
        <w:rPr>
          <w:rFonts w:cs="Arial"/>
          <w:color w:val="FF0000"/>
        </w:rPr>
        <w:t xml:space="preserve"> </w:t>
      </w:r>
      <w:r w:rsidR="255D1F0B" w:rsidRPr="00B33A7B">
        <w:rPr>
          <w:rFonts w:cs="Arial"/>
        </w:rPr>
        <w:t>55-year Affordability Covenant shall be recorded against the fee estate of the Q</w:t>
      </w:r>
      <w:r w:rsidR="000D7C29" w:rsidRPr="00B33A7B">
        <w:rPr>
          <w:rFonts w:cs="Arial"/>
        </w:rPr>
        <w:t xml:space="preserve">ualifying </w:t>
      </w:r>
      <w:r w:rsidR="255D1F0B" w:rsidRPr="00B33A7B">
        <w:rPr>
          <w:rFonts w:cs="Arial"/>
        </w:rPr>
        <w:t>I</w:t>
      </w:r>
      <w:r w:rsidR="000D7C29" w:rsidRPr="00B33A7B">
        <w:rPr>
          <w:rFonts w:cs="Arial"/>
        </w:rPr>
        <w:t xml:space="preserve">nfill </w:t>
      </w:r>
      <w:r w:rsidR="255D1F0B" w:rsidRPr="00B33A7B">
        <w:rPr>
          <w:rFonts w:cs="Arial"/>
        </w:rPr>
        <w:t>P</w:t>
      </w:r>
      <w:r w:rsidR="000D7C29" w:rsidRPr="00B33A7B">
        <w:rPr>
          <w:rFonts w:cs="Arial"/>
        </w:rPr>
        <w:t>roject</w:t>
      </w:r>
      <w:r w:rsidR="255D1F0B" w:rsidRPr="00B33A7B">
        <w:rPr>
          <w:rFonts w:cs="Arial"/>
        </w:rPr>
        <w:t xml:space="preserve"> (or the real property identified in the application for development of the affordable housing) to ensure the affordability of the rental units thereon. </w:t>
      </w:r>
      <w:r w:rsidR="4B37D7E7" w:rsidRPr="00B33A7B">
        <w:rPr>
          <w:rFonts w:cs="Arial"/>
        </w:rPr>
        <w:t>The</w:t>
      </w:r>
      <w:r w:rsidR="255D1F0B" w:rsidRPr="00B33A7B" w:rsidDel="00AD033C">
        <w:rPr>
          <w:rFonts w:cs="Arial"/>
        </w:rPr>
        <w:t xml:space="preserve"> </w:t>
      </w:r>
      <w:r w:rsidR="00AD033C">
        <w:rPr>
          <w:rFonts w:cs="Arial"/>
        </w:rPr>
        <w:t>a</w:t>
      </w:r>
      <w:r w:rsidR="00AD033C" w:rsidRPr="00B33A7B">
        <w:rPr>
          <w:rFonts w:cs="Arial"/>
        </w:rPr>
        <w:t xml:space="preserve">ffordability </w:t>
      </w:r>
      <w:r w:rsidR="255D1F0B" w:rsidRPr="00B33A7B">
        <w:rPr>
          <w:rFonts w:cs="Arial"/>
        </w:rPr>
        <w:t>Covenant shall be recorded with the Bureau of Indian Affairs (BIA) prior to initial disbursement of funds.</w:t>
      </w:r>
    </w:p>
    <w:p w14:paraId="7780B50A" w14:textId="2E49D45C" w:rsidR="255D1F0B" w:rsidRPr="00683344" w:rsidRDefault="255D1F0B" w:rsidP="00E45F89">
      <w:pPr>
        <w:widowControl w:val="0"/>
        <w:ind w:left="360"/>
        <w:rPr>
          <w:color w:val="C00000"/>
        </w:rPr>
      </w:pPr>
    </w:p>
    <w:p w14:paraId="22F25FD3" w14:textId="58D28308" w:rsidR="005B0098" w:rsidRPr="00B33A7B" w:rsidRDefault="4B37D7E7" w:rsidP="00036088">
      <w:pPr>
        <w:pStyle w:val="ListParagraph"/>
        <w:widowControl w:val="0"/>
        <w:numPr>
          <w:ilvl w:val="1"/>
          <w:numId w:val="27"/>
        </w:numPr>
        <w:autoSpaceDE w:val="0"/>
        <w:autoSpaceDN w:val="0"/>
        <w:ind w:left="1440" w:hanging="720"/>
        <w:rPr>
          <w:rFonts w:cs="Arial"/>
          <w:color w:val="FF0000"/>
        </w:rPr>
      </w:pPr>
      <w:r w:rsidRPr="00B33A7B">
        <w:rPr>
          <w:rFonts w:cs="Arial"/>
        </w:rPr>
        <w:t xml:space="preserve">If successful, the Eligible Tribal </w:t>
      </w:r>
      <w:r w:rsidR="74EB47D5" w:rsidRPr="00B33A7B">
        <w:rPr>
          <w:rFonts w:cs="Arial"/>
        </w:rPr>
        <w:t>A</w:t>
      </w:r>
      <w:r w:rsidRPr="00B33A7B">
        <w:rPr>
          <w:rFonts w:cs="Arial"/>
        </w:rPr>
        <w:t xml:space="preserve">pplicant must meet </w:t>
      </w:r>
      <w:r w:rsidRPr="00683344">
        <w:rPr>
          <w:rFonts w:cs="Arial"/>
          <w:color w:val="C00000"/>
        </w:rPr>
        <w:t xml:space="preserve">the following conditions </w:t>
      </w:r>
      <w:r w:rsidRPr="00B33A7B">
        <w:rPr>
          <w:rFonts w:cs="Arial"/>
        </w:rPr>
        <w:t>prior to disbursement of funds,</w:t>
      </w:r>
      <w:r w:rsidRPr="00683344">
        <w:rPr>
          <w:rFonts w:cs="Arial"/>
          <w:color w:val="C00000"/>
        </w:rPr>
        <w:t xml:space="preserve"> </w:t>
      </w:r>
      <w:r w:rsidR="09174497" w:rsidRPr="00683344">
        <w:rPr>
          <w:rFonts w:cs="Arial"/>
          <w:color w:val="C00000"/>
        </w:rPr>
        <w:t xml:space="preserve">to the extent applicable, and subject to any modifications or waivers provided </w:t>
      </w:r>
      <w:r w:rsidR="09174497" w:rsidRPr="00B33A7B">
        <w:rPr>
          <w:rFonts w:cs="Arial"/>
        </w:rPr>
        <w:t xml:space="preserve">pursuant to </w:t>
      </w:r>
      <w:r w:rsidR="52FF5916" w:rsidRPr="00683344">
        <w:rPr>
          <w:rFonts w:cs="Arial"/>
          <w:color w:val="C00000"/>
        </w:rPr>
        <w:t>HS</w:t>
      </w:r>
      <w:r w:rsidR="00A16233" w:rsidRPr="00683344">
        <w:rPr>
          <w:rFonts w:cs="Arial"/>
          <w:color w:val="C00000"/>
        </w:rPr>
        <w:t xml:space="preserve">C </w:t>
      </w:r>
      <w:r w:rsidR="09174497" w:rsidRPr="00683344">
        <w:rPr>
          <w:color w:val="C00000"/>
        </w:rPr>
        <w:t xml:space="preserve">section 50406, subdivision (p) (Assembly Bill 1010 (Chapter 660, Statutes of 2019)) </w:t>
      </w:r>
      <w:r w:rsidRPr="00B33A7B">
        <w:rPr>
          <w:rFonts w:cs="Arial"/>
        </w:rPr>
        <w:t>and memorialized</w:t>
      </w:r>
      <w:r w:rsidRPr="00B33A7B">
        <w:rPr>
          <w:rFonts w:cs="Arial"/>
          <w:spacing w:val="1"/>
        </w:rPr>
        <w:t xml:space="preserve"> </w:t>
      </w:r>
      <w:r w:rsidRPr="00B33A7B">
        <w:rPr>
          <w:rFonts w:cs="Arial"/>
        </w:rPr>
        <w:t>in</w:t>
      </w:r>
      <w:r w:rsidRPr="00B33A7B">
        <w:rPr>
          <w:rFonts w:cs="Arial"/>
          <w:spacing w:val="1"/>
        </w:rPr>
        <w:t xml:space="preserve"> </w:t>
      </w:r>
      <w:r w:rsidRPr="00B33A7B">
        <w:rPr>
          <w:rFonts w:cs="Arial"/>
        </w:rPr>
        <w:t>the</w:t>
      </w:r>
      <w:r w:rsidRPr="00B33A7B">
        <w:rPr>
          <w:rFonts w:cs="Arial"/>
          <w:spacing w:val="-2"/>
        </w:rPr>
        <w:t xml:space="preserve"> </w:t>
      </w:r>
      <w:r w:rsidRPr="00683344">
        <w:rPr>
          <w:rFonts w:cs="Arial"/>
          <w:color w:val="C00000"/>
        </w:rPr>
        <w:t>Standard</w:t>
      </w:r>
      <w:r w:rsidRPr="00683344">
        <w:rPr>
          <w:rFonts w:cs="Arial"/>
          <w:color w:val="C00000"/>
          <w:spacing w:val="1"/>
        </w:rPr>
        <w:t xml:space="preserve"> </w:t>
      </w:r>
      <w:r w:rsidRPr="00683344">
        <w:rPr>
          <w:rFonts w:cs="Arial"/>
          <w:color w:val="C00000"/>
        </w:rPr>
        <w:t>Agreement:</w:t>
      </w:r>
      <w:r w:rsidR="4D7CFDAC" w:rsidRPr="00683344">
        <w:rPr>
          <w:rFonts w:cs="Arial"/>
          <w:color w:val="C00000"/>
        </w:rPr>
        <w:t xml:space="preserve"> </w:t>
      </w:r>
    </w:p>
    <w:p w14:paraId="6E19595F" w14:textId="77777777" w:rsidR="00A16233" w:rsidRPr="00B33A7B" w:rsidRDefault="00A16233" w:rsidP="005B0098">
      <w:pPr>
        <w:pStyle w:val="ListParagraph"/>
        <w:ind w:left="1440" w:hanging="720"/>
        <w:rPr>
          <w:rFonts w:cs="Arial"/>
          <w:color w:val="FF0000"/>
        </w:rPr>
      </w:pPr>
    </w:p>
    <w:p w14:paraId="4752D7FA" w14:textId="5E0B3573" w:rsidR="005B0098" w:rsidRPr="00B33A7B" w:rsidRDefault="005B0098" w:rsidP="00E45F89">
      <w:pPr>
        <w:pStyle w:val="ListParagraph"/>
        <w:widowControl w:val="0"/>
        <w:numPr>
          <w:ilvl w:val="2"/>
          <w:numId w:val="81"/>
        </w:numPr>
        <w:autoSpaceDE w:val="0"/>
        <w:autoSpaceDN w:val="0"/>
        <w:ind w:left="2160" w:hanging="720"/>
        <w:rPr>
          <w:rFonts w:cs="Arial"/>
        </w:rPr>
      </w:pPr>
      <w:r w:rsidRPr="00683344">
        <w:rPr>
          <w:rFonts w:cs="Arial"/>
          <w:color w:val="C00000"/>
        </w:rPr>
        <w:t xml:space="preserve">BIA Consent. </w:t>
      </w:r>
      <w:r w:rsidR="00F10E3B" w:rsidRPr="00683344">
        <w:rPr>
          <w:rFonts w:cs="Arial"/>
          <w:color w:val="C00000"/>
        </w:rPr>
        <w:t>BIA has consented to Applicant’s</w:t>
      </w:r>
      <w:r w:rsidR="00F10E3B" w:rsidRPr="00683344">
        <w:rPr>
          <w:rFonts w:cs="Arial"/>
          <w:color w:val="C00000"/>
          <w:spacing w:val="1"/>
        </w:rPr>
        <w:t xml:space="preserve"> </w:t>
      </w:r>
      <w:r w:rsidR="00F10E3B" w:rsidRPr="00683344">
        <w:rPr>
          <w:rFonts w:cs="Arial"/>
          <w:color w:val="C00000"/>
        </w:rPr>
        <w:t xml:space="preserve">execution and recordation (as applicable) of all Department-required documents, </w:t>
      </w:r>
      <w:r w:rsidR="00F10E3B" w:rsidRPr="00B33A7B">
        <w:rPr>
          <w:rFonts w:cs="Arial"/>
        </w:rPr>
        <w:t xml:space="preserve">including the </w:t>
      </w:r>
      <w:r w:rsidR="00AD033C">
        <w:rPr>
          <w:rFonts w:cs="Arial"/>
        </w:rPr>
        <w:t>a</w:t>
      </w:r>
      <w:r w:rsidR="00C43A6F" w:rsidRPr="00B33A7B">
        <w:rPr>
          <w:rFonts w:cs="Arial"/>
        </w:rPr>
        <w:t xml:space="preserve">ffordability </w:t>
      </w:r>
      <w:r w:rsidR="00F10E3B" w:rsidRPr="00B33A7B">
        <w:rPr>
          <w:rFonts w:cs="Arial"/>
        </w:rPr>
        <w:t xml:space="preserve">Covenant required by HSC section 53359, subdivision (e)(3)(C). </w:t>
      </w:r>
    </w:p>
    <w:p w14:paraId="50345FBF" w14:textId="77777777" w:rsidR="005B0098" w:rsidRPr="00683344" w:rsidRDefault="005B0098" w:rsidP="005B0098">
      <w:pPr>
        <w:pStyle w:val="ListParagraph"/>
        <w:ind w:left="2160" w:hanging="720"/>
        <w:rPr>
          <w:rFonts w:cs="Arial"/>
          <w:color w:val="C00000"/>
        </w:rPr>
      </w:pPr>
    </w:p>
    <w:p w14:paraId="0449F8A2" w14:textId="1473F932" w:rsidR="005B0098" w:rsidRPr="00B33A7B" w:rsidRDefault="005B0098" w:rsidP="00E45F89">
      <w:pPr>
        <w:pStyle w:val="ListParagraph"/>
        <w:widowControl w:val="0"/>
        <w:numPr>
          <w:ilvl w:val="2"/>
          <w:numId w:val="81"/>
        </w:numPr>
        <w:autoSpaceDE w:val="0"/>
        <w:autoSpaceDN w:val="0"/>
        <w:ind w:left="2160" w:hanging="720"/>
        <w:rPr>
          <w:rFonts w:cs="Arial"/>
          <w:color w:val="FF0000"/>
        </w:rPr>
      </w:pPr>
      <w:r w:rsidRPr="00683344">
        <w:rPr>
          <w:rFonts w:cs="Arial"/>
          <w:color w:val="C00000"/>
        </w:rPr>
        <w:t xml:space="preserve">Personal and Subject Matter Jurisdiction. </w:t>
      </w:r>
      <w:r w:rsidR="00085C00" w:rsidRPr="00683344">
        <w:rPr>
          <w:rFonts w:cs="Arial"/>
          <w:color w:val="C00000"/>
        </w:rPr>
        <w:t xml:space="preserve">Personal and subject matter jurisdiction </w:t>
      </w:r>
      <w:r w:rsidR="00085C00" w:rsidRPr="00B33A7B">
        <w:rPr>
          <w:rFonts w:cs="Arial"/>
        </w:rPr>
        <w:t>over</w:t>
      </w:r>
      <w:r w:rsidR="00085C00" w:rsidRPr="00B33A7B">
        <w:rPr>
          <w:rFonts w:cs="Arial"/>
          <w:color w:val="FF0000"/>
        </w:rPr>
        <w:t xml:space="preserve"> </w:t>
      </w:r>
      <w:r w:rsidR="00085C00" w:rsidRPr="00683344">
        <w:rPr>
          <w:rFonts w:cs="Arial"/>
          <w:color w:val="C00000"/>
        </w:rPr>
        <w:t xml:space="preserve">the Standard Agreement, </w:t>
      </w:r>
      <w:r w:rsidR="00085C00" w:rsidRPr="00B33A7B">
        <w:rPr>
          <w:rFonts w:cs="Arial"/>
        </w:rPr>
        <w:t>C</w:t>
      </w:r>
      <w:r w:rsidR="000D7C29" w:rsidRPr="00B33A7B">
        <w:rPr>
          <w:rFonts w:cs="Arial"/>
        </w:rPr>
        <w:t xml:space="preserve">apital </w:t>
      </w:r>
      <w:r w:rsidR="00085C00" w:rsidRPr="00B33A7B">
        <w:rPr>
          <w:rFonts w:cs="Arial"/>
        </w:rPr>
        <w:t>I</w:t>
      </w:r>
      <w:r w:rsidR="000D7C29" w:rsidRPr="00B33A7B">
        <w:rPr>
          <w:rFonts w:cs="Arial"/>
        </w:rPr>
        <w:t xml:space="preserve">mprovement </w:t>
      </w:r>
      <w:r w:rsidR="00085C00" w:rsidRPr="00683344">
        <w:rPr>
          <w:rFonts w:cs="Arial"/>
          <w:color w:val="C00000"/>
        </w:rPr>
        <w:t>P</w:t>
      </w:r>
      <w:r w:rsidR="000D7C29" w:rsidRPr="00683344">
        <w:rPr>
          <w:rFonts w:cs="Arial"/>
          <w:color w:val="C00000"/>
        </w:rPr>
        <w:t>roject</w:t>
      </w:r>
      <w:r w:rsidR="00085C00" w:rsidRPr="00683344">
        <w:rPr>
          <w:rFonts w:cs="Arial"/>
          <w:color w:val="C00000"/>
        </w:rPr>
        <w:t xml:space="preserve"> </w:t>
      </w:r>
      <w:r w:rsidR="00085C00" w:rsidRPr="00B33A7B">
        <w:rPr>
          <w:rFonts w:cs="Arial"/>
        </w:rPr>
        <w:t>or Q</w:t>
      </w:r>
      <w:r w:rsidR="000D7C29" w:rsidRPr="00B33A7B">
        <w:rPr>
          <w:rFonts w:cs="Arial"/>
        </w:rPr>
        <w:t xml:space="preserve">ualifying </w:t>
      </w:r>
      <w:r w:rsidR="00085C00" w:rsidRPr="00B33A7B">
        <w:rPr>
          <w:rFonts w:cs="Arial"/>
        </w:rPr>
        <w:t>I</w:t>
      </w:r>
      <w:r w:rsidR="000D7C29" w:rsidRPr="00B33A7B">
        <w:rPr>
          <w:rFonts w:cs="Arial"/>
        </w:rPr>
        <w:t xml:space="preserve">nfill </w:t>
      </w:r>
      <w:r w:rsidR="00085C00" w:rsidRPr="00B33A7B">
        <w:rPr>
          <w:rFonts w:cs="Arial"/>
        </w:rPr>
        <w:t>P</w:t>
      </w:r>
      <w:r w:rsidR="000D7C29" w:rsidRPr="00B33A7B">
        <w:rPr>
          <w:rFonts w:cs="Arial"/>
        </w:rPr>
        <w:t>roject</w:t>
      </w:r>
      <w:r w:rsidR="00085C00" w:rsidRPr="00B33A7B">
        <w:rPr>
          <w:rFonts w:cs="Arial"/>
        </w:rPr>
        <w:t xml:space="preserve">, </w:t>
      </w:r>
      <w:r w:rsidR="00C43A6F">
        <w:rPr>
          <w:rFonts w:cs="Arial"/>
        </w:rPr>
        <w:t>a</w:t>
      </w:r>
      <w:r w:rsidR="00C43A6F" w:rsidRPr="00B33A7B">
        <w:rPr>
          <w:rFonts w:cs="Arial"/>
        </w:rPr>
        <w:t xml:space="preserve">ffordability </w:t>
      </w:r>
      <w:r w:rsidR="00085C00" w:rsidRPr="00B33A7B">
        <w:rPr>
          <w:rFonts w:cs="Arial"/>
        </w:rPr>
        <w:t xml:space="preserve">Covenant, </w:t>
      </w:r>
      <w:r w:rsidR="00085C00" w:rsidRPr="00683344">
        <w:rPr>
          <w:rFonts w:cs="Arial"/>
          <w:color w:val="C00000"/>
        </w:rPr>
        <w:t>or any matters arising from any of them is in state court and the Department has received any legal instruments or waivers, all duly approved and executed, as are or may be legally necessary and effective to</w:t>
      </w:r>
      <w:r w:rsidR="00085C00" w:rsidRPr="00683344">
        <w:rPr>
          <w:rFonts w:cs="Arial"/>
          <w:color w:val="C00000"/>
          <w:spacing w:val="1"/>
        </w:rPr>
        <w:t xml:space="preserve"> </w:t>
      </w:r>
      <w:r w:rsidR="00085C00" w:rsidRPr="00683344">
        <w:rPr>
          <w:rFonts w:cs="Arial"/>
          <w:color w:val="C00000"/>
        </w:rPr>
        <w:t>provide for</w:t>
      </w:r>
      <w:r w:rsidR="00085C00" w:rsidRPr="00683344">
        <w:rPr>
          <w:rFonts w:cs="Arial"/>
          <w:color w:val="C00000"/>
          <w:spacing w:val="-2"/>
        </w:rPr>
        <w:t xml:space="preserve"> </w:t>
      </w:r>
      <w:r w:rsidR="00085C00" w:rsidRPr="00683344">
        <w:rPr>
          <w:rFonts w:cs="Arial"/>
          <w:color w:val="C00000"/>
        </w:rPr>
        <w:t>such</w:t>
      </w:r>
      <w:r w:rsidR="00085C00" w:rsidRPr="00683344">
        <w:rPr>
          <w:rFonts w:cs="Arial"/>
          <w:color w:val="C00000"/>
          <w:spacing w:val="-2"/>
        </w:rPr>
        <w:t xml:space="preserve"> </w:t>
      </w:r>
      <w:r w:rsidR="00085C00" w:rsidRPr="00683344">
        <w:rPr>
          <w:rFonts w:cs="Arial"/>
          <w:color w:val="C00000"/>
        </w:rPr>
        <w:t>personal</w:t>
      </w:r>
      <w:r w:rsidR="00085C00" w:rsidRPr="00683344">
        <w:rPr>
          <w:rFonts w:cs="Arial"/>
          <w:color w:val="C00000"/>
          <w:spacing w:val="-2"/>
        </w:rPr>
        <w:t xml:space="preserve"> </w:t>
      </w:r>
      <w:r w:rsidR="00085C00" w:rsidRPr="00683344">
        <w:rPr>
          <w:rFonts w:cs="Arial"/>
          <w:color w:val="C00000"/>
        </w:rPr>
        <w:t>and subject</w:t>
      </w:r>
      <w:r w:rsidR="00085C00" w:rsidRPr="00683344">
        <w:rPr>
          <w:rFonts w:cs="Arial"/>
          <w:color w:val="C00000"/>
          <w:spacing w:val="-3"/>
        </w:rPr>
        <w:t xml:space="preserve"> </w:t>
      </w:r>
      <w:r w:rsidR="00085C00" w:rsidRPr="00683344">
        <w:rPr>
          <w:rFonts w:cs="Arial"/>
          <w:color w:val="C00000"/>
        </w:rPr>
        <w:t>matter</w:t>
      </w:r>
      <w:r w:rsidR="00085C00" w:rsidRPr="00683344">
        <w:rPr>
          <w:rFonts w:cs="Arial"/>
          <w:color w:val="C00000"/>
          <w:spacing w:val="-3"/>
        </w:rPr>
        <w:t xml:space="preserve"> </w:t>
      </w:r>
      <w:r w:rsidR="00085C00" w:rsidRPr="00683344">
        <w:rPr>
          <w:rFonts w:cs="Arial"/>
          <w:color w:val="C00000"/>
        </w:rPr>
        <w:t>jurisdiction in state</w:t>
      </w:r>
      <w:r w:rsidR="00085C00" w:rsidRPr="00683344">
        <w:rPr>
          <w:rFonts w:cs="Arial"/>
          <w:color w:val="C00000"/>
          <w:spacing w:val="-2"/>
        </w:rPr>
        <w:t xml:space="preserve"> </w:t>
      </w:r>
      <w:r w:rsidR="00085C00" w:rsidRPr="00683344">
        <w:rPr>
          <w:rFonts w:cs="Arial"/>
          <w:color w:val="C00000"/>
        </w:rPr>
        <w:t>court.</w:t>
      </w:r>
    </w:p>
    <w:p w14:paraId="24D414F4" w14:textId="77777777" w:rsidR="005B0098" w:rsidRPr="00683344" w:rsidRDefault="005B0098" w:rsidP="005B0098">
      <w:pPr>
        <w:ind w:left="2160" w:hanging="720"/>
        <w:rPr>
          <w:rFonts w:cs="Arial"/>
          <w:color w:val="C00000"/>
        </w:rPr>
      </w:pPr>
    </w:p>
    <w:p w14:paraId="77348DA8" w14:textId="73ADE443" w:rsidR="005B0098" w:rsidRPr="00683344" w:rsidRDefault="005B0098" w:rsidP="00877DA3">
      <w:pPr>
        <w:pStyle w:val="ListParagraph"/>
        <w:widowControl w:val="0"/>
        <w:numPr>
          <w:ilvl w:val="2"/>
          <w:numId w:val="81"/>
        </w:numPr>
        <w:autoSpaceDE w:val="0"/>
        <w:autoSpaceDN w:val="0"/>
        <w:ind w:left="2160" w:hanging="720"/>
        <w:rPr>
          <w:rFonts w:cs="Arial"/>
          <w:color w:val="C00000"/>
        </w:rPr>
      </w:pPr>
      <w:r w:rsidRPr="00683344">
        <w:rPr>
          <w:rFonts w:cs="Arial"/>
          <w:color w:val="C00000"/>
        </w:rPr>
        <w:t>Title</w:t>
      </w:r>
      <w:r w:rsidRPr="00683344">
        <w:rPr>
          <w:rFonts w:cs="Arial"/>
          <w:color w:val="C00000"/>
          <w:spacing w:val="2"/>
        </w:rPr>
        <w:t xml:space="preserve"> </w:t>
      </w:r>
      <w:r w:rsidRPr="00683344">
        <w:rPr>
          <w:rFonts w:cs="Arial"/>
          <w:color w:val="C00000"/>
        </w:rPr>
        <w:t xml:space="preserve">Insurance. </w:t>
      </w:r>
      <w:r w:rsidR="0052226B" w:rsidRPr="00683344">
        <w:rPr>
          <w:rFonts w:cs="Arial"/>
          <w:color w:val="C00000"/>
        </w:rPr>
        <w:t>The</w:t>
      </w:r>
      <w:r w:rsidR="0052226B" w:rsidRPr="00683344">
        <w:rPr>
          <w:rFonts w:cs="Arial"/>
          <w:color w:val="C00000"/>
          <w:spacing w:val="3"/>
        </w:rPr>
        <w:t xml:space="preserve"> </w:t>
      </w:r>
      <w:r w:rsidR="0052226B" w:rsidRPr="00683344">
        <w:rPr>
          <w:rFonts w:cs="Arial"/>
          <w:color w:val="C00000"/>
        </w:rPr>
        <w:t>Department</w:t>
      </w:r>
      <w:r w:rsidR="0052226B" w:rsidRPr="00683344">
        <w:rPr>
          <w:rFonts w:cs="Arial"/>
          <w:color w:val="C00000"/>
          <w:spacing w:val="2"/>
        </w:rPr>
        <w:t xml:space="preserve"> </w:t>
      </w:r>
      <w:r w:rsidR="0052226B" w:rsidRPr="00683344">
        <w:rPr>
          <w:rFonts w:cs="Arial"/>
          <w:color w:val="C00000"/>
        </w:rPr>
        <w:t>has</w:t>
      </w:r>
      <w:r w:rsidR="0052226B" w:rsidRPr="00683344">
        <w:rPr>
          <w:rFonts w:cs="Arial"/>
          <w:color w:val="C00000"/>
          <w:spacing w:val="1"/>
        </w:rPr>
        <w:t xml:space="preserve"> </w:t>
      </w:r>
      <w:r w:rsidR="0052226B" w:rsidRPr="00683344">
        <w:rPr>
          <w:rFonts w:cs="Arial"/>
          <w:color w:val="C00000"/>
        </w:rPr>
        <w:t>received</w:t>
      </w:r>
      <w:r w:rsidR="0052226B" w:rsidRPr="00683344">
        <w:rPr>
          <w:rFonts w:cs="Arial"/>
          <w:color w:val="C00000"/>
          <w:spacing w:val="3"/>
        </w:rPr>
        <w:t xml:space="preserve"> </w:t>
      </w:r>
      <w:r w:rsidR="0052226B" w:rsidRPr="00683344">
        <w:rPr>
          <w:rFonts w:cs="Arial"/>
          <w:color w:val="C00000"/>
        </w:rPr>
        <w:t>title</w:t>
      </w:r>
      <w:r w:rsidR="0052226B" w:rsidRPr="00683344">
        <w:rPr>
          <w:rFonts w:cs="Arial"/>
          <w:color w:val="C00000"/>
          <w:spacing w:val="3"/>
        </w:rPr>
        <w:t xml:space="preserve"> </w:t>
      </w:r>
      <w:r w:rsidR="0052226B" w:rsidRPr="00683344">
        <w:rPr>
          <w:rFonts w:cs="Arial"/>
          <w:color w:val="C00000"/>
        </w:rPr>
        <w:t>insurance</w:t>
      </w:r>
      <w:r w:rsidR="0052226B" w:rsidRPr="00683344">
        <w:rPr>
          <w:rFonts w:cs="Arial"/>
          <w:color w:val="C00000"/>
          <w:spacing w:val="3"/>
        </w:rPr>
        <w:t xml:space="preserve"> </w:t>
      </w:r>
      <w:r w:rsidR="0052226B" w:rsidRPr="00683344">
        <w:rPr>
          <w:rFonts w:cs="Arial"/>
          <w:color w:val="C00000"/>
        </w:rPr>
        <w:t>for</w:t>
      </w:r>
      <w:r w:rsidR="0052226B" w:rsidRPr="00683344">
        <w:rPr>
          <w:rFonts w:cs="Arial"/>
          <w:color w:val="C00000"/>
          <w:spacing w:val="1"/>
        </w:rPr>
        <w:t xml:space="preserve"> </w:t>
      </w:r>
      <w:r w:rsidR="0052226B" w:rsidRPr="00683344">
        <w:rPr>
          <w:rFonts w:cs="Arial"/>
          <w:color w:val="C00000"/>
        </w:rPr>
        <w:t xml:space="preserve">the </w:t>
      </w:r>
      <w:r w:rsidR="0052226B" w:rsidRPr="00B33A7B">
        <w:rPr>
          <w:rFonts w:cs="Arial"/>
        </w:rPr>
        <w:t>C</w:t>
      </w:r>
      <w:r w:rsidR="000D7C29" w:rsidRPr="00B33A7B">
        <w:rPr>
          <w:rFonts w:cs="Arial"/>
        </w:rPr>
        <w:t xml:space="preserve">apital </w:t>
      </w:r>
      <w:r w:rsidR="0052226B" w:rsidRPr="00B33A7B">
        <w:rPr>
          <w:rFonts w:cs="Arial"/>
        </w:rPr>
        <w:t>I</w:t>
      </w:r>
      <w:r w:rsidR="000D7C29" w:rsidRPr="00B33A7B">
        <w:rPr>
          <w:rFonts w:cs="Arial"/>
        </w:rPr>
        <w:t xml:space="preserve">mprovement </w:t>
      </w:r>
      <w:r w:rsidR="0052226B" w:rsidRPr="00B33A7B">
        <w:rPr>
          <w:rFonts w:cs="Arial"/>
        </w:rPr>
        <w:t>P</w:t>
      </w:r>
      <w:r w:rsidR="000D7C29" w:rsidRPr="00B33A7B">
        <w:rPr>
          <w:rFonts w:cs="Arial"/>
        </w:rPr>
        <w:t>roject</w:t>
      </w:r>
      <w:r w:rsidR="0052226B" w:rsidRPr="00B33A7B">
        <w:rPr>
          <w:rFonts w:cs="Arial"/>
        </w:rPr>
        <w:t xml:space="preserve"> or Q</w:t>
      </w:r>
      <w:r w:rsidR="000D7C29" w:rsidRPr="00B33A7B">
        <w:rPr>
          <w:rFonts w:cs="Arial"/>
        </w:rPr>
        <w:t xml:space="preserve">ualifying </w:t>
      </w:r>
      <w:r w:rsidR="0052226B" w:rsidRPr="00B33A7B">
        <w:rPr>
          <w:rFonts w:cs="Arial"/>
        </w:rPr>
        <w:t>I</w:t>
      </w:r>
      <w:r w:rsidR="000D7C29" w:rsidRPr="00B33A7B">
        <w:rPr>
          <w:rFonts w:cs="Arial"/>
        </w:rPr>
        <w:t xml:space="preserve">nfill </w:t>
      </w:r>
      <w:r w:rsidR="0052226B" w:rsidRPr="00683344">
        <w:rPr>
          <w:rFonts w:cs="Arial"/>
          <w:color w:val="C00000"/>
        </w:rPr>
        <w:t>P</w:t>
      </w:r>
      <w:r w:rsidR="000D7C29" w:rsidRPr="00683344">
        <w:rPr>
          <w:rFonts w:cs="Arial"/>
          <w:color w:val="C00000"/>
        </w:rPr>
        <w:t>r</w:t>
      </w:r>
      <w:r w:rsidR="003C5787" w:rsidRPr="00683344">
        <w:rPr>
          <w:rFonts w:cs="Arial"/>
          <w:color w:val="C00000"/>
        </w:rPr>
        <w:t>oject</w:t>
      </w:r>
      <w:r w:rsidR="0052226B" w:rsidRPr="00683344">
        <w:rPr>
          <w:rFonts w:cs="Arial"/>
          <w:color w:val="C00000"/>
          <w:spacing w:val="1"/>
        </w:rPr>
        <w:t xml:space="preserve"> </w:t>
      </w:r>
      <w:r w:rsidR="0052226B" w:rsidRPr="00683344">
        <w:rPr>
          <w:rFonts w:cs="Arial"/>
          <w:color w:val="C00000"/>
        </w:rPr>
        <w:t>that is satisfactory to the Department. Notwithstanding the</w:t>
      </w:r>
      <w:r w:rsidR="0052226B" w:rsidRPr="00683344">
        <w:rPr>
          <w:rFonts w:cs="Arial"/>
          <w:color w:val="C00000"/>
          <w:spacing w:val="1"/>
        </w:rPr>
        <w:t xml:space="preserve"> </w:t>
      </w:r>
      <w:r w:rsidR="0052226B" w:rsidRPr="00683344">
        <w:rPr>
          <w:rFonts w:cs="Arial"/>
          <w:color w:val="C00000"/>
        </w:rPr>
        <w:t>foregoing sentence, upon a showing of good cause, for Applicants unable to provide a</w:t>
      </w:r>
      <w:r w:rsidR="0052226B" w:rsidRPr="00683344">
        <w:rPr>
          <w:rFonts w:cs="Arial"/>
          <w:color w:val="C00000"/>
          <w:spacing w:val="1"/>
        </w:rPr>
        <w:t xml:space="preserve"> </w:t>
      </w:r>
      <w:r w:rsidR="0052226B" w:rsidRPr="00683344">
        <w:rPr>
          <w:rFonts w:cs="Arial"/>
          <w:color w:val="C00000"/>
        </w:rPr>
        <w:t xml:space="preserve">conventional title insurance policy satisfactory to the Department, this condition may be satisfied by a title status report issued by the BIA Land Title and Records Office and pursuant to a title </w:t>
      </w:r>
      <w:r w:rsidR="0052226B" w:rsidRPr="00683344">
        <w:rPr>
          <w:rFonts w:cs="Arial"/>
          <w:color w:val="C00000"/>
        </w:rPr>
        <w:lastRenderedPageBreak/>
        <w:t>opinion letter issued for the benefit of the Department but paid for by</w:t>
      </w:r>
      <w:r w:rsidR="0052226B" w:rsidRPr="00683344">
        <w:rPr>
          <w:rFonts w:cs="Arial"/>
          <w:color w:val="C00000"/>
          <w:spacing w:val="1"/>
        </w:rPr>
        <w:t xml:space="preserve"> </w:t>
      </w:r>
      <w:r w:rsidR="0052226B" w:rsidRPr="00683344">
        <w:rPr>
          <w:rFonts w:cs="Arial"/>
          <w:color w:val="C00000"/>
        </w:rPr>
        <w:t>the Applicant.</w:t>
      </w:r>
    </w:p>
    <w:p w14:paraId="362B6F00" w14:textId="77777777" w:rsidR="005B0098" w:rsidRPr="00683344" w:rsidRDefault="005B0098" w:rsidP="005B0098">
      <w:pPr>
        <w:ind w:left="2160" w:hanging="720"/>
        <w:rPr>
          <w:rFonts w:cs="Arial"/>
          <w:color w:val="C00000"/>
        </w:rPr>
      </w:pPr>
    </w:p>
    <w:p w14:paraId="3B4E2E57" w14:textId="48E074CF" w:rsidR="005B0098" w:rsidRPr="00683344" w:rsidRDefault="005B0098" w:rsidP="00877DA3">
      <w:pPr>
        <w:pStyle w:val="ListParagraph"/>
        <w:widowControl w:val="0"/>
        <w:numPr>
          <w:ilvl w:val="2"/>
          <w:numId w:val="81"/>
        </w:numPr>
        <w:autoSpaceDE w:val="0"/>
        <w:autoSpaceDN w:val="0"/>
        <w:ind w:left="2160" w:hanging="720"/>
        <w:rPr>
          <w:rFonts w:cs="Arial"/>
          <w:color w:val="C00000"/>
        </w:rPr>
      </w:pPr>
      <w:r w:rsidRPr="00683344">
        <w:rPr>
          <w:rFonts w:cs="Arial"/>
          <w:color w:val="C00000"/>
        </w:rPr>
        <w:t xml:space="preserve">Recordation Requirements. </w:t>
      </w:r>
      <w:r w:rsidR="00BE0CF5" w:rsidRPr="00683344">
        <w:rPr>
          <w:rFonts w:cs="Arial"/>
          <w:color w:val="C00000"/>
        </w:rPr>
        <w:t>Where recordation of instruments is a condition of Award</w:t>
      </w:r>
      <w:r w:rsidR="00BE0CF5" w:rsidRPr="00683344">
        <w:rPr>
          <w:rFonts w:cs="Arial"/>
          <w:color w:val="C00000"/>
          <w:spacing w:val="1"/>
        </w:rPr>
        <w:t xml:space="preserve"> </w:t>
      </w:r>
      <w:r w:rsidR="00BE0CF5" w:rsidRPr="00683344">
        <w:rPr>
          <w:rFonts w:cs="Arial"/>
          <w:color w:val="C00000"/>
        </w:rPr>
        <w:t>funding or otherwise required under or pursuant to the Standard Agreement, the</w:t>
      </w:r>
      <w:r w:rsidR="00BE0CF5" w:rsidRPr="00683344">
        <w:rPr>
          <w:rFonts w:cs="Arial"/>
          <w:color w:val="C00000"/>
          <w:spacing w:val="1"/>
        </w:rPr>
        <w:t xml:space="preserve"> </w:t>
      </w:r>
      <w:r w:rsidR="00BE0CF5" w:rsidRPr="00683344">
        <w:rPr>
          <w:rFonts w:cs="Arial"/>
          <w:color w:val="C00000"/>
        </w:rPr>
        <w:t>subject instrument is recorded with the Land Titles and Records Office at the BIA or in the appropriate official records of the county in which the C</w:t>
      </w:r>
      <w:r w:rsidR="003C5787" w:rsidRPr="00683344">
        <w:rPr>
          <w:rFonts w:cs="Arial"/>
          <w:color w:val="C00000"/>
        </w:rPr>
        <w:t xml:space="preserve">apital </w:t>
      </w:r>
      <w:r w:rsidR="00BE0CF5" w:rsidRPr="00683344">
        <w:rPr>
          <w:rFonts w:cs="Arial"/>
          <w:color w:val="C00000"/>
        </w:rPr>
        <w:t>I</w:t>
      </w:r>
      <w:r w:rsidR="003C5787" w:rsidRPr="00683344">
        <w:rPr>
          <w:rFonts w:cs="Arial"/>
          <w:color w:val="C00000"/>
        </w:rPr>
        <w:t xml:space="preserve">mprovement </w:t>
      </w:r>
      <w:r w:rsidR="00BE0CF5" w:rsidRPr="00683344">
        <w:rPr>
          <w:rFonts w:cs="Arial"/>
          <w:color w:val="C00000"/>
        </w:rPr>
        <w:t>P</w:t>
      </w:r>
      <w:r w:rsidR="003C5787" w:rsidRPr="00683344">
        <w:rPr>
          <w:rFonts w:cs="Arial"/>
          <w:color w:val="C00000"/>
        </w:rPr>
        <w:t>roject</w:t>
      </w:r>
      <w:r w:rsidR="00BE0CF5" w:rsidRPr="00683344">
        <w:rPr>
          <w:rFonts w:cs="Arial"/>
          <w:color w:val="C00000"/>
        </w:rPr>
        <w:t xml:space="preserve"> or Q</w:t>
      </w:r>
      <w:r w:rsidR="003C5787" w:rsidRPr="00683344">
        <w:rPr>
          <w:rFonts w:cs="Arial"/>
          <w:color w:val="C00000"/>
        </w:rPr>
        <w:t xml:space="preserve">ualifying </w:t>
      </w:r>
      <w:r w:rsidR="00BE0CF5" w:rsidRPr="00683344">
        <w:rPr>
          <w:rFonts w:cs="Arial"/>
          <w:color w:val="C00000"/>
        </w:rPr>
        <w:t>I</w:t>
      </w:r>
      <w:r w:rsidR="003C5787" w:rsidRPr="00683344">
        <w:rPr>
          <w:rFonts w:cs="Arial"/>
          <w:color w:val="C00000"/>
        </w:rPr>
        <w:t xml:space="preserve">mprovement </w:t>
      </w:r>
      <w:r w:rsidR="00BE0CF5" w:rsidRPr="00683344">
        <w:rPr>
          <w:rFonts w:cs="Arial"/>
          <w:color w:val="C00000"/>
        </w:rPr>
        <w:t>P</w:t>
      </w:r>
      <w:r w:rsidR="003C5787" w:rsidRPr="00683344">
        <w:rPr>
          <w:rFonts w:cs="Arial"/>
          <w:color w:val="C00000"/>
        </w:rPr>
        <w:t>roject</w:t>
      </w:r>
      <w:r w:rsidR="00BE0CF5" w:rsidRPr="00683344">
        <w:rPr>
          <w:rFonts w:cs="Arial"/>
          <w:color w:val="C00000"/>
        </w:rPr>
        <w:t xml:space="preserve"> property is located,</w:t>
      </w:r>
      <w:r w:rsidR="00BE0CF5" w:rsidRPr="00683344">
        <w:rPr>
          <w:rFonts w:cs="Arial"/>
          <w:color w:val="C00000"/>
          <w:spacing w:val="1"/>
        </w:rPr>
        <w:t xml:space="preserve"> </w:t>
      </w:r>
      <w:r w:rsidR="00BE0CF5" w:rsidRPr="00683344">
        <w:rPr>
          <w:rFonts w:cs="Arial"/>
          <w:color w:val="C00000"/>
        </w:rPr>
        <w:t>as</w:t>
      </w:r>
      <w:r w:rsidR="00BE0CF5" w:rsidRPr="00683344">
        <w:rPr>
          <w:rFonts w:cs="Arial"/>
          <w:color w:val="C00000"/>
          <w:spacing w:val="-1"/>
        </w:rPr>
        <w:t xml:space="preserve"> </w:t>
      </w:r>
      <w:r w:rsidR="00BE0CF5" w:rsidRPr="00683344">
        <w:rPr>
          <w:rFonts w:cs="Arial"/>
          <w:color w:val="C00000"/>
        </w:rPr>
        <w:t>may be</w:t>
      </w:r>
      <w:r w:rsidR="00BE0CF5" w:rsidRPr="00683344">
        <w:rPr>
          <w:rFonts w:cs="Arial"/>
          <w:color w:val="C00000"/>
          <w:spacing w:val="1"/>
        </w:rPr>
        <w:t xml:space="preserve"> </w:t>
      </w:r>
      <w:r w:rsidR="00BE0CF5" w:rsidRPr="00683344">
        <w:rPr>
          <w:rFonts w:cs="Arial"/>
          <w:color w:val="C00000"/>
        </w:rPr>
        <w:t>applicable.</w:t>
      </w:r>
    </w:p>
    <w:p w14:paraId="280578D9" w14:textId="77777777" w:rsidR="00D77B5E" w:rsidRPr="00683344" w:rsidRDefault="00D77B5E" w:rsidP="00D77B5E">
      <w:pPr>
        <w:widowControl w:val="0"/>
        <w:autoSpaceDE w:val="0"/>
        <w:autoSpaceDN w:val="0"/>
        <w:rPr>
          <w:rFonts w:cs="Arial"/>
          <w:color w:val="C00000"/>
        </w:rPr>
      </w:pPr>
    </w:p>
    <w:p w14:paraId="6239C27E" w14:textId="77777777" w:rsidR="005B0098" w:rsidRPr="00683344" w:rsidRDefault="005B0098" w:rsidP="00993D09">
      <w:pPr>
        <w:pStyle w:val="ListParagraph"/>
        <w:numPr>
          <w:ilvl w:val="0"/>
          <w:numId w:val="4"/>
        </w:numPr>
        <w:tabs>
          <w:tab w:val="left" w:pos="0"/>
        </w:tabs>
        <w:ind w:right="90"/>
        <w:rPr>
          <w:rFonts w:cs="Arial"/>
          <w:color w:val="C00000"/>
        </w:rPr>
      </w:pPr>
      <w:r w:rsidRPr="00683344">
        <w:rPr>
          <w:rFonts w:cs="Arial"/>
          <w:color w:val="C00000"/>
        </w:rPr>
        <w:t>Multiple Department Funding Sources</w:t>
      </w:r>
    </w:p>
    <w:p w14:paraId="5CE757DA" w14:textId="77777777" w:rsidR="005B0098" w:rsidRPr="00683344" w:rsidRDefault="005B0098" w:rsidP="005B0098">
      <w:pPr>
        <w:pStyle w:val="BodyText"/>
        <w:spacing w:after="0"/>
        <w:ind w:left="810" w:hanging="720"/>
        <w:rPr>
          <w:rFonts w:cs="Arial"/>
          <w:color w:val="C00000"/>
        </w:rPr>
      </w:pPr>
    </w:p>
    <w:p w14:paraId="66C8962D" w14:textId="2BE96E72" w:rsidR="005B0098" w:rsidRPr="00B33A7B" w:rsidRDefault="005B0098" w:rsidP="00993D09">
      <w:pPr>
        <w:pStyle w:val="ListParagraph"/>
        <w:widowControl w:val="0"/>
        <w:numPr>
          <w:ilvl w:val="1"/>
          <w:numId w:val="45"/>
        </w:numPr>
        <w:tabs>
          <w:tab w:val="left" w:pos="1451"/>
          <w:tab w:val="left" w:pos="1452"/>
        </w:tabs>
        <w:autoSpaceDE w:val="0"/>
        <w:autoSpaceDN w:val="0"/>
        <w:ind w:hanging="720"/>
        <w:rPr>
          <w:rFonts w:cs="Arial"/>
          <w:color w:val="FF0000"/>
        </w:rPr>
      </w:pPr>
      <w:r w:rsidRPr="00683344">
        <w:rPr>
          <w:rFonts w:cs="Arial"/>
          <w:color w:val="C00000"/>
        </w:rPr>
        <w:t xml:space="preserve">Use of multiple funding sources on the same </w:t>
      </w:r>
      <w:r w:rsidR="009D0108" w:rsidRPr="00B33A7B">
        <w:rPr>
          <w:rFonts w:cs="Arial"/>
        </w:rPr>
        <w:t>U</w:t>
      </w:r>
      <w:r w:rsidRPr="00B33A7B">
        <w:rPr>
          <w:rFonts w:cs="Arial"/>
        </w:rPr>
        <w:t>nits utilized in the calculation</w:t>
      </w:r>
      <w:r w:rsidR="00DB76E1" w:rsidRPr="00B33A7B">
        <w:rPr>
          <w:rFonts w:cs="Arial"/>
        </w:rPr>
        <w:t xml:space="preserve"> </w:t>
      </w:r>
      <w:r w:rsidRPr="00B33A7B">
        <w:rPr>
          <w:rFonts w:cs="Arial"/>
        </w:rPr>
        <w:t xml:space="preserve">of the Capital Improvement Project grant amount </w:t>
      </w:r>
      <w:r w:rsidRPr="00683344">
        <w:rPr>
          <w:rFonts w:cs="Arial"/>
          <w:color w:val="C00000"/>
        </w:rPr>
        <w:t>is permitted, subject to the following limitation:</w:t>
      </w:r>
    </w:p>
    <w:p w14:paraId="38361C55" w14:textId="77777777" w:rsidR="005B0098" w:rsidRPr="00B33A7B" w:rsidRDefault="005B0098" w:rsidP="005B0098">
      <w:pPr>
        <w:pStyle w:val="BodyText"/>
        <w:spacing w:after="0"/>
        <w:ind w:left="720" w:hanging="720"/>
        <w:rPr>
          <w:rFonts w:cs="Arial"/>
          <w:color w:val="FF0000"/>
        </w:rPr>
      </w:pPr>
    </w:p>
    <w:p w14:paraId="41009FFA" w14:textId="3A9D581B" w:rsidR="00630E84" w:rsidRPr="00B33A7B" w:rsidRDefault="004D7711" w:rsidP="00993D09">
      <w:pPr>
        <w:pStyle w:val="ListParagraph"/>
        <w:widowControl w:val="0"/>
        <w:numPr>
          <w:ilvl w:val="2"/>
          <w:numId w:val="45"/>
        </w:numPr>
        <w:autoSpaceDE w:val="0"/>
        <w:autoSpaceDN w:val="0"/>
        <w:spacing w:before="80"/>
        <w:ind w:hanging="720"/>
        <w:rPr>
          <w:rFonts w:cs="Arial"/>
        </w:rPr>
      </w:pPr>
      <w:r w:rsidRPr="0026247D">
        <w:rPr>
          <w:rFonts w:cs="Arial"/>
          <w:color w:val="C00000"/>
        </w:rPr>
        <w:t xml:space="preserve">The HCD </w:t>
      </w:r>
      <w:r w:rsidR="00F5631A" w:rsidRPr="0026247D">
        <w:rPr>
          <w:rFonts w:cs="Arial"/>
          <w:color w:val="C00000"/>
        </w:rPr>
        <w:t>Repeal of Stacking Prohibition of Multiple Department Funding Sources</w:t>
      </w:r>
      <w:r w:rsidR="0026247D">
        <w:rPr>
          <w:rFonts w:cs="Arial"/>
          <w:color w:val="C00000"/>
        </w:rPr>
        <w:t xml:space="preserve"> mem</w:t>
      </w:r>
      <w:r w:rsidR="008032B4" w:rsidRPr="00B33A7B">
        <w:rPr>
          <w:rFonts w:cs="Arial"/>
        </w:rPr>
        <w:t>orandum</w:t>
      </w:r>
      <w:r w:rsidR="00C47B5B" w:rsidRPr="0026247D">
        <w:rPr>
          <w:rFonts w:cs="Arial"/>
          <w:color w:val="C00000"/>
        </w:rPr>
        <w:t>,</w:t>
      </w:r>
      <w:r w:rsidR="00C47B5B" w:rsidRPr="00B33A7B">
        <w:rPr>
          <w:rFonts w:cs="Arial"/>
          <w:color w:val="FF0000"/>
        </w:rPr>
        <w:t xml:space="preserve"> </w:t>
      </w:r>
      <w:r w:rsidR="00C47B5B" w:rsidRPr="00B33A7B">
        <w:rPr>
          <w:rFonts w:cs="Arial"/>
        </w:rPr>
        <w:t xml:space="preserve">dated </w:t>
      </w:r>
      <w:r w:rsidR="003B1330" w:rsidRPr="00B33A7B">
        <w:rPr>
          <w:rFonts w:cs="Arial"/>
        </w:rPr>
        <w:t xml:space="preserve">August 20, 2021, and as published on the Department’s </w:t>
      </w:r>
      <w:hyperlink r:id="rId22" w:history="1">
        <w:r w:rsidR="003B1330" w:rsidRPr="00B33A7B">
          <w:rPr>
            <w:rStyle w:val="Hyperlink"/>
            <w:rFonts w:cs="Arial"/>
            <w:color w:val="auto"/>
          </w:rPr>
          <w:t>website</w:t>
        </w:r>
      </w:hyperlink>
      <w:r w:rsidR="003B1330" w:rsidRPr="00B33A7B">
        <w:rPr>
          <w:rFonts w:cs="Arial"/>
        </w:rPr>
        <w:t xml:space="preserve">, is </w:t>
      </w:r>
      <w:r w:rsidR="009239E8" w:rsidRPr="00B33A7B">
        <w:rPr>
          <w:rFonts w:cs="Arial"/>
        </w:rPr>
        <w:t xml:space="preserve">hereby incorporated by reference as if set forth in full herein, and it shall apply with equal force as all other </w:t>
      </w:r>
      <w:r w:rsidR="00F5631A" w:rsidRPr="00B33A7B">
        <w:rPr>
          <w:rFonts w:cs="Arial"/>
        </w:rPr>
        <w:t xml:space="preserve">provisions set forth herein. This </w:t>
      </w:r>
      <w:r w:rsidR="008032B4" w:rsidRPr="00B33A7B">
        <w:rPr>
          <w:rFonts w:cs="Arial"/>
        </w:rPr>
        <w:t>m</w:t>
      </w:r>
      <w:r w:rsidR="00F5631A" w:rsidRPr="00B33A7B">
        <w:rPr>
          <w:rFonts w:cs="Arial"/>
        </w:rPr>
        <w:t>emo</w:t>
      </w:r>
      <w:r w:rsidR="008032B4" w:rsidRPr="00B33A7B">
        <w:rPr>
          <w:rFonts w:cs="Arial"/>
        </w:rPr>
        <w:t>randum</w:t>
      </w:r>
      <w:r w:rsidR="00F5631A" w:rsidRPr="00B33A7B">
        <w:rPr>
          <w:rFonts w:cs="Arial"/>
        </w:rPr>
        <w:t xml:space="preserve"> includes </w:t>
      </w:r>
      <w:r w:rsidR="00630E84" w:rsidRPr="00B33A7B">
        <w:rPr>
          <w:rFonts w:cs="Arial"/>
        </w:rPr>
        <w:t xml:space="preserve">the following interpretative guidance: </w:t>
      </w:r>
    </w:p>
    <w:p w14:paraId="23310C00" w14:textId="77777777" w:rsidR="00630E84" w:rsidRPr="00B33A7B" w:rsidRDefault="00630E84" w:rsidP="00630E84">
      <w:pPr>
        <w:pStyle w:val="ListParagraph"/>
        <w:widowControl w:val="0"/>
        <w:autoSpaceDE w:val="0"/>
        <w:autoSpaceDN w:val="0"/>
        <w:spacing w:before="80"/>
        <w:ind w:left="2160"/>
        <w:rPr>
          <w:rFonts w:cs="Arial"/>
          <w:color w:val="FF0000"/>
        </w:rPr>
      </w:pPr>
    </w:p>
    <w:p w14:paraId="512384A2" w14:textId="1B7DF996" w:rsidR="004D7711" w:rsidRPr="0026247D" w:rsidRDefault="004D7711" w:rsidP="003C49BE">
      <w:pPr>
        <w:pStyle w:val="ListParagraph"/>
        <w:widowControl w:val="0"/>
        <w:autoSpaceDE w:val="0"/>
        <w:autoSpaceDN w:val="0"/>
        <w:spacing w:before="80"/>
        <w:ind w:left="2160"/>
        <w:rPr>
          <w:rFonts w:cs="Arial"/>
          <w:color w:val="C00000"/>
        </w:rPr>
      </w:pPr>
      <w:r w:rsidRPr="0026247D">
        <w:rPr>
          <w:rFonts w:cs="Arial"/>
          <w:color w:val="C00000"/>
        </w:rPr>
        <w:t xml:space="preserve">A maximum of four (4) HCD </w:t>
      </w:r>
      <w:r w:rsidR="002C3ED5" w:rsidRPr="0026247D">
        <w:rPr>
          <w:rFonts w:cs="Arial"/>
          <w:color w:val="C00000"/>
        </w:rPr>
        <w:t xml:space="preserve">funding sources </w:t>
      </w:r>
      <w:r w:rsidRPr="0026247D">
        <w:rPr>
          <w:rFonts w:cs="Arial"/>
          <w:color w:val="C00000"/>
        </w:rPr>
        <w:t xml:space="preserve">comprised of no more than two (2) development loans and two (2) housing-related infrastructure grants may be used on a single </w:t>
      </w:r>
      <w:r w:rsidR="00F07326" w:rsidRPr="0026247D">
        <w:rPr>
          <w:rFonts w:cs="Arial"/>
          <w:color w:val="C00000"/>
        </w:rPr>
        <w:t>p</w:t>
      </w:r>
      <w:r w:rsidRPr="0026247D">
        <w:rPr>
          <w:rFonts w:cs="Arial"/>
          <w:color w:val="C00000"/>
        </w:rPr>
        <w:t xml:space="preserve">roject. Housing related infrastructure grants are those grants provided through the Affordable Housing </w:t>
      </w:r>
      <w:r w:rsidR="004C0143" w:rsidRPr="0026247D">
        <w:rPr>
          <w:rFonts w:cs="Arial"/>
          <w:color w:val="C00000"/>
        </w:rPr>
        <w:t xml:space="preserve">and </w:t>
      </w:r>
      <w:r w:rsidRPr="0026247D">
        <w:rPr>
          <w:rFonts w:cs="Arial"/>
          <w:color w:val="C00000"/>
        </w:rPr>
        <w:t xml:space="preserve">Sustainable Communities </w:t>
      </w:r>
      <w:r w:rsidR="00417461" w:rsidRPr="0026247D">
        <w:rPr>
          <w:rFonts w:cs="Arial"/>
          <w:color w:val="C00000"/>
        </w:rPr>
        <w:t xml:space="preserve">Program </w:t>
      </w:r>
      <w:r w:rsidRPr="0026247D">
        <w:rPr>
          <w:rFonts w:cs="Arial"/>
          <w:color w:val="C00000"/>
        </w:rPr>
        <w:t>(AHSC) - Housing Related Infrastructure (HRI) grants, Transit</w:t>
      </w:r>
      <w:r w:rsidR="00015188" w:rsidRPr="0026247D">
        <w:rPr>
          <w:rFonts w:cs="Arial"/>
          <w:color w:val="C00000"/>
        </w:rPr>
        <w:t>-</w:t>
      </w:r>
      <w:r w:rsidRPr="0026247D">
        <w:rPr>
          <w:rFonts w:cs="Arial"/>
          <w:color w:val="C00000"/>
        </w:rPr>
        <w:t xml:space="preserve">Oriented Development (TOD) Implementation Program - Infrastructure grants, and Infill Incentive Grant Program of 2007 (IIG-2007) </w:t>
      </w:r>
      <w:r w:rsidR="00336C51" w:rsidRPr="0026247D">
        <w:rPr>
          <w:rFonts w:cs="Arial"/>
          <w:color w:val="C00000"/>
        </w:rPr>
        <w:t xml:space="preserve">and </w:t>
      </w:r>
      <w:r w:rsidRPr="0026247D">
        <w:rPr>
          <w:rFonts w:cs="Arial"/>
          <w:color w:val="C00000"/>
        </w:rPr>
        <w:t>Infill Infrastructure Grant Program of 2019 (IIG-2019).</w:t>
      </w:r>
    </w:p>
    <w:p w14:paraId="370B5399" w14:textId="77777777" w:rsidR="005B0098" w:rsidRPr="0026247D" w:rsidRDefault="005B0098" w:rsidP="005B0098">
      <w:pPr>
        <w:pStyle w:val="ListParagraph"/>
        <w:widowControl w:val="0"/>
        <w:tabs>
          <w:tab w:val="left" w:pos="1451"/>
          <w:tab w:val="left" w:pos="1452"/>
        </w:tabs>
        <w:autoSpaceDE w:val="0"/>
        <w:autoSpaceDN w:val="0"/>
        <w:ind w:left="1440"/>
        <w:rPr>
          <w:rFonts w:cs="Arial"/>
          <w:color w:val="C00000"/>
        </w:rPr>
      </w:pPr>
    </w:p>
    <w:p w14:paraId="151B2DC6" w14:textId="6E767825" w:rsidR="005B0098" w:rsidRPr="0026247D" w:rsidRDefault="005B0098" w:rsidP="00993D09">
      <w:pPr>
        <w:pStyle w:val="ListParagraph"/>
        <w:widowControl w:val="0"/>
        <w:numPr>
          <w:ilvl w:val="1"/>
          <w:numId w:val="45"/>
        </w:numPr>
        <w:tabs>
          <w:tab w:val="left" w:pos="1451"/>
          <w:tab w:val="left" w:pos="1452"/>
        </w:tabs>
        <w:autoSpaceDE w:val="0"/>
        <w:autoSpaceDN w:val="0"/>
        <w:ind w:hanging="720"/>
        <w:rPr>
          <w:rFonts w:cs="Arial"/>
          <w:color w:val="C00000"/>
        </w:rPr>
      </w:pPr>
      <w:r w:rsidRPr="0026247D">
        <w:rPr>
          <w:rFonts w:cs="Arial"/>
          <w:color w:val="C00000"/>
        </w:rPr>
        <w:t>“Department Funding Sources”</w:t>
      </w:r>
      <w:r w:rsidR="00F209AB" w:rsidRPr="0026247D">
        <w:rPr>
          <w:rFonts w:cs="Arial"/>
          <w:color w:val="C00000"/>
        </w:rPr>
        <w:t xml:space="preserve"> do not include: </w:t>
      </w:r>
      <w:r w:rsidRPr="0026247D">
        <w:rPr>
          <w:rFonts w:cs="Arial"/>
          <w:color w:val="C00000"/>
        </w:rPr>
        <w:t xml:space="preserve"> </w:t>
      </w:r>
    </w:p>
    <w:p w14:paraId="4EB7BF99" w14:textId="21786E4C" w:rsidR="005B0098" w:rsidRPr="0026247D" w:rsidRDefault="005B0098" w:rsidP="005B0098">
      <w:pPr>
        <w:widowControl w:val="0"/>
        <w:tabs>
          <w:tab w:val="left" w:pos="1451"/>
          <w:tab w:val="left" w:pos="1452"/>
        </w:tabs>
        <w:autoSpaceDE w:val="0"/>
        <w:autoSpaceDN w:val="0"/>
        <w:rPr>
          <w:rFonts w:cs="Arial"/>
          <w:color w:val="C00000"/>
        </w:rPr>
      </w:pPr>
    </w:p>
    <w:p w14:paraId="498310B7" w14:textId="77777777" w:rsidR="00DA0337" w:rsidRPr="0026247D" w:rsidRDefault="00DA0337" w:rsidP="00993D09">
      <w:pPr>
        <w:pStyle w:val="ListParagraph"/>
        <w:widowControl w:val="0"/>
        <w:numPr>
          <w:ilvl w:val="2"/>
          <w:numId w:val="45"/>
        </w:numPr>
        <w:autoSpaceDE w:val="0"/>
        <w:autoSpaceDN w:val="0"/>
        <w:spacing w:before="80"/>
        <w:ind w:hanging="720"/>
        <w:rPr>
          <w:rFonts w:cs="Arial"/>
          <w:color w:val="C00000"/>
        </w:rPr>
      </w:pPr>
      <w:r w:rsidRPr="0026247D">
        <w:rPr>
          <w:rFonts w:cs="Arial"/>
          <w:color w:val="C00000"/>
        </w:rPr>
        <w:t xml:space="preserve">Offsite infrastructure funds; or </w:t>
      </w:r>
    </w:p>
    <w:p w14:paraId="4425181E" w14:textId="77777777" w:rsidR="00DA0337" w:rsidRPr="0026247D" w:rsidRDefault="00DA0337" w:rsidP="007912B7">
      <w:pPr>
        <w:pStyle w:val="ListParagraph"/>
        <w:widowControl w:val="0"/>
        <w:autoSpaceDE w:val="0"/>
        <w:autoSpaceDN w:val="0"/>
        <w:ind w:left="2160"/>
        <w:rPr>
          <w:rFonts w:cs="Arial"/>
          <w:color w:val="C00000"/>
        </w:rPr>
      </w:pPr>
    </w:p>
    <w:p w14:paraId="5E1B165B" w14:textId="77777777" w:rsidR="00DA0337" w:rsidRPr="0026247D" w:rsidRDefault="00DA0337" w:rsidP="00993D09">
      <w:pPr>
        <w:pStyle w:val="ListParagraph"/>
        <w:widowControl w:val="0"/>
        <w:numPr>
          <w:ilvl w:val="2"/>
          <w:numId w:val="45"/>
        </w:numPr>
        <w:autoSpaceDE w:val="0"/>
        <w:autoSpaceDN w:val="0"/>
        <w:spacing w:before="80"/>
        <w:ind w:hanging="720"/>
        <w:rPr>
          <w:rFonts w:cs="Arial"/>
          <w:color w:val="C00000"/>
        </w:rPr>
      </w:pPr>
      <w:r w:rsidRPr="0026247D">
        <w:rPr>
          <w:rFonts w:cs="Arial"/>
          <w:color w:val="C00000"/>
        </w:rPr>
        <w:t>Existing loans or grants under any Department funding source listed above that are at least 14 years old and will be assumed or recast as part of an acquisition and Rehabilitation project.</w:t>
      </w:r>
    </w:p>
    <w:p w14:paraId="50358AA2" w14:textId="77777777" w:rsidR="00DA0337" w:rsidRPr="0026247D" w:rsidRDefault="00DA0337" w:rsidP="00DA0337">
      <w:pPr>
        <w:tabs>
          <w:tab w:val="left" w:pos="1440"/>
        </w:tabs>
        <w:ind w:left="1440" w:hanging="720"/>
        <w:rPr>
          <w:rFonts w:cs="Arial"/>
          <w:color w:val="C00000"/>
        </w:rPr>
      </w:pPr>
    </w:p>
    <w:p w14:paraId="31144012" w14:textId="2541B12D" w:rsidR="00DA0337" w:rsidRPr="0026247D" w:rsidRDefault="00DA0337" w:rsidP="00993D09">
      <w:pPr>
        <w:pStyle w:val="ListParagraph"/>
        <w:widowControl w:val="0"/>
        <w:numPr>
          <w:ilvl w:val="1"/>
          <w:numId w:val="45"/>
        </w:numPr>
        <w:tabs>
          <w:tab w:val="left" w:pos="1451"/>
          <w:tab w:val="left" w:pos="1452"/>
        </w:tabs>
        <w:autoSpaceDE w:val="0"/>
        <w:autoSpaceDN w:val="0"/>
        <w:ind w:hanging="720"/>
        <w:rPr>
          <w:rFonts w:cs="Arial"/>
          <w:color w:val="C00000"/>
        </w:rPr>
      </w:pPr>
      <w:r w:rsidRPr="0026247D">
        <w:rPr>
          <w:rFonts w:cs="Arial"/>
          <w:color w:val="C00000"/>
        </w:rPr>
        <w:t>Additional limitations on use of multiple department funding sources may be specified in the NOFA.</w:t>
      </w:r>
    </w:p>
    <w:p w14:paraId="70EAB67F" w14:textId="77777777" w:rsidR="00DA0337" w:rsidRPr="0026247D" w:rsidRDefault="00DA0337" w:rsidP="00DA0337">
      <w:pPr>
        <w:pStyle w:val="ListParagraph"/>
        <w:widowControl w:val="0"/>
        <w:tabs>
          <w:tab w:val="left" w:pos="1451"/>
          <w:tab w:val="left" w:pos="1452"/>
        </w:tabs>
        <w:autoSpaceDE w:val="0"/>
        <w:autoSpaceDN w:val="0"/>
        <w:ind w:left="1440"/>
        <w:rPr>
          <w:rFonts w:cs="Arial"/>
          <w:color w:val="C00000"/>
        </w:rPr>
      </w:pPr>
    </w:p>
    <w:p w14:paraId="77681CAC" w14:textId="77777777" w:rsidR="00DA0337" w:rsidRPr="00B33A7B" w:rsidRDefault="00DA0337" w:rsidP="00993D09">
      <w:pPr>
        <w:pStyle w:val="ListParagraph"/>
        <w:widowControl w:val="0"/>
        <w:numPr>
          <w:ilvl w:val="1"/>
          <w:numId w:val="45"/>
        </w:numPr>
        <w:tabs>
          <w:tab w:val="left" w:pos="1451"/>
          <w:tab w:val="left" w:pos="1452"/>
        </w:tabs>
        <w:autoSpaceDE w:val="0"/>
        <w:autoSpaceDN w:val="0"/>
        <w:ind w:hanging="720"/>
        <w:rPr>
          <w:rFonts w:cs="Arial"/>
          <w:color w:val="FF0000"/>
        </w:rPr>
      </w:pPr>
      <w:r w:rsidRPr="0026247D">
        <w:rPr>
          <w:rFonts w:cs="Arial"/>
          <w:color w:val="C00000"/>
        </w:rPr>
        <w:t xml:space="preserve">Limits on Department Funding, including loan or grant funds, on a per Unit, </w:t>
      </w:r>
      <w:r w:rsidRPr="0026247D">
        <w:rPr>
          <w:rFonts w:cs="Arial"/>
          <w:color w:val="C00000"/>
        </w:rPr>
        <w:lastRenderedPageBreak/>
        <w:t xml:space="preserve">per project, and/or per </w:t>
      </w:r>
      <w:r w:rsidRPr="00B33A7B">
        <w:rPr>
          <w:rFonts w:cs="Arial"/>
        </w:rPr>
        <w:t>Recipient</w:t>
      </w:r>
      <w:r w:rsidRPr="00E76801">
        <w:rPr>
          <w:rFonts w:cs="Arial"/>
          <w:color w:val="C00000"/>
        </w:rPr>
        <w:t>/Sponsor basis, may be further specified in the NOFA.</w:t>
      </w:r>
    </w:p>
    <w:p w14:paraId="7020DA1C" w14:textId="77777777" w:rsidR="00DA0337" w:rsidRPr="00B33A7B" w:rsidRDefault="00DA0337" w:rsidP="00DA0337">
      <w:pPr>
        <w:tabs>
          <w:tab w:val="left" w:pos="1440"/>
        </w:tabs>
        <w:ind w:left="1440" w:hanging="720"/>
        <w:rPr>
          <w:rFonts w:cs="Arial"/>
        </w:rPr>
      </w:pPr>
    </w:p>
    <w:p w14:paraId="375C461B" w14:textId="5EDED59E" w:rsidR="00DA0337" w:rsidRPr="00B33A7B" w:rsidRDefault="11C79FB7" w:rsidP="068139A4">
      <w:pPr>
        <w:pStyle w:val="ListParagraph"/>
        <w:numPr>
          <w:ilvl w:val="0"/>
          <w:numId w:val="4"/>
        </w:numPr>
        <w:ind w:right="90"/>
        <w:rPr>
          <w:rFonts w:cs="Arial"/>
        </w:rPr>
      </w:pPr>
      <w:r w:rsidRPr="00E76801">
        <w:rPr>
          <w:rFonts w:cs="Arial"/>
          <w:color w:val="C00000"/>
        </w:rPr>
        <w:t xml:space="preserve">Once a project is awarded Department funds, the </w:t>
      </w:r>
      <w:r w:rsidRPr="00B33A7B">
        <w:rPr>
          <w:rFonts w:cs="Arial"/>
        </w:rPr>
        <w:t>Recipient/</w:t>
      </w:r>
      <w:r w:rsidRPr="00E76801">
        <w:rPr>
          <w:rFonts w:cs="Arial"/>
          <w:color w:val="C00000"/>
        </w:rPr>
        <w:t xml:space="preserve">Sponsor acceptance of these Department funds is acknowledging the project as submitted and approved by the Department and is the project that is to be funded and built. Any </w:t>
      </w:r>
      <w:r w:rsidR="00B24F9A" w:rsidRPr="00B33A7B">
        <w:rPr>
          <w:rFonts w:cs="Arial"/>
        </w:rPr>
        <w:t>partitioning</w:t>
      </w:r>
      <w:r w:rsidR="00991413" w:rsidRPr="00B33A7B">
        <w:rPr>
          <w:rFonts w:cs="Arial"/>
        </w:rPr>
        <w:t xml:space="preserve"> </w:t>
      </w:r>
      <w:r w:rsidR="00991413" w:rsidRPr="00E76801">
        <w:rPr>
          <w:rFonts w:cs="Arial"/>
          <w:color w:val="C00000"/>
        </w:rPr>
        <w:t xml:space="preserve">of </w:t>
      </w:r>
      <w:r w:rsidRPr="00E76801">
        <w:rPr>
          <w:rFonts w:cs="Arial"/>
          <w:color w:val="C00000"/>
        </w:rPr>
        <w:t xml:space="preserve">the </w:t>
      </w:r>
      <w:r w:rsidR="0080358A" w:rsidRPr="00E76801">
        <w:rPr>
          <w:rFonts w:cs="Arial"/>
          <w:color w:val="C00000"/>
        </w:rPr>
        <w:t>p</w:t>
      </w:r>
      <w:r w:rsidRPr="00E76801">
        <w:rPr>
          <w:rFonts w:cs="Arial"/>
          <w:color w:val="C00000"/>
        </w:rPr>
        <w:t>roject shall make that Award null and void, as the awarded project is no longer feasible as originally submitted and approved and because the awarded funds are unable to be assumed or assigned.</w:t>
      </w:r>
      <w:r w:rsidR="7B1A3281" w:rsidRPr="00E76801">
        <w:rPr>
          <w:rFonts w:cs="Arial"/>
          <w:color w:val="C00000"/>
        </w:rPr>
        <w:t xml:space="preserve"> </w:t>
      </w:r>
    </w:p>
    <w:p w14:paraId="242C1089" w14:textId="77777777" w:rsidR="00DA0337" w:rsidRPr="00B33A7B" w:rsidRDefault="00DA0337" w:rsidP="005B0098">
      <w:pPr>
        <w:widowControl w:val="0"/>
        <w:tabs>
          <w:tab w:val="left" w:pos="1451"/>
          <w:tab w:val="left" w:pos="1452"/>
        </w:tabs>
        <w:autoSpaceDE w:val="0"/>
        <w:autoSpaceDN w:val="0"/>
        <w:rPr>
          <w:rFonts w:cs="Arial"/>
          <w:color w:val="FF0000"/>
        </w:rPr>
      </w:pPr>
    </w:p>
    <w:p w14:paraId="0A363B75" w14:textId="48D82149" w:rsidR="00CD0C94" w:rsidRPr="00B33A7B" w:rsidRDefault="00CD0C94" w:rsidP="008A4F06">
      <w:pPr>
        <w:pStyle w:val="Style2"/>
        <w:outlineLvl w:val="1"/>
        <w:rPr>
          <w:color w:val="auto"/>
        </w:rPr>
      </w:pPr>
      <w:bookmarkStart w:id="11" w:name="_Toc106173285"/>
      <w:r w:rsidRPr="00B33A7B">
        <w:rPr>
          <w:color w:val="auto"/>
        </w:rPr>
        <w:t>Section 201. Eligible Applicant</w:t>
      </w:r>
      <w:r w:rsidR="00716704" w:rsidRPr="00B33A7B">
        <w:rPr>
          <w:color w:val="auto"/>
        </w:rPr>
        <w:t>.</w:t>
      </w:r>
      <w:bookmarkEnd w:id="11"/>
    </w:p>
    <w:p w14:paraId="511A8BED" w14:textId="17F6967D" w:rsidR="00CD0C94" w:rsidRPr="00B33A7B" w:rsidRDefault="00CD0C94" w:rsidP="00FC0865">
      <w:pPr>
        <w:tabs>
          <w:tab w:val="left" w:pos="450"/>
        </w:tabs>
        <w:ind w:left="360" w:hanging="360"/>
        <w:rPr>
          <w:rFonts w:cs="Arial"/>
        </w:rPr>
      </w:pPr>
    </w:p>
    <w:p w14:paraId="2018BE04" w14:textId="6C088305" w:rsidR="00D7428B" w:rsidRPr="00B33A7B" w:rsidRDefault="00D7428B" w:rsidP="00993D09">
      <w:pPr>
        <w:pStyle w:val="ListParagraph"/>
        <w:numPr>
          <w:ilvl w:val="0"/>
          <w:numId w:val="1"/>
        </w:numPr>
        <w:ind w:left="720" w:hanging="720"/>
        <w:rPr>
          <w:rFonts w:cs="Arial"/>
          <w:shd w:val="clear" w:color="auto" w:fill="FFFFFF"/>
        </w:rPr>
      </w:pPr>
      <w:r w:rsidRPr="00B33A7B">
        <w:rPr>
          <w:rFonts w:cs="Arial"/>
          <w:shd w:val="clear" w:color="auto" w:fill="FFFFFF"/>
        </w:rPr>
        <w:t xml:space="preserve">“Eligible </w:t>
      </w:r>
      <w:r w:rsidRPr="00B33A7B">
        <w:rPr>
          <w:rFonts w:cs="Arial"/>
        </w:rPr>
        <w:t>Applicant</w:t>
      </w:r>
      <w:r w:rsidRPr="00B33A7B">
        <w:rPr>
          <w:rFonts w:cs="Arial"/>
          <w:shd w:val="clear" w:color="auto" w:fill="FFFFFF"/>
        </w:rPr>
        <w:t xml:space="preserve">” </w:t>
      </w:r>
      <w:r w:rsidR="004652A5" w:rsidRPr="00B33A7B">
        <w:rPr>
          <w:rFonts w:cs="Arial"/>
          <w:shd w:val="clear" w:color="auto" w:fill="FFFFFF"/>
        </w:rPr>
        <w:t xml:space="preserve">or “Applicant” </w:t>
      </w:r>
      <w:r w:rsidRPr="00B33A7B">
        <w:rPr>
          <w:rFonts w:cs="Arial"/>
          <w:shd w:val="clear" w:color="auto" w:fill="FFFFFF"/>
        </w:rPr>
        <w:t>means one of the following:</w:t>
      </w:r>
    </w:p>
    <w:p w14:paraId="703E6309" w14:textId="77777777" w:rsidR="00D7428B" w:rsidRPr="00B33A7B" w:rsidRDefault="00D7428B" w:rsidP="00D7428B">
      <w:pPr>
        <w:pStyle w:val="ListParagraph"/>
        <w:ind w:right="90"/>
        <w:rPr>
          <w:rFonts w:cs="Arial"/>
          <w:shd w:val="clear" w:color="auto" w:fill="FFFFFF"/>
        </w:rPr>
      </w:pPr>
    </w:p>
    <w:p w14:paraId="246A4A54" w14:textId="0E8A31B4" w:rsidR="00D7428B" w:rsidRPr="00B33A7B" w:rsidRDefault="00D7428B" w:rsidP="00993D09">
      <w:pPr>
        <w:pStyle w:val="ListParagraph"/>
        <w:numPr>
          <w:ilvl w:val="0"/>
          <w:numId w:val="31"/>
        </w:numPr>
        <w:spacing w:line="259" w:lineRule="auto"/>
        <w:ind w:hanging="720"/>
        <w:contextualSpacing/>
        <w:rPr>
          <w:rFonts w:cs="Arial"/>
        </w:rPr>
      </w:pPr>
      <w:r w:rsidRPr="00B33A7B">
        <w:rPr>
          <w:rFonts w:cs="Arial"/>
        </w:rPr>
        <w:t xml:space="preserve">A city, county, city and county, or public housing authority </w:t>
      </w:r>
      <w:r w:rsidR="00740826" w:rsidRPr="00B33A7B">
        <w:rPr>
          <w:rFonts w:cs="Arial"/>
        </w:rPr>
        <w:t xml:space="preserve">that </w:t>
      </w:r>
      <w:r w:rsidRPr="00B33A7B">
        <w:rPr>
          <w:rFonts w:cs="Arial"/>
        </w:rPr>
        <w:t>has jurisdiction over a Qualifying Infill Area, or</w:t>
      </w:r>
    </w:p>
    <w:p w14:paraId="1CB24E50" w14:textId="77777777" w:rsidR="00D7428B" w:rsidRPr="00B33A7B" w:rsidRDefault="00D7428B" w:rsidP="00740826">
      <w:pPr>
        <w:pStyle w:val="ListParagraph"/>
        <w:rPr>
          <w:rFonts w:cs="Arial"/>
        </w:rPr>
      </w:pPr>
    </w:p>
    <w:p w14:paraId="6F3C27BC" w14:textId="7D6DC6C4" w:rsidR="00D746C0" w:rsidRPr="00B33A7B" w:rsidRDefault="50A3FF14" w:rsidP="00D746C0">
      <w:pPr>
        <w:pStyle w:val="ListParagraph"/>
        <w:numPr>
          <w:ilvl w:val="2"/>
          <w:numId w:val="32"/>
        </w:numPr>
        <w:spacing w:line="259" w:lineRule="auto"/>
        <w:ind w:hanging="720"/>
        <w:contextualSpacing/>
        <w:rPr>
          <w:rFonts w:cs="Arial"/>
        </w:rPr>
      </w:pPr>
      <w:r w:rsidRPr="00B33A7B">
        <w:rPr>
          <w:rFonts w:cs="Arial"/>
        </w:rPr>
        <w:t xml:space="preserve">For the purpose of </w:t>
      </w:r>
      <w:r w:rsidR="65446742" w:rsidRPr="00B33A7B">
        <w:rPr>
          <w:rFonts w:cs="Arial"/>
        </w:rPr>
        <w:t>this Section 201, “</w:t>
      </w:r>
      <w:r w:rsidR="489401CF" w:rsidRPr="00B33A7B">
        <w:rPr>
          <w:rFonts w:cs="Arial"/>
        </w:rPr>
        <w:t>p</w:t>
      </w:r>
      <w:r w:rsidR="65446742" w:rsidRPr="00B33A7B">
        <w:rPr>
          <w:rFonts w:cs="Arial"/>
        </w:rPr>
        <w:t xml:space="preserve">ublic </w:t>
      </w:r>
      <w:r w:rsidR="489401CF" w:rsidRPr="00B33A7B">
        <w:rPr>
          <w:rFonts w:cs="Arial"/>
        </w:rPr>
        <w:t>h</w:t>
      </w:r>
      <w:r w:rsidR="65446742" w:rsidRPr="00B33A7B">
        <w:rPr>
          <w:rFonts w:cs="Arial"/>
        </w:rPr>
        <w:t xml:space="preserve">ousing </w:t>
      </w:r>
      <w:r w:rsidR="489401CF" w:rsidRPr="00B33A7B">
        <w:rPr>
          <w:rFonts w:cs="Arial"/>
        </w:rPr>
        <w:t>a</w:t>
      </w:r>
      <w:r w:rsidR="65446742" w:rsidRPr="00B33A7B">
        <w:rPr>
          <w:rFonts w:cs="Arial"/>
        </w:rPr>
        <w:t xml:space="preserve">uthority” shall be interpreted to include </w:t>
      </w:r>
      <w:r w:rsidR="004C0143">
        <w:rPr>
          <w:rFonts w:cs="Arial"/>
        </w:rPr>
        <w:t xml:space="preserve">a </w:t>
      </w:r>
      <w:r w:rsidR="467A4D5D" w:rsidRPr="00B33A7B">
        <w:rPr>
          <w:rFonts w:cs="Arial"/>
        </w:rPr>
        <w:t>Tribally Designated Housing Entity as defined at 25 USC 4103 (22).</w:t>
      </w:r>
    </w:p>
    <w:p w14:paraId="4A48035C" w14:textId="2FBD8467" w:rsidR="00D746C0" w:rsidRPr="00B33A7B" w:rsidRDefault="00D746C0" w:rsidP="00740826">
      <w:pPr>
        <w:pStyle w:val="ListParagraph"/>
        <w:rPr>
          <w:rFonts w:cs="Arial"/>
        </w:rPr>
      </w:pPr>
    </w:p>
    <w:p w14:paraId="7F7305B6" w14:textId="3B9ACE12" w:rsidR="00D7428B" w:rsidRPr="00B33A7B" w:rsidRDefault="00D7428B" w:rsidP="00993D09">
      <w:pPr>
        <w:pStyle w:val="ListParagraph"/>
        <w:numPr>
          <w:ilvl w:val="0"/>
          <w:numId w:val="31"/>
        </w:numPr>
        <w:spacing w:line="259" w:lineRule="auto"/>
        <w:ind w:hanging="720"/>
        <w:contextualSpacing/>
        <w:rPr>
          <w:rFonts w:cs="Arial"/>
        </w:rPr>
      </w:pPr>
      <w:r w:rsidRPr="00B33A7B">
        <w:rPr>
          <w:rFonts w:cs="Arial"/>
        </w:rPr>
        <w:t xml:space="preserve">A nonprofit or for-profit </w:t>
      </w:r>
      <w:r w:rsidR="009631E0" w:rsidRPr="00B33A7B">
        <w:rPr>
          <w:rFonts w:cs="Arial"/>
        </w:rPr>
        <w:t>D</w:t>
      </w:r>
      <w:r w:rsidRPr="00B33A7B">
        <w:rPr>
          <w:rFonts w:cs="Arial"/>
        </w:rPr>
        <w:t>eveloper</w:t>
      </w:r>
      <w:r w:rsidR="00FE6D8A" w:rsidRPr="00B33A7B">
        <w:rPr>
          <w:rFonts w:cs="Arial"/>
        </w:rPr>
        <w:t xml:space="preserve"> </w:t>
      </w:r>
      <w:r w:rsidR="00840D1B" w:rsidRPr="00B33A7B">
        <w:rPr>
          <w:rFonts w:cs="Arial"/>
        </w:rPr>
        <w:t xml:space="preserve">of a Qualifying Infill Project </w:t>
      </w:r>
      <w:r w:rsidR="00740826" w:rsidRPr="00B33A7B">
        <w:rPr>
          <w:rFonts w:cs="Arial"/>
        </w:rPr>
        <w:t xml:space="preserve">that </w:t>
      </w:r>
      <w:r w:rsidR="00840D1B" w:rsidRPr="00B33A7B">
        <w:rPr>
          <w:rFonts w:cs="Arial"/>
        </w:rPr>
        <w:t xml:space="preserve">has received </w:t>
      </w:r>
      <w:r w:rsidRPr="00B33A7B">
        <w:rPr>
          <w:rFonts w:cs="Arial"/>
        </w:rPr>
        <w:t>a letter of support from the governing body of the city, county, or city and county that has jurisdiction over a Qualifying Infill Project. For purposes of this paragraph, “governing body” means a city council or a board of supervisors of a county or city and county.</w:t>
      </w:r>
    </w:p>
    <w:p w14:paraId="00D6D736" w14:textId="77777777" w:rsidR="00397B5A" w:rsidRPr="00E76801" w:rsidRDefault="00397B5A" w:rsidP="00397B5A">
      <w:pPr>
        <w:pStyle w:val="ListParagraph"/>
        <w:spacing w:line="259" w:lineRule="auto"/>
        <w:ind w:left="1440"/>
        <w:contextualSpacing/>
        <w:rPr>
          <w:rFonts w:cs="Arial"/>
          <w:color w:val="C00000"/>
        </w:rPr>
      </w:pPr>
    </w:p>
    <w:p w14:paraId="199E7E26" w14:textId="73C79174" w:rsidR="00904AE0" w:rsidRPr="00B33A7B" w:rsidRDefault="7069F7AA" w:rsidP="00993D09">
      <w:pPr>
        <w:pStyle w:val="ListParagraph"/>
        <w:numPr>
          <w:ilvl w:val="0"/>
          <w:numId w:val="1"/>
        </w:numPr>
        <w:ind w:left="720" w:hanging="720"/>
        <w:rPr>
          <w:rFonts w:cs="Arial"/>
          <w:color w:val="FF0000"/>
        </w:rPr>
      </w:pPr>
      <w:r w:rsidRPr="00E76801">
        <w:rPr>
          <w:rFonts w:cs="Arial"/>
          <w:color w:val="C00000"/>
          <w:shd w:val="clear" w:color="auto" w:fill="FFFFFF"/>
        </w:rPr>
        <w:t>Except</w:t>
      </w:r>
      <w:r w:rsidRPr="00E76801">
        <w:rPr>
          <w:rFonts w:cs="Arial"/>
          <w:color w:val="C00000"/>
        </w:rPr>
        <w:t xml:space="preserve"> as </w:t>
      </w:r>
      <w:r w:rsidR="4F1185A6" w:rsidRPr="00B33A7B">
        <w:rPr>
          <w:rFonts w:cs="Arial"/>
        </w:rPr>
        <w:t>otherwise prescribed by these Guidelines,</w:t>
      </w:r>
      <w:r w:rsidR="3258475B" w:rsidRPr="00B33A7B">
        <w:rPr>
          <w:rFonts w:cs="Arial"/>
        </w:rPr>
        <w:t xml:space="preserve"> </w:t>
      </w:r>
      <w:r w:rsidR="213D5ED9" w:rsidRPr="00B33A7B">
        <w:rPr>
          <w:rFonts w:cs="Arial"/>
        </w:rPr>
        <w:t xml:space="preserve">Applicant </w:t>
      </w:r>
      <w:r w:rsidR="213D5ED9" w:rsidRPr="00E76801">
        <w:rPr>
          <w:rFonts w:cs="Arial"/>
          <w:color w:val="C00000"/>
        </w:rPr>
        <w:t xml:space="preserve">shall demonstrate that it has successfully developed, operated, and owned at least four (4) Affordable Housing Developments of equivalent size, scale, and occupancy. If applying as a Farmworker Housing </w:t>
      </w:r>
      <w:r w:rsidR="006E4A45" w:rsidRPr="00E76801">
        <w:rPr>
          <w:rFonts w:cs="Arial"/>
          <w:color w:val="C00000"/>
        </w:rPr>
        <w:t>p</w:t>
      </w:r>
      <w:r w:rsidR="213D5ED9" w:rsidRPr="00E76801">
        <w:rPr>
          <w:rFonts w:cs="Arial"/>
          <w:color w:val="C00000"/>
        </w:rPr>
        <w:t xml:space="preserve">roject, one (1) of the four (4) must be a development that houses Agricultural Households. </w:t>
      </w:r>
      <w:r w:rsidR="213D5ED9" w:rsidRPr="00B33A7B">
        <w:rPr>
          <w:rFonts w:cs="Arial"/>
        </w:rPr>
        <w:t xml:space="preserve">Applicant </w:t>
      </w:r>
      <w:r w:rsidR="213D5ED9" w:rsidRPr="00E76801">
        <w:rPr>
          <w:rFonts w:cs="Arial"/>
          <w:color w:val="C00000"/>
        </w:rPr>
        <w:t xml:space="preserve">shall have satisfied this experience requirement at the time of its application for the funds. To satisfy experience requirements, </w:t>
      </w:r>
      <w:r w:rsidR="213D5ED9" w:rsidRPr="00B33A7B">
        <w:rPr>
          <w:rFonts w:cs="Arial"/>
        </w:rPr>
        <w:t xml:space="preserve">Applicant </w:t>
      </w:r>
      <w:r w:rsidR="213D5ED9" w:rsidRPr="00E76801">
        <w:rPr>
          <w:rFonts w:cs="Arial"/>
          <w:color w:val="C00000"/>
        </w:rPr>
        <w:t xml:space="preserve">may include the experience of its controlled affiliated entities or its Principals (e.g., employed by, and under the control of the </w:t>
      </w:r>
      <w:r w:rsidR="213D5ED9" w:rsidRPr="00B33A7B">
        <w:rPr>
          <w:rFonts w:cs="Arial"/>
        </w:rPr>
        <w:t xml:space="preserve">Applicant </w:t>
      </w:r>
      <w:r w:rsidR="213D5ED9" w:rsidRPr="00E76801">
        <w:rPr>
          <w:rFonts w:cs="Arial"/>
          <w:color w:val="C00000"/>
        </w:rPr>
        <w:t>and responsible for managing development activities), but not the experience of non-management board members.</w:t>
      </w:r>
    </w:p>
    <w:p w14:paraId="705A2D13" w14:textId="77777777" w:rsidR="00904AE0" w:rsidRPr="00E76801" w:rsidRDefault="00904AE0" w:rsidP="00904AE0">
      <w:pPr>
        <w:pStyle w:val="ListParagraph"/>
        <w:ind w:hanging="720"/>
        <w:rPr>
          <w:rFonts w:cs="Arial"/>
          <w:color w:val="C00000"/>
        </w:rPr>
      </w:pPr>
    </w:p>
    <w:p w14:paraId="4E8037B9" w14:textId="2BB513A6" w:rsidR="00904AE0" w:rsidRPr="00B33A7B" w:rsidRDefault="00904AE0" w:rsidP="00993D09">
      <w:pPr>
        <w:pStyle w:val="ListParagraph"/>
        <w:numPr>
          <w:ilvl w:val="0"/>
          <w:numId w:val="76"/>
        </w:numPr>
        <w:spacing w:line="259" w:lineRule="auto"/>
        <w:ind w:hanging="720"/>
        <w:contextualSpacing/>
        <w:rPr>
          <w:rFonts w:cs="Arial"/>
          <w:color w:val="FF0000"/>
        </w:rPr>
      </w:pPr>
      <w:r w:rsidRPr="00E76801">
        <w:rPr>
          <w:rFonts w:cs="Arial"/>
          <w:color w:val="C00000"/>
        </w:rPr>
        <w:t xml:space="preserve">Notwithstanding the foregoing, </w:t>
      </w:r>
      <w:r w:rsidR="00087537" w:rsidRPr="00E76801">
        <w:rPr>
          <w:rFonts w:cs="Arial"/>
          <w:color w:val="C00000"/>
        </w:rPr>
        <w:t xml:space="preserve">and solely for the purpose of applying to the Emerging Developer set-aside, an Emerging Developer shall qualify </w:t>
      </w:r>
      <w:r w:rsidR="00087537" w:rsidRPr="00B33A7B">
        <w:rPr>
          <w:rFonts w:cs="Arial"/>
        </w:rPr>
        <w:t xml:space="preserve">as an Eligible Applicant </w:t>
      </w:r>
      <w:r w:rsidR="00087537" w:rsidRPr="00E5087C">
        <w:rPr>
          <w:rFonts w:cs="Arial"/>
          <w:color w:val="C00000"/>
        </w:rPr>
        <w:t xml:space="preserve">so long as the Emerging Developer meets the experience requirements set forth in its definition </w:t>
      </w:r>
      <w:r w:rsidR="009A3897" w:rsidRPr="00B33A7B">
        <w:rPr>
          <w:rFonts w:cs="Arial"/>
        </w:rPr>
        <w:t>above</w:t>
      </w:r>
      <w:r w:rsidR="00087537" w:rsidRPr="00B33A7B">
        <w:rPr>
          <w:rFonts w:cs="Arial"/>
        </w:rPr>
        <w:t>.</w:t>
      </w:r>
    </w:p>
    <w:p w14:paraId="27E69DEF" w14:textId="77777777" w:rsidR="00904AE0" w:rsidRPr="00B33A7B" w:rsidRDefault="00904AE0" w:rsidP="00904AE0">
      <w:pPr>
        <w:pStyle w:val="ListParagraph"/>
        <w:spacing w:line="259" w:lineRule="auto"/>
        <w:ind w:left="1440" w:hanging="720"/>
        <w:contextualSpacing/>
        <w:rPr>
          <w:rFonts w:cs="Arial"/>
          <w:color w:val="FF0000"/>
        </w:rPr>
      </w:pPr>
    </w:p>
    <w:p w14:paraId="5545989D" w14:textId="2BBBDE43" w:rsidR="00904AE0" w:rsidRPr="00B33A7B" w:rsidRDefault="00904AE0" w:rsidP="00993D09">
      <w:pPr>
        <w:pStyle w:val="ListParagraph"/>
        <w:numPr>
          <w:ilvl w:val="0"/>
          <w:numId w:val="76"/>
        </w:numPr>
        <w:spacing w:line="259" w:lineRule="auto"/>
        <w:ind w:hanging="720"/>
        <w:contextualSpacing/>
        <w:rPr>
          <w:rFonts w:cs="Arial"/>
          <w:color w:val="FF0000"/>
        </w:rPr>
      </w:pPr>
      <w:r w:rsidRPr="00E5087C">
        <w:rPr>
          <w:rFonts w:cs="Arial"/>
          <w:color w:val="C00000"/>
        </w:rPr>
        <w:t xml:space="preserve">Notwithstanding the foregoing, </w:t>
      </w:r>
      <w:r w:rsidR="00473AAC" w:rsidRPr="00E5087C">
        <w:rPr>
          <w:rFonts w:cs="Arial"/>
          <w:color w:val="C00000"/>
        </w:rPr>
        <w:t xml:space="preserve">and solely for the purpose of applying to the Community-Based Developer set-aside, a Community-Based Developer shall </w:t>
      </w:r>
      <w:r w:rsidR="00473AAC" w:rsidRPr="00E5087C">
        <w:rPr>
          <w:rFonts w:cs="Arial"/>
          <w:color w:val="C00000"/>
        </w:rPr>
        <w:lastRenderedPageBreak/>
        <w:t xml:space="preserve">qualify </w:t>
      </w:r>
      <w:r w:rsidR="00473AAC" w:rsidRPr="00B33A7B">
        <w:rPr>
          <w:rFonts w:cs="Arial"/>
        </w:rPr>
        <w:t xml:space="preserve">as an Eligible Applicant </w:t>
      </w:r>
      <w:r w:rsidR="00473AAC" w:rsidRPr="00E5087C">
        <w:rPr>
          <w:rFonts w:cs="Arial"/>
          <w:color w:val="C00000"/>
        </w:rPr>
        <w:t xml:space="preserve">so long as the Community-Based Developer meets the experience requirements set forth in its definition </w:t>
      </w:r>
      <w:r w:rsidR="00197D3A" w:rsidRPr="00B33A7B">
        <w:rPr>
          <w:rFonts w:cs="Arial"/>
        </w:rPr>
        <w:t>above</w:t>
      </w:r>
      <w:r w:rsidR="00473AAC" w:rsidRPr="00B33A7B">
        <w:rPr>
          <w:rFonts w:cs="Arial"/>
        </w:rPr>
        <w:t>.</w:t>
      </w:r>
    </w:p>
    <w:p w14:paraId="0F2960B2" w14:textId="77777777" w:rsidR="00957831" w:rsidRPr="00B33A7B" w:rsidRDefault="00957831" w:rsidP="00957831">
      <w:pPr>
        <w:pStyle w:val="ListParagraph"/>
        <w:rPr>
          <w:rFonts w:cs="Arial"/>
          <w:color w:val="FF0000"/>
        </w:rPr>
      </w:pPr>
    </w:p>
    <w:p w14:paraId="016B5F08" w14:textId="58B51A9A" w:rsidR="00957831" w:rsidRPr="00B33A7B" w:rsidRDefault="00957831" w:rsidP="00993D09">
      <w:pPr>
        <w:pStyle w:val="ListParagraph"/>
        <w:numPr>
          <w:ilvl w:val="0"/>
          <w:numId w:val="76"/>
        </w:numPr>
        <w:spacing w:line="259" w:lineRule="auto"/>
        <w:ind w:hanging="720"/>
        <w:contextualSpacing/>
        <w:rPr>
          <w:rFonts w:cs="Arial"/>
        </w:rPr>
      </w:pPr>
      <w:r w:rsidRPr="00B33A7B">
        <w:rPr>
          <w:rFonts w:cs="Arial"/>
        </w:rPr>
        <w:t xml:space="preserve">Notwithstanding the foregoing, </w:t>
      </w:r>
      <w:r w:rsidRPr="00E5087C">
        <w:rPr>
          <w:rFonts w:cs="Arial"/>
          <w:color w:val="C00000"/>
        </w:rPr>
        <w:t>Tribal Entities, Community-Based Developers and Emerging Developers may satisfy experience requirements by contracting with an entity that meets the requirements of this subdivision (</w:t>
      </w:r>
      <w:r w:rsidRPr="00B33A7B">
        <w:rPr>
          <w:rFonts w:cs="Arial"/>
        </w:rPr>
        <w:t>b</w:t>
      </w:r>
      <w:r w:rsidRPr="00E5087C">
        <w:rPr>
          <w:rFonts w:cs="Arial"/>
          <w:color w:val="C00000"/>
        </w:rPr>
        <w:t>). Such contract or partnership agreement must be fully executed at the time of application submittal, and it must remain in effect until permanent loan closing and the issuance of any required tax forms.</w:t>
      </w:r>
    </w:p>
    <w:p w14:paraId="69FCA11D" w14:textId="77777777" w:rsidR="00904AE0" w:rsidRPr="00B33A7B" w:rsidRDefault="00904AE0" w:rsidP="00904AE0">
      <w:pPr>
        <w:pStyle w:val="ListParagraph"/>
        <w:ind w:left="1440" w:hanging="720"/>
        <w:rPr>
          <w:rFonts w:cs="Arial"/>
          <w:color w:val="FF0000"/>
        </w:rPr>
      </w:pPr>
      <w:r w:rsidRPr="00B33A7B">
        <w:rPr>
          <w:rFonts w:cs="Arial"/>
          <w:color w:val="FF0000"/>
        </w:rPr>
        <w:t xml:space="preserve"> </w:t>
      </w:r>
    </w:p>
    <w:p w14:paraId="2AF5AE48" w14:textId="136BEA89" w:rsidR="00904AE0" w:rsidRPr="00E5087C" w:rsidRDefault="00904AE0" w:rsidP="00993D09">
      <w:pPr>
        <w:pStyle w:val="ListParagraph"/>
        <w:numPr>
          <w:ilvl w:val="0"/>
          <w:numId w:val="76"/>
        </w:numPr>
        <w:spacing w:line="259" w:lineRule="auto"/>
        <w:ind w:hanging="720"/>
        <w:contextualSpacing/>
        <w:rPr>
          <w:rFonts w:cs="Arial"/>
          <w:color w:val="C00000"/>
        </w:rPr>
      </w:pPr>
      <w:r w:rsidRPr="00E5087C">
        <w:rPr>
          <w:rFonts w:cs="Arial"/>
          <w:color w:val="C00000"/>
        </w:rPr>
        <w:t xml:space="preserve">If a </w:t>
      </w:r>
      <w:r w:rsidR="0064060B" w:rsidRPr="00E5087C">
        <w:rPr>
          <w:rFonts w:cs="Arial"/>
          <w:color w:val="C00000"/>
        </w:rPr>
        <w:t xml:space="preserve">Joint Venture </w:t>
      </w:r>
      <w:r w:rsidR="0064060B" w:rsidRPr="00B33A7B">
        <w:rPr>
          <w:rFonts w:cs="Arial"/>
        </w:rPr>
        <w:t>Applicant</w:t>
      </w:r>
      <w:r w:rsidR="0064060B" w:rsidRPr="00B33A7B">
        <w:rPr>
          <w:rFonts w:cs="Arial"/>
          <w:color w:val="FF0000"/>
        </w:rPr>
        <w:t xml:space="preserve"> </w:t>
      </w:r>
      <w:r w:rsidR="0064060B" w:rsidRPr="00E5087C">
        <w:rPr>
          <w:rFonts w:cs="Arial"/>
          <w:color w:val="C00000"/>
        </w:rPr>
        <w:t>or co-</w:t>
      </w:r>
      <w:r w:rsidR="0064060B" w:rsidRPr="00B33A7B">
        <w:rPr>
          <w:rFonts w:cs="Arial"/>
        </w:rPr>
        <w:t>Applicant</w:t>
      </w:r>
      <w:r w:rsidR="0064060B" w:rsidRPr="00B33A7B">
        <w:rPr>
          <w:rFonts w:cs="Arial"/>
          <w:color w:val="FF0000"/>
        </w:rPr>
        <w:t xml:space="preserve"> </w:t>
      </w:r>
      <w:r w:rsidR="0064060B" w:rsidRPr="00E5087C">
        <w:rPr>
          <w:rFonts w:cs="Arial"/>
          <w:color w:val="C00000"/>
        </w:rPr>
        <w:t>relies upon the experience of one of the Joint Venture partners or co-</w:t>
      </w:r>
      <w:r w:rsidR="0064060B" w:rsidRPr="00B33A7B">
        <w:rPr>
          <w:rFonts w:cs="Arial"/>
        </w:rPr>
        <w:t>Applicants</w:t>
      </w:r>
      <w:r w:rsidR="0064060B" w:rsidRPr="00B33A7B">
        <w:rPr>
          <w:rFonts w:cs="Arial"/>
          <w:color w:val="FF0000"/>
        </w:rPr>
        <w:t xml:space="preserve"> </w:t>
      </w:r>
      <w:r w:rsidR="0064060B" w:rsidRPr="00E5087C">
        <w:rPr>
          <w:rFonts w:cs="Arial"/>
          <w:color w:val="C00000"/>
        </w:rPr>
        <w:t xml:space="preserve">to meet the </w:t>
      </w:r>
      <w:r w:rsidR="0064060B" w:rsidRPr="00B33A7B">
        <w:rPr>
          <w:rFonts w:cs="Arial"/>
        </w:rPr>
        <w:t xml:space="preserve">experience requirement of this subdivision (b), </w:t>
      </w:r>
      <w:r w:rsidR="0064060B" w:rsidRPr="00E5087C">
        <w:rPr>
          <w:rFonts w:cs="Arial"/>
          <w:color w:val="C00000"/>
        </w:rPr>
        <w:t>the following requirements must be met:</w:t>
      </w:r>
    </w:p>
    <w:p w14:paraId="2E2BC82A" w14:textId="77777777" w:rsidR="00904AE0" w:rsidRPr="00E5087C" w:rsidRDefault="00904AE0" w:rsidP="00904AE0">
      <w:pPr>
        <w:pStyle w:val="ListParagraph"/>
        <w:ind w:hanging="720"/>
        <w:rPr>
          <w:rFonts w:cs="Arial"/>
          <w:color w:val="C00000"/>
        </w:rPr>
      </w:pPr>
    </w:p>
    <w:p w14:paraId="10FE871D" w14:textId="0648A3B0" w:rsidR="00904AE0" w:rsidRPr="00E5087C" w:rsidRDefault="7069F7AA" w:rsidP="00FE58F7">
      <w:pPr>
        <w:pStyle w:val="ListParagraph"/>
        <w:numPr>
          <w:ilvl w:val="2"/>
          <w:numId w:val="82"/>
        </w:numPr>
        <w:spacing w:line="259" w:lineRule="auto"/>
        <w:ind w:hanging="720"/>
        <w:contextualSpacing/>
        <w:rPr>
          <w:rFonts w:cs="Arial"/>
          <w:color w:val="C00000"/>
        </w:rPr>
      </w:pPr>
      <w:r w:rsidRPr="00E5087C">
        <w:rPr>
          <w:rFonts w:cs="Arial"/>
          <w:color w:val="C00000"/>
        </w:rPr>
        <w:t xml:space="preserve">The </w:t>
      </w:r>
      <w:r w:rsidR="09A41DC0" w:rsidRPr="00E5087C">
        <w:rPr>
          <w:rFonts w:cs="Arial"/>
          <w:color w:val="C00000"/>
        </w:rPr>
        <w:t>Joint Venture partner/co-</w:t>
      </w:r>
      <w:r w:rsidR="09A41DC0" w:rsidRPr="00B33A7B">
        <w:rPr>
          <w:rFonts w:cs="Arial"/>
        </w:rPr>
        <w:t xml:space="preserve">Applicant </w:t>
      </w:r>
      <w:r w:rsidR="09A41DC0" w:rsidRPr="00E5087C">
        <w:rPr>
          <w:rFonts w:cs="Arial"/>
          <w:color w:val="C00000"/>
        </w:rPr>
        <w:t>with experience must document that experience in the application as required by the NOFA.</w:t>
      </w:r>
    </w:p>
    <w:p w14:paraId="2BBC3B47" w14:textId="77777777" w:rsidR="00805B67" w:rsidRPr="00E5087C" w:rsidRDefault="00805B67" w:rsidP="00805B67">
      <w:pPr>
        <w:pStyle w:val="ListParagraph"/>
        <w:spacing w:line="259" w:lineRule="auto"/>
        <w:ind w:left="2160"/>
        <w:contextualSpacing/>
        <w:rPr>
          <w:rFonts w:cs="Arial"/>
          <w:color w:val="C00000"/>
        </w:rPr>
      </w:pPr>
    </w:p>
    <w:p w14:paraId="0F922553" w14:textId="27EED181" w:rsidR="00904AE0" w:rsidRPr="00E5087C" w:rsidRDefault="7069F7AA" w:rsidP="00F201FA">
      <w:pPr>
        <w:pStyle w:val="ListParagraph"/>
        <w:numPr>
          <w:ilvl w:val="2"/>
          <w:numId w:val="82"/>
        </w:numPr>
        <w:spacing w:line="259" w:lineRule="auto"/>
        <w:ind w:hanging="720"/>
        <w:contextualSpacing/>
        <w:rPr>
          <w:rFonts w:cs="Arial"/>
          <w:color w:val="C00000"/>
        </w:rPr>
      </w:pPr>
      <w:r w:rsidRPr="00E5087C">
        <w:rPr>
          <w:rFonts w:cs="Arial"/>
          <w:color w:val="C00000"/>
        </w:rPr>
        <w:t xml:space="preserve">The </w:t>
      </w:r>
      <w:r w:rsidR="1BDC56A8" w:rsidRPr="00E5087C">
        <w:rPr>
          <w:rFonts w:cs="Arial"/>
          <w:color w:val="C00000"/>
        </w:rPr>
        <w:t>Joint Venture partner or co-</w:t>
      </w:r>
      <w:r w:rsidR="1BDC56A8" w:rsidRPr="00B33A7B">
        <w:rPr>
          <w:rFonts w:cs="Arial"/>
        </w:rPr>
        <w:t>Recipient</w:t>
      </w:r>
      <w:r w:rsidR="1BDC56A8" w:rsidRPr="00B33A7B">
        <w:rPr>
          <w:rFonts w:cs="Arial"/>
          <w:color w:val="FF0000"/>
        </w:rPr>
        <w:t xml:space="preserve"> </w:t>
      </w:r>
      <w:r w:rsidR="1BDC56A8" w:rsidRPr="00E5087C">
        <w:rPr>
          <w:rFonts w:cs="Arial"/>
          <w:color w:val="C00000"/>
        </w:rPr>
        <w:t xml:space="preserve">with experience must retain a controlling interest in the </w:t>
      </w:r>
      <w:r w:rsidR="1BDC56A8" w:rsidRPr="00B33A7B">
        <w:rPr>
          <w:rFonts w:cs="Arial"/>
        </w:rPr>
        <w:t>Qualifying Infill Project(s)</w:t>
      </w:r>
      <w:r w:rsidR="22129669" w:rsidRPr="00B33A7B">
        <w:rPr>
          <w:rFonts w:cs="Arial"/>
        </w:rPr>
        <w:t xml:space="preserve"> or Qualifying Infill Area</w:t>
      </w:r>
      <w:r w:rsidR="1BDC56A8" w:rsidRPr="00B33A7B">
        <w:rPr>
          <w:rFonts w:cs="Arial"/>
          <w:color w:val="FF0000"/>
        </w:rPr>
        <w:t xml:space="preserve"> </w:t>
      </w:r>
      <w:r w:rsidR="1BDC56A8" w:rsidRPr="00E5087C">
        <w:rPr>
          <w:rFonts w:cs="Arial"/>
          <w:color w:val="C00000"/>
        </w:rPr>
        <w:t xml:space="preserve">for at least seven (7) consecutive years from the date of full occupancy of the Rental Housing Development. </w:t>
      </w:r>
      <w:r w:rsidR="1BDC56A8" w:rsidRPr="00B33A7B">
        <w:t>If Joint Venture partners or co-Recipients form a special purpose entity to develop and own the Qualifying Infill Project</w:t>
      </w:r>
      <w:r w:rsidR="66E80BA5" w:rsidRPr="00B33A7B">
        <w:t xml:space="preserve"> or Qualifying Infill Area</w:t>
      </w:r>
      <w:r w:rsidR="1BDC56A8" w:rsidRPr="00B33A7B">
        <w:t>, the co-Recipient with the experience must retain a controlling interest in the special purpose entity for at least seven (7) consecutive years from the date of full occupancy of the Rental Housing Development</w:t>
      </w:r>
      <w:r w:rsidR="1BDC56A8" w:rsidRPr="00E5087C">
        <w:rPr>
          <w:rFonts w:cs="Arial"/>
          <w:color w:val="C00000"/>
        </w:rPr>
        <w:t>, as evidenced by the applicable organizational documents. Any transfer of such interest requires the Department’s advance written approval.</w:t>
      </w:r>
    </w:p>
    <w:p w14:paraId="74AEA70F" w14:textId="77777777" w:rsidR="00904AE0" w:rsidRPr="00E5087C" w:rsidRDefault="00904AE0" w:rsidP="00904AE0">
      <w:pPr>
        <w:pStyle w:val="ListParagraph"/>
        <w:ind w:left="2160" w:hanging="720"/>
        <w:rPr>
          <w:rFonts w:cs="Arial"/>
          <w:color w:val="C00000"/>
        </w:rPr>
      </w:pPr>
    </w:p>
    <w:p w14:paraId="6B4BD658" w14:textId="2D7CF3A4" w:rsidR="00904AE0" w:rsidRPr="00E5087C" w:rsidRDefault="7069F7AA" w:rsidP="00F201FA">
      <w:pPr>
        <w:pStyle w:val="ListParagraph"/>
        <w:numPr>
          <w:ilvl w:val="2"/>
          <w:numId w:val="82"/>
        </w:numPr>
        <w:spacing w:line="259" w:lineRule="auto"/>
        <w:ind w:hanging="720"/>
        <w:contextualSpacing/>
        <w:rPr>
          <w:rFonts w:cs="Arial"/>
          <w:color w:val="C00000"/>
        </w:rPr>
      </w:pPr>
      <w:r w:rsidRPr="00E5087C">
        <w:rPr>
          <w:rFonts w:cs="Arial"/>
          <w:color w:val="C00000"/>
        </w:rPr>
        <w:t xml:space="preserve">The </w:t>
      </w:r>
      <w:r w:rsidR="6B9D8342" w:rsidRPr="00E5087C">
        <w:rPr>
          <w:rFonts w:cs="Arial"/>
          <w:color w:val="C00000"/>
        </w:rPr>
        <w:t>Joint Venture partner or co-</w:t>
      </w:r>
      <w:r w:rsidR="6B9D8342" w:rsidRPr="00B33A7B">
        <w:rPr>
          <w:rFonts w:cs="Arial"/>
        </w:rPr>
        <w:t>Recipient</w:t>
      </w:r>
      <w:r w:rsidR="6B9D8342" w:rsidRPr="00B33A7B">
        <w:rPr>
          <w:rFonts w:cs="Arial"/>
          <w:color w:val="FF0000"/>
        </w:rPr>
        <w:t xml:space="preserve"> </w:t>
      </w:r>
      <w:r w:rsidR="6B9D8342" w:rsidRPr="00E5087C">
        <w:rPr>
          <w:rFonts w:cs="Arial"/>
          <w:color w:val="C00000"/>
        </w:rPr>
        <w:t xml:space="preserve">with experience must perform substantial management </w:t>
      </w:r>
      <w:r w:rsidR="6B9D8342" w:rsidRPr="00B33A7B">
        <w:t>duties for the Qualifying Infill Project(s)</w:t>
      </w:r>
      <w:r w:rsidR="68A9FCBA" w:rsidRPr="00B33A7B">
        <w:t xml:space="preserve"> or Qualifying Infill Area</w:t>
      </w:r>
      <w:r w:rsidR="6B9D8342" w:rsidRPr="00B33A7B">
        <w:rPr>
          <w:rFonts w:cs="Arial"/>
        </w:rPr>
        <w:t xml:space="preserve"> </w:t>
      </w:r>
      <w:r w:rsidR="6B9D8342" w:rsidRPr="00E5087C">
        <w:rPr>
          <w:rFonts w:cs="Arial"/>
          <w:color w:val="C00000"/>
        </w:rPr>
        <w:t xml:space="preserve">for at least seven (7) consecutive years from the date of full occupancy of the Rental Housing Development </w:t>
      </w:r>
      <w:r w:rsidR="6B9D8342" w:rsidRPr="00B33A7B">
        <w:t>either directly or through its control of a special purpose entity</w:t>
      </w:r>
      <w:r w:rsidR="6B9D8342" w:rsidRPr="00B33A7B">
        <w:rPr>
          <w:rFonts w:cs="Arial"/>
          <w:color w:val="FF0000"/>
        </w:rPr>
        <w:t xml:space="preserve">, </w:t>
      </w:r>
      <w:r w:rsidR="6B9D8342" w:rsidRPr="00E5087C">
        <w:rPr>
          <w:rFonts w:cs="Arial"/>
          <w:color w:val="C00000"/>
        </w:rPr>
        <w:t>as evidenced by the applicable organizational documents. Such role shall include the substantial management duties set forth at UMR Section 8313.2.</w:t>
      </w:r>
    </w:p>
    <w:p w14:paraId="576ADD63" w14:textId="77777777" w:rsidR="00904AE0" w:rsidRPr="00E5087C" w:rsidRDefault="00904AE0" w:rsidP="00904AE0">
      <w:pPr>
        <w:pStyle w:val="ListParagraph"/>
        <w:ind w:left="2160" w:hanging="720"/>
        <w:rPr>
          <w:rFonts w:cs="Arial"/>
          <w:color w:val="C00000"/>
        </w:rPr>
      </w:pPr>
      <w:r w:rsidRPr="00E5087C">
        <w:rPr>
          <w:rFonts w:cs="Arial"/>
          <w:color w:val="C00000"/>
        </w:rPr>
        <w:t xml:space="preserve"> </w:t>
      </w:r>
    </w:p>
    <w:p w14:paraId="39BBFCB3" w14:textId="1BE1003F" w:rsidR="00904AE0" w:rsidRPr="00E5087C" w:rsidRDefault="7069F7AA" w:rsidP="00F201FA">
      <w:pPr>
        <w:pStyle w:val="ListParagraph"/>
        <w:numPr>
          <w:ilvl w:val="2"/>
          <w:numId w:val="82"/>
        </w:numPr>
        <w:spacing w:line="259" w:lineRule="auto"/>
        <w:ind w:hanging="720"/>
        <w:contextualSpacing/>
        <w:rPr>
          <w:rFonts w:cs="Arial"/>
          <w:color w:val="C00000"/>
        </w:rPr>
      </w:pPr>
      <w:r w:rsidRPr="00E5087C">
        <w:rPr>
          <w:rFonts w:cs="Arial"/>
          <w:color w:val="C00000"/>
        </w:rPr>
        <w:t xml:space="preserve">The </w:t>
      </w:r>
      <w:r w:rsidR="42D33D0A" w:rsidRPr="00E5087C">
        <w:rPr>
          <w:rFonts w:cs="Arial"/>
          <w:color w:val="C00000"/>
        </w:rPr>
        <w:t xml:space="preserve">partnership agreement or other applicable organizational documents must, for the duration of the </w:t>
      </w:r>
      <w:r w:rsidR="42D33D0A" w:rsidRPr="00B33A7B">
        <w:rPr>
          <w:rFonts w:cs="Arial"/>
        </w:rPr>
        <w:t>special purpose</w:t>
      </w:r>
      <w:r w:rsidR="42D33D0A" w:rsidRPr="00B33A7B">
        <w:rPr>
          <w:color w:val="FF0000"/>
        </w:rPr>
        <w:t xml:space="preserve"> </w:t>
      </w:r>
      <w:r w:rsidR="42D33D0A" w:rsidRPr="00E5087C">
        <w:rPr>
          <w:color w:val="C00000"/>
        </w:rPr>
        <w:t>entity</w:t>
      </w:r>
      <w:r w:rsidR="42D33D0A" w:rsidRPr="00E5087C">
        <w:rPr>
          <w:rFonts w:cs="Arial"/>
          <w:color w:val="C00000"/>
        </w:rPr>
        <w:t>, do the following:</w:t>
      </w:r>
    </w:p>
    <w:p w14:paraId="39E5EE30" w14:textId="77777777" w:rsidR="00EC26A9" w:rsidRPr="00B33A7B" w:rsidRDefault="00EC26A9" w:rsidP="00EC26A9">
      <w:pPr>
        <w:spacing w:line="259" w:lineRule="auto"/>
        <w:contextualSpacing/>
        <w:rPr>
          <w:rFonts w:cs="Arial"/>
          <w:color w:val="FF0000"/>
        </w:rPr>
      </w:pPr>
    </w:p>
    <w:p w14:paraId="7F1A7EED" w14:textId="65579B56" w:rsidR="00904AE0" w:rsidRPr="005D5DBA" w:rsidRDefault="00904AE0" w:rsidP="00993D09">
      <w:pPr>
        <w:pStyle w:val="ListParagraph"/>
        <w:numPr>
          <w:ilvl w:val="3"/>
          <w:numId w:val="30"/>
        </w:numPr>
        <w:spacing w:before="80" w:line="259" w:lineRule="auto"/>
        <w:ind w:left="2894" w:hanging="547"/>
        <w:contextualSpacing/>
        <w:rPr>
          <w:rFonts w:cs="Arial"/>
          <w:color w:val="C00000"/>
        </w:rPr>
      </w:pPr>
      <w:r w:rsidRPr="005D5DBA">
        <w:rPr>
          <w:rFonts w:cs="Arial"/>
          <w:color w:val="C00000"/>
        </w:rPr>
        <w:lastRenderedPageBreak/>
        <w:t xml:space="preserve">The </w:t>
      </w:r>
      <w:r w:rsidR="0013459D" w:rsidRPr="005D5DBA">
        <w:rPr>
          <w:rFonts w:cs="Arial"/>
          <w:color w:val="C00000"/>
        </w:rPr>
        <w:t>inexperienced partner must complete training pursuant to TCAC Regulations, Title 4 CCR, Division 17, Chapter 1, Section 10325 (c)(1);</w:t>
      </w:r>
    </w:p>
    <w:p w14:paraId="2AF8D7CC" w14:textId="644D2142" w:rsidR="0010637F" w:rsidRPr="005D5DBA" w:rsidRDefault="0010637F" w:rsidP="0010637F">
      <w:pPr>
        <w:pStyle w:val="ListParagraph"/>
        <w:spacing w:before="80" w:line="259" w:lineRule="auto"/>
        <w:ind w:left="2894"/>
        <w:contextualSpacing/>
        <w:rPr>
          <w:rFonts w:cs="Arial"/>
          <w:color w:val="C00000"/>
        </w:rPr>
      </w:pPr>
    </w:p>
    <w:p w14:paraId="5753100B" w14:textId="32C2A9BF" w:rsidR="00512C1C" w:rsidRPr="005D5DBA" w:rsidRDefault="00CA50E3" w:rsidP="00993D09">
      <w:pPr>
        <w:pStyle w:val="ListParagraph"/>
        <w:numPr>
          <w:ilvl w:val="3"/>
          <w:numId w:val="30"/>
        </w:numPr>
        <w:spacing w:before="80" w:line="259" w:lineRule="auto"/>
        <w:ind w:left="2894" w:hanging="547"/>
        <w:contextualSpacing/>
        <w:rPr>
          <w:rFonts w:cs="Arial"/>
          <w:color w:val="C00000"/>
        </w:rPr>
      </w:pPr>
      <w:r w:rsidRPr="005D5DBA">
        <w:rPr>
          <w:rFonts w:cs="Arial"/>
          <w:color w:val="C00000"/>
        </w:rPr>
        <w:t xml:space="preserve">The experienced </w:t>
      </w:r>
      <w:r w:rsidRPr="00B33A7B">
        <w:rPr>
          <w:rFonts w:cs="Arial"/>
        </w:rPr>
        <w:t xml:space="preserve">Recipient </w:t>
      </w:r>
      <w:r w:rsidRPr="005D5DBA">
        <w:rPr>
          <w:color w:val="C00000"/>
        </w:rPr>
        <w:t xml:space="preserve">must share the </w:t>
      </w:r>
      <w:r w:rsidR="00EE383A" w:rsidRPr="005D5DBA">
        <w:rPr>
          <w:color w:val="C00000"/>
        </w:rPr>
        <w:t>p</w:t>
      </w:r>
      <w:r w:rsidRPr="005D5DBA">
        <w:rPr>
          <w:color w:val="C00000"/>
        </w:rPr>
        <w:t xml:space="preserve">roject's total </w:t>
      </w:r>
      <w:r w:rsidR="00835332" w:rsidRPr="005D5DBA">
        <w:rPr>
          <w:color w:val="C00000"/>
        </w:rPr>
        <w:t xml:space="preserve">developer fee </w:t>
      </w:r>
      <w:r w:rsidRPr="005D5DBA">
        <w:rPr>
          <w:color w:val="C00000"/>
        </w:rPr>
        <w:t xml:space="preserve">equally with all other members of the Joint Venture or </w:t>
      </w:r>
      <w:r w:rsidRPr="00B33A7B">
        <w:t xml:space="preserve">with all </w:t>
      </w:r>
      <w:r w:rsidRPr="005D5DBA">
        <w:rPr>
          <w:color w:val="C00000"/>
        </w:rPr>
        <w:t>co-</w:t>
      </w:r>
      <w:r w:rsidRPr="00B33A7B">
        <w:t>Recipients</w:t>
      </w:r>
      <w:r w:rsidRPr="005D5DBA">
        <w:rPr>
          <w:color w:val="C00000"/>
        </w:rPr>
        <w:t xml:space="preserve">. For example, if there are two entities, then </w:t>
      </w:r>
      <w:r w:rsidRPr="00B33A7B">
        <w:t xml:space="preserve">no less than 50 percent of the total </w:t>
      </w:r>
      <w:r w:rsidR="00835332" w:rsidRPr="005D5DBA">
        <w:rPr>
          <w:rFonts w:cs="Arial"/>
          <w:color w:val="C00000"/>
        </w:rPr>
        <w:t>developer fee</w:t>
      </w:r>
      <w:r w:rsidRPr="005D5DBA">
        <w:rPr>
          <w:rFonts w:cs="Arial"/>
          <w:color w:val="C00000"/>
        </w:rPr>
        <w:t xml:space="preserve">, </w:t>
      </w:r>
      <w:r w:rsidR="005B1469" w:rsidRPr="005D5DBA">
        <w:rPr>
          <w:rFonts w:cs="Arial"/>
          <w:color w:val="C00000"/>
        </w:rPr>
        <w:t>distributions</w:t>
      </w:r>
      <w:r w:rsidRPr="005D5DBA">
        <w:rPr>
          <w:rFonts w:cs="Arial"/>
          <w:color w:val="C00000"/>
        </w:rPr>
        <w:t xml:space="preserve">, and net sales proceeds </w:t>
      </w:r>
      <w:r w:rsidRPr="00B33A7B">
        <w:t>shall be allocated to the partner without experience</w:t>
      </w:r>
      <w:r w:rsidRPr="005D5DBA">
        <w:rPr>
          <w:rFonts w:cs="Arial"/>
          <w:color w:val="C00000"/>
        </w:rPr>
        <w:t xml:space="preserve">. </w:t>
      </w:r>
      <w:bookmarkStart w:id="12" w:name="_Hlk98339952"/>
      <w:r w:rsidRPr="005D5DBA">
        <w:rPr>
          <w:color w:val="C00000"/>
        </w:rPr>
        <w:t xml:space="preserve">These requirements will be included as a special condition in the project’s Standard Agreement </w:t>
      </w:r>
      <w:r w:rsidRPr="00B33A7B">
        <w:t>and</w:t>
      </w:r>
      <w:r w:rsidRPr="00B33A7B">
        <w:rPr>
          <w:color w:val="FF0000"/>
        </w:rPr>
        <w:t xml:space="preserve"> </w:t>
      </w:r>
      <w:r w:rsidRPr="005D5DBA">
        <w:rPr>
          <w:color w:val="C00000"/>
        </w:rPr>
        <w:t>Regulatory Agreement (or Covenant where applicable)</w:t>
      </w:r>
      <w:bookmarkEnd w:id="12"/>
      <w:r w:rsidRPr="005D5DBA">
        <w:rPr>
          <w:rFonts w:cs="Arial"/>
          <w:color w:val="C00000"/>
        </w:rPr>
        <w:t>; and</w:t>
      </w:r>
    </w:p>
    <w:p w14:paraId="01989749" w14:textId="77777777" w:rsidR="00FA657C" w:rsidRPr="005D5DBA" w:rsidRDefault="00FA657C" w:rsidP="00D77B5E">
      <w:pPr>
        <w:pStyle w:val="ListParagraph"/>
        <w:spacing w:before="80" w:line="259" w:lineRule="auto"/>
        <w:ind w:left="2894"/>
        <w:contextualSpacing/>
        <w:rPr>
          <w:color w:val="C00000"/>
        </w:rPr>
      </w:pPr>
    </w:p>
    <w:p w14:paraId="0D53F004" w14:textId="7A44DD18" w:rsidR="00904AE0" w:rsidRPr="005D5DBA" w:rsidRDefault="00904AE0" w:rsidP="00993D09">
      <w:pPr>
        <w:pStyle w:val="ListParagraph"/>
        <w:numPr>
          <w:ilvl w:val="3"/>
          <w:numId w:val="30"/>
        </w:numPr>
        <w:spacing w:before="80" w:line="259" w:lineRule="auto"/>
        <w:ind w:left="2894" w:hanging="547"/>
        <w:contextualSpacing/>
        <w:rPr>
          <w:color w:val="C00000"/>
        </w:rPr>
      </w:pPr>
      <w:r w:rsidRPr="005D5DBA">
        <w:rPr>
          <w:color w:val="C00000"/>
        </w:rPr>
        <w:t xml:space="preserve">Provide the </w:t>
      </w:r>
      <w:r w:rsidR="006E39C4" w:rsidRPr="005D5DBA">
        <w:rPr>
          <w:color w:val="C00000"/>
        </w:rPr>
        <w:t>partner without experience with an option to purchase the Rental Housing Development.</w:t>
      </w:r>
    </w:p>
    <w:p w14:paraId="682B749C" w14:textId="77777777" w:rsidR="00904AE0" w:rsidRPr="00B33A7B" w:rsidRDefault="00904AE0" w:rsidP="00904AE0">
      <w:pPr>
        <w:pStyle w:val="ListParagraph"/>
        <w:ind w:hanging="720"/>
        <w:rPr>
          <w:rFonts w:cs="Arial"/>
          <w:color w:val="FF0000"/>
        </w:rPr>
      </w:pPr>
    </w:p>
    <w:p w14:paraId="76D3C9F4" w14:textId="5B316379" w:rsidR="00A828A3" w:rsidRPr="00B33A7B" w:rsidRDefault="00547D5C" w:rsidP="00547D5C">
      <w:pPr>
        <w:pStyle w:val="ListParagraph"/>
        <w:numPr>
          <w:ilvl w:val="0"/>
          <w:numId w:val="1"/>
        </w:numPr>
        <w:ind w:left="720" w:hanging="720"/>
      </w:pPr>
      <w:r w:rsidRPr="00B33A7B">
        <w:t>Smal</w:t>
      </w:r>
      <w:r w:rsidR="00D263BA" w:rsidRPr="00B33A7B">
        <w:t>l Jurisdiction Qualifying In</w:t>
      </w:r>
      <w:r w:rsidR="005B0B55" w:rsidRPr="00B33A7B">
        <w:t>fill Project Applica</w:t>
      </w:r>
      <w:r w:rsidR="009979BF" w:rsidRPr="00B33A7B">
        <w:t>nts must, in addition to all other requirements of this section, meet the following requirements</w:t>
      </w:r>
      <w:r w:rsidR="00553FBC" w:rsidRPr="00B33A7B">
        <w:t xml:space="preserve">: </w:t>
      </w:r>
    </w:p>
    <w:p w14:paraId="1259877E" w14:textId="77777777" w:rsidR="00553FBC" w:rsidRPr="00B33A7B" w:rsidRDefault="00553FBC" w:rsidP="00904AE0">
      <w:pPr>
        <w:pStyle w:val="ListParagraph"/>
        <w:ind w:hanging="720"/>
        <w:rPr>
          <w:rFonts w:cs="Arial"/>
          <w:color w:val="FF0000"/>
        </w:rPr>
      </w:pPr>
    </w:p>
    <w:p w14:paraId="6625767C" w14:textId="7B0DF9BE" w:rsidR="00904AE0" w:rsidRPr="00B33A7B" w:rsidRDefault="777647FF" w:rsidP="007B7806">
      <w:pPr>
        <w:pStyle w:val="ListParagraph"/>
        <w:numPr>
          <w:ilvl w:val="2"/>
          <w:numId w:val="83"/>
        </w:numPr>
        <w:spacing w:line="259" w:lineRule="auto"/>
        <w:ind w:hanging="720"/>
        <w:contextualSpacing/>
        <w:rPr>
          <w:rFonts w:cs="Arial"/>
          <w:color w:val="FF0000"/>
        </w:rPr>
      </w:pPr>
      <w:r w:rsidRPr="00B33A7B">
        <w:t>Applicant</w:t>
      </w:r>
      <w:r w:rsidR="7069F7AA" w:rsidRPr="00B33A7B">
        <w:t xml:space="preserve"> </w:t>
      </w:r>
      <w:r w:rsidR="395A39BA" w:rsidRPr="00A517FB">
        <w:rPr>
          <w:rFonts w:cs="Arial"/>
          <w:color w:val="C00000"/>
        </w:rPr>
        <w:t>shall demonstrate capacity to acquire, develop, and own affordable rental housing. For purposes of this subdivision, an entity has “capacity” if it has adequate staff, capital, assets, and other resources to efficiently meet the operational needs of the Rental Housing Development; to maintain the Fiscal Integrity of the Rental Housing Development</w:t>
      </w:r>
      <w:r w:rsidR="00A81F8F" w:rsidRPr="00A517FB">
        <w:rPr>
          <w:rFonts w:cs="Arial"/>
          <w:color w:val="C00000"/>
        </w:rPr>
        <w:t xml:space="preserve"> </w:t>
      </w:r>
      <w:r w:rsidR="00A81F8F" w:rsidRPr="00B33A7B">
        <w:rPr>
          <w:rFonts w:cs="Arial"/>
        </w:rPr>
        <w:t>within a Quali</w:t>
      </w:r>
      <w:r w:rsidR="00164309" w:rsidRPr="00B33A7B">
        <w:rPr>
          <w:rFonts w:cs="Arial"/>
        </w:rPr>
        <w:t>fying Infill Project or Qualifying Infill Projects within a Qualifying Infill Area</w:t>
      </w:r>
      <w:r w:rsidR="395A39BA" w:rsidRPr="00A517FB">
        <w:rPr>
          <w:rFonts w:cs="Arial"/>
          <w:color w:val="C00000"/>
        </w:rPr>
        <w:t xml:space="preserve">; and to satisfy all legal requirements and obligations in connection with the Rental Housing Development. Evidence of capacity must be reasonably acceptable to the Department in form and substance. </w:t>
      </w:r>
      <w:r w:rsidR="395A39BA" w:rsidRPr="00B33A7B">
        <w:rPr>
          <w:rFonts w:cs="Arial"/>
        </w:rPr>
        <w:t>Applicant</w:t>
      </w:r>
      <w:r w:rsidR="395A39BA" w:rsidRPr="00B33A7B">
        <w:rPr>
          <w:rFonts w:cs="Arial"/>
          <w:color w:val="FF0000"/>
        </w:rPr>
        <w:t xml:space="preserve"> </w:t>
      </w:r>
      <w:r w:rsidR="395A39BA" w:rsidRPr="00A517FB">
        <w:rPr>
          <w:rFonts w:cs="Arial"/>
          <w:color w:val="C00000"/>
        </w:rPr>
        <w:t>shall satisfactorily demonstrate capacity at the time of its application for the funds.</w:t>
      </w:r>
    </w:p>
    <w:p w14:paraId="463F6FE1" w14:textId="77777777" w:rsidR="00904AE0" w:rsidRPr="00B33A7B" w:rsidRDefault="00904AE0" w:rsidP="00904AE0">
      <w:pPr>
        <w:pStyle w:val="ListParagraph"/>
        <w:spacing w:line="259" w:lineRule="auto"/>
        <w:contextualSpacing/>
        <w:rPr>
          <w:rFonts w:cs="Arial"/>
          <w:color w:val="FF0000"/>
        </w:rPr>
      </w:pPr>
    </w:p>
    <w:p w14:paraId="0AB3D5BF" w14:textId="7021A89C" w:rsidR="00904AE0" w:rsidRPr="00B33A7B" w:rsidRDefault="0048120C" w:rsidP="00FE58F7">
      <w:pPr>
        <w:pStyle w:val="ListParagraph"/>
        <w:numPr>
          <w:ilvl w:val="2"/>
          <w:numId w:val="83"/>
        </w:numPr>
        <w:spacing w:line="259" w:lineRule="auto"/>
        <w:ind w:hanging="720"/>
        <w:contextualSpacing/>
        <w:rPr>
          <w:rFonts w:cs="Arial"/>
          <w:color w:val="FF0000"/>
        </w:rPr>
      </w:pPr>
      <w:r w:rsidRPr="00B33A7B">
        <w:t>Recipient</w:t>
      </w:r>
      <w:r w:rsidRPr="00B33A7B">
        <w:rPr>
          <w:rFonts w:cs="Arial"/>
          <w:color w:val="FF0000"/>
        </w:rPr>
        <w:t xml:space="preserve"> </w:t>
      </w:r>
      <w:r w:rsidR="003C598F" w:rsidRPr="00A517FB">
        <w:rPr>
          <w:rFonts w:cs="Arial"/>
          <w:color w:val="C00000"/>
        </w:rPr>
        <w:t xml:space="preserve">shall maintain direct and continuing control of the Rental Housing Development </w:t>
      </w:r>
      <w:bookmarkStart w:id="13" w:name="_Hlk98340013"/>
      <w:r w:rsidR="003C598F" w:rsidRPr="00A517FB">
        <w:rPr>
          <w:color w:val="C00000"/>
        </w:rPr>
        <w:t>throughout the full term of the Department’s use restriction on the Rental Housing Development</w:t>
      </w:r>
      <w:bookmarkEnd w:id="13"/>
      <w:r w:rsidR="003C598F" w:rsidRPr="00A517FB">
        <w:rPr>
          <w:rFonts w:cs="Arial"/>
          <w:color w:val="C00000"/>
        </w:rPr>
        <w:t xml:space="preserve">. Alternatively, if the Department’s funding disbursement is structured with or through a special purpose entity, the </w:t>
      </w:r>
      <w:r w:rsidR="003C598F" w:rsidRPr="00B33A7B">
        <w:rPr>
          <w:rFonts w:cs="Arial"/>
        </w:rPr>
        <w:t>Recipients</w:t>
      </w:r>
      <w:r w:rsidR="003C598F" w:rsidRPr="00B33A7B">
        <w:rPr>
          <w:rFonts w:cs="Arial"/>
          <w:color w:val="FF0000"/>
        </w:rPr>
        <w:t xml:space="preserve"> </w:t>
      </w:r>
      <w:r w:rsidR="003C598F" w:rsidRPr="00A517FB">
        <w:rPr>
          <w:rFonts w:cs="Arial"/>
          <w:color w:val="C00000"/>
        </w:rPr>
        <w:t xml:space="preserve">shall exercise direct and continuing control over such special purpose entity in accordance with UMR Section 8313.2 and throughout the full term of the Department’s use restriction on the Rental Housing Development. </w:t>
      </w:r>
      <w:r w:rsidR="003C598F" w:rsidRPr="00B33A7B">
        <w:rPr>
          <w:rFonts w:cs="Arial"/>
        </w:rPr>
        <w:t xml:space="preserve">Each Applicant </w:t>
      </w:r>
      <w:r w:rsidR="003C598F" w:rsidRPr="00A517FB">
        <w:rPr>
          <w:rFonts w:cs="Arial"/>
          <w:color w:val="C00000"/>
        </w:rPr>
        <w:t xml:space="preserve">shall certify that it will abide by this control requirement at the time of its application for the funds </w:t>
      </w:r>
      <w:r w:rsidR="003C598F" w:rsidRPr="00A517FB">
        <w:rPr>
          <w:color w:val="C00000"/>
        </w:rPr>
        <w:t>for the full term set forth in the Standard Agreement</w:t>
      </w:r>
      <w:r w:rsidR="003C598F" w:rsidRPr="00A517FB">
        <w:rPr>
          <w:rFonts w:cs="Arial"/>
          <w:color w:val="C00000"/>
        </w:rPr>
        <w:t>.</w:t>
      </w:r>
    </w:p>
    <w:p w14:paraId="5391C0CE" w14:textId="75C9867E" w:rsidR="00904AE0" w:rsidRDefault="00904AE0" w:rsidP="00FC0865">
      <w:pPr>
        <w:tabs>
          <w:tab w:val="left" w:pos="450"/>
        </w:tabs>
        <w:ind w:left="360" w:hanging="360"/>
        <w:rPr>
          <w:rFonts w:cs="Arial"/>
        </w:rPr>
      </w:pPr>
    </w:p>
    <w:p w14:paraId="1C49F3A8" w14:textId="77777777" w:rsidR="00F439B8" w:rsidRPr="00B33A7B" w:rsidRDefault="00F439B8" w:rsidP="00FC0865">
      <w:pPr>
        <w:tabs>
          <w:tab w:val="left" w:pos="450"/>
        </w:tabs>
        <w:ind w:left="360" w:hanging="360"/>
        <w:rPr>
          <w:rFonts w:cs="Arial"/>
        </w:rPr>
      </w:pPr>
    </w:p>
    <w:p w14:paraId="6BCE86F9" w14:textId="2681CE1B" w:rsidR="00F91E51" w:rsidRPr="00B33A7B" w:rsidRDefault="00F91E51" w:rsidP="008A4F06">
      <w:pPr>
        <w:pStyle w:val="Style2"/>
        <w:outlineLvl w:val="1"/>
        <w:rPr>
          <w:color w:val="auto"/>
        </w:rPr>
      </w:pPr>
      <w:bookmarkStart w:id="14" w:name="_Toc106173286"/>
      <w:r w:rsidRPr="00B33A7B">
        <w:rPr>
          <w:color w:val="auto"/>
        </w:rPr>
        <w:lastRenderedPageBreak/>
        <w:t>Section 202. Threshold Requirements</w:t>
      </w:r>
      <w:r w:rsidR="00716704" w:rsidRPr="00B33A7B">
        <w:rPr>
          <w:color w:val="auto"/>
        </w:rPr>
        <w:t>.</w:t>
      </w:r>
      <w:bookmarkEnd w:id="14"/>
    </w:p>
    <w:p w14:paraId="6D1CFFEE" w14:textId="77777777" w:rsidR="00F91E51" w:rsidRPr="00B33A7B" w:rsidRDefault="00F91E51" w:rsidP="00F91E51">
      <w:pPr>
        <w:rPr>
          <w:rFonts w:cs="Arial"/>
        </w:rPr>
      </w:pPr>
    </w:p>
    <w:p w14:paraId="52E099AF" w14:textId="31D3EECC" w:rsidR="0079612B" w:rsidRPr="00A517FB" w:rsidRDefault="008715C0" w:rsidP="0079612B">
      <w:pPr>
        <w:pStyle w:val="BodyText"/>
        <w:spacing w:after="0"/>
        <w:rPr>
          <w:rFonts w:cs="Arial"/>
          <w:color w:val="C00000"/>
        </w:rPr>
      </w:pPr>
      <w:r w:rsidRPr="00A517FB">
        <w:rPr>
          <w:rFonts w:cs="Arial"/>
          <w:color w:val="C00000"/>
        </w:rPr>
        <w:t>Project</w:t>
      </w:r>
      <w:r w:rsidR="0079612B" w:rsidRPr="00A517FB">
        <w:rPr>
          <w:rFonts w:cs="Arial"/>
          <w:color w:val="C00000"/>
        </w:rPr>
        <w:t xml:space="preserve">s shall be eligible for an </w:t>
      </w:r>
      <w:r w:rsidR="00F23BE3" w:rsidRPr="00A517FB">
        <w:rPr>
          <w:rFonts w:cs="Arial"/>
          <w:color w:val="C00000"/>
        </w:rPr>
        <w:t>A</w:t>
      </w:r>
      <w:r w:rsidR="0079612B" w:rsidRPr="00A517FB">
        <w:rPr>
          <w:rFonts w:cs="Arial"/>
          <w:color w:val="C00000"/>
        </w:rPr>
        <w:t xml:space="preserve">ward of funds </w:t>
      </w:r>
      <w:r w:rsidRPr="00A517FB">
        <w:rPr>
          <w:rFonts w:cs="Arial"/>
          <w:color w:val="C00000"/>
        </w:rPr>
        <w:t xml:space="preserve">if </w:t>
      </w:r>
      <w:r w:rsidR="0079612B" w:rsidRPr="00A517FB">
        <w:rPr>
          <w:rFonts w:cs="Arial"/>
          <w:color w:val="C00000"/>
        </w:rPr>
        <w:t>the application demonstrates that all the following threshold</w:t>
      </w:r>
      <w:r w:rsidR="0079612B" w:rsidRPr="00A517FB">
        <w:rPr>
          <w:rFonts w:cs="Arial"/>
          <w:color w:val="C00000"/>
          <w:spacing w:val="1"/>
        </w:rPr>
        <w:t xml:space="preserve"> </w:t>
      </w:r>
      <w:r w:rsidR="0079612B" w:rsidRPr="00A517FB">
        <w:rPr>
          <w:rFonts w:cs="Arial"/>
          <w:color w:val="C00000"/>
        </w:rPr>
        <w:t>requirements have</w:t>
      </w:r>
      <w:r w:rsidR="0079612B" w:rsidRPr="00A517FB">
        <w:rPr>
          <w:rFonts w:cs="Arial"/>
          <w:color w:val="C00000"/>
          <w:spacing w:val="-2"/>
        </w:rPr>
        <w:t xml:space="preserve"> </w:t>
      </w:r>
      <w:r w:rsidR="0079612B" w:rsidRPr="00A517FB">
        <w:rPr>
          <w:rFonts w:cs="Arial"/>
          <w:color w:val="C00000"/>
        </w:rPr>
        <w:t>been</w:t>
      </w:r>
      <w:r w:rsidR="0079612B" w:rsidRPr="00A517FB">
        <w:rPr>
          <w:rFonts w:cs="Arial"/>
          <w:color w:val="C00000"/>
          <w:spacing w:val="-1"/>
        </w:rPr>
        <w:t xml:space="preserve"> </w:t>
      </w:r>
      <w:r w:rsidR="0079612B" w:rsidRPr="00A517FB">
        <w:rPr>
          <w:rFonts w:cs="Arial"/>
          <w:color w:val="C00000"/>
        </w:rPr>
        <w:t>met:</w:t>
      </w:r>
    </w:p>
    <w:p w14:paraId="0D74A545" w14:textId="77777777" w:rsidR="0079612B" w:rsidRPr="00A517FB" w:rsidRDefault="0079612B" w:rsidP="0079612B">
      <w:pPr>
        <w:pStyle w:val="BodyText"/>
        <w:spacing w:after="0"/>
        <w:ind w:hanging="720"/>
        <w:rPr>
          <w:rFonts w:cs="Arial"/>
          <w:color w:val="C00000"/>
        </w:rPr>
      </w:pPr>
    </w:p>
    <w:p w14:paraId="79E02D27" w14:textId="06E4C481" w:rsidR="0079612B" w:rsidRPr="00030EFA" w:rsidRDefault="0079612B" w:rsidP="00C94852">
      <w:pPr>
        <w:pStyle w:val="ListParagraph"/>
        <w:widowControl w:val="0"/>
        <w:numPr>
          <w:ilvl w:val="0"/>
          <w:numId w:val="34"/>
        </w:numPr>
        <w:autoSpaceDE w:val="0"/>
        <w:autoSpaceDN w:val="0"/>
        <w:ind w:hanging="630"/>
        <w:rPr>
          <w:rFonts w:cs="Arial"/>
          <w:color w:val="C00000"/>
        </w:rPr>
      </w:pPr>
      <w:r w:rsidRPr="00A517FB">
        <w:rPr>
          <w:rFonts w:cs="Arial"/>
          <w:color w:val="C00000"/>
        </w:rPr>
        <w:t>The</w:t>
      </w:r>
      <w:r w:rsidRPr="00A517FB">
        <w:rPr>
          <w:rFonts w:cs="Arial"/>
          <w:color w:val="C00000"/>
          <w:spacing w:val="-4"/>
        </w:rPr>
        <w:t xml:space="preserve"> </w:t>
      </w:r>
      <w:r w:rsidRPr="00A517FB">
        <w:rPr>
          <w:rFonts w:cs="Arial"/>
          <w:color w:val="C00000"/>
        </w:rPr>
        <w:t>application</w:t>
      </w:r>
      <w:r w:rsidRPr="00A517FB">
        <w:rPr>
          <w:rFonts w:cs="Arial"/>
          <w:color w:val="C00000"/>
          <w:spacing w:val="-3"/>
        </w:rPr>
        <w:t xml:space="preserve"> </w:t>
      </w:r>
      <w:r w:rsidRPr="00A517FB">
        <w:rPr>
          <w:rFonts w:cs="Arial"/>
          <w:color w:val="C00000"/>
        </w:rPr>
        <w:t>involves</w:t>
      </w:r>
      <w:r w:rsidRPr="00A517FB">
        <w:rPr>
          <w:rFonts w:cs="Arial"/>
          <w:color w:val="C00000"/>
          <w:spacing w:val="-4"/>
        </w:rPr>
        <w:t xml:space="preserve"> </w:t>
      </w:r>
      <w:r w:rsidRPr="00A517FB">
        <w:rPr>
          <w:rFonts w:cs="Arial"/>
          <w:color w:val="C00000"/>
        </w:rPr>
        <w:t>an</w:t>
      </w:r>
      <w:r w:rsidRPr="00A517FB">
        <w:rPr>
          <w:rFonts w:cs="Arial"/>
          <w:color w:val="C00000"/>
          <w:spacing w:val="-4"/>
        </w:rPr>
        <w:t xml:space="preserve"> </w:t>
      </w:r>
      <w:r w:rsidR="00E46285" w:rsidRPr="00B33A7B">
        <w:rPr>
          <w:rFonts w:cs="Arial"/>
        </w:rPr>
        <w:t>e</w:t>
      </w:r>
      <w:r w:rsidRPr="00B33A7B">
        <w:rPr>
          <w:rFonts w:cs="Arial"/>
        </w:rPr>
        <w:t>ligible</w:t>
      </w:r>
      <w:r w:rsidRPr="00B33A7B">
        <w:rPr>
          <w:rFonts w:cs="Arial"/>
          <w:spacing w:val="-3"/>
        </w:rPr>
        <w:t xml:space="preserve"> Capital Improvement </w:t>
      </w:r>
      <w:r w:rsidRPr="00B33A7B">
        <w:rPr>
          <w:rFonts w:cs="Arial"/>
        </w:rPr>
        <w:t>Project</w:t>
      </w:r>
      <w:r w:rsidRPr="00B33A7B">
        <w:rPr>
          <w:rFonts w:cs="Arial"/>
          <w:spacing w:val="-3"/>
        </w:rPr>
        <w:t xml:space="preserve"> </w:t>
      </w:r>
      <w:r w:rsidRPr="00030EFA">
        <w:rPr>
          <w:rFonts w:cs="Arial"/>
          <w:color w:val="C00000"/>
        </w:rPr>
        <w:t>pursuant</w:t>
      </w:r>
      <w:r w:rsidRPr="00030EFA">
        <w:rPr>
          <w:rFonts w:cs="Arial"/>
          <w:color w:val="C00000"/>
          <w:spacing w:val="-5"/>
        </w:rPr>
        <w:t xml:space="preserve"> </w:t>
      </w:r>
      <w:r w:rsidRPr="00030EFA">
        <w:rPr>
          <w:rFonts w:cs="Arial"/>
          <w:color w:val="C00000"/>
        </w:rPr>
        <w:t>to</w:t>
      </w:r>
      <w:r w:rsidRPr="00030EFA">
        <w:rPr>
          <w:rFonts w:cs="Arial"/>
          <w:color w:val="C00000"/>
          <w:spacing w:val="-3"/>
        </w:rPr>
        <w:t xml:space="preserve"> </w:t>
      </w:r>
      <w:r w:rsidR="00D31AFE" w:rsidRPr="00030EFA">
        <w:rPr>
          <w:rFonts w:cs="Arial"/>
          <w:color w:val="C00000"/>
          <w:spacing w:val="-3"/>
        </w:rPr>
        <w:t>S</w:t>
      </w:r>
      <w:r w:rsidRPr="00030EFA">
        <w:rPr>
          <w:rFonts w:cs="Arial"/>
          <w:color w:val="C00000"/>
        </w:rPr>
        <w:t>ection</w:t>
      </w:r>
      <w:r w:rsidRPr="00030EFA">
        <w:rPr>
          <w:rFonts w:cs="Arial"/>
          <w:color w:val="C00000"/>
          <w:spacing w:val="-3"/>
        </w:rPr>
        <w:t xml:space="preserve"> </w:t>
      </w:r>
      <w:r w:rsidRPr="00030EFA">
        <w:rPr>
          <w:rFonts w:cs="Arial"/>
          <w:color w:val="C00000"/>
        </w:rPr>
        <w:t>200;</w:t>
      </w:r>
    </w:p>
    <w:p w14:paraId="440BF0E2" w14:textId="77777777" w:rsidR="00D31AFE" w:rsidRPr="00030EFA" w:rsidRDefault="00D31AFE" w:rsidP="00D31AFE">
      <w:pPr>
        <w:pStyle w:val="ListParagraph"/>
        <w:widowControl w:val="0"/>
        <w:tabs>
          <w:tab w:val="left" w:pos="911"/>
          <w:tab w:val="left" w:pos="912"/>
        </w:tabs>
        <w:autoSpaceDE w:val="0"/>
        <w:autoSpaceDN w:val="0"/>
        <w:ind w:left="810"/>
        <w:rPr>
          <w:rFonts w:cs="Arial"/>
          <w:color w:val="C00000"/>
        </w:rPr>
      </w:pPr>
    </w:p>
    <w:p w14:paraId="3591EF29" w14:textId="3F1D1901" w:rsidR="00D31AFE" w:rsidRPr="00030EFA" w:rsidRDefault="00D31AFE" w:rsidP="00C94852">
      <w:pPr>
        <w:pStyle w:val="ListParagraph"/>
        <w:widowControl w:val="0"/>
        <w:numPr>
          <w:ilvl w:val="0"/>
          <w:numId w:val="34"/>
        </w:numPr>
        <w:autoSpaceDE w:val="0"/>
        <w:autoSpaceDN w:val="0"/>
        <w:ind w:hanging="630"/>
        <w:rPr>
          <w:rFonts w:cs="Arial"/>
          <w:color w:val="C00000"/>
        </w:rPr>
      </w:pPr>
      <w:r w:rsidRPr="00030EFA">
        <w:rPr>
          <w:rFonts w:cs="Arial"/>
          <w:color w:val="C00000"/>
        </w:rPr>
        <w:t>The</w:t>
      </w:r>
      <w:r w:rsidRPr="00030EFA">
        <w:rPr>
          <w:rFonts w:cs="Arial"/>
          <w:color w:val="C00000"/>
          <w:spacing w:val="-2"/>
        </w:rPr>
        <w:t xml:space="preserve"> </w:t>
      </w:r>
      <w:r w:rsidRPr="00030EFA">
        <w:rPr>
          <w:rFonts w:cs="Arial"/>
          <w:color w:val="C00000"/>
        </w:rPr>
        <w:t>Applicant</w:t>
      </w:r>
      <w:r w:rsidRPr="00030EFA">
        <w:rPr>
          <w:rFonts w:cs="Arial"/>
          <w:color w:val="C00000"/>
          <w:spacing w:val="-5"/>
        </w:rPr>
        <w:t xml:space="preserve"> </w:t>
      </w:r>
      <w:r w:rsidRPr="00030EFA">
        <w:rPr>
          <w:rFonts w:cs="Arial"/>
          <w:color w:val="C00000"/>
        </w:rPr>
        <w:t>is</w:t>
      </w:r>
      <w:r w:rsidRPr="00030EFA">
        <w:rPr>
          <w:rFonts w:cs="Arial"/>
          <w:color w:val="C00000"/>
          <w:spacing w:val="-3"/>
        </w:rPr>
        <w:t xml:space="preserve"> </w:t>
      </w:r>
      <w:r w:rsidRPr="00030EFA">
        <w:rPr>
          <w:rFonts w:cs="Arial"/>
          <w:color w:val="C00000"/>
        </w:rPr>
        <w:t>an</w:t>
      </w:r>
      <w:r w:rsidRPr="00030EFA">
        <w:rPr>
          <w:rFonts w:cs="Arial"/>
          <w:color w:val="C00000"/>
          <w:spacing w:val="-4"/>
        </w:rPr>
        <w:t xml:space="preserve"> </w:t>
      </w:r>
      <w:r w:rsidRPr="00B33A7B">
        <w:rPr>
          <w:rFonts w:cs="Arial"/>
        </w:rPr>
        <w:t>Eligible</w:t>
      </w:r>
      <w:r w:rsidRPr="00B33A7B">
        <w:rPr>
          <w:rFonts w:cs="Arial"/>
          <w:spacing w:val="-2"/>
        </w:rPr>
        <w:t xml:space="preserve"> </w:t>
      </w:r>
      <w:r w:rsidRPr="00B33A7B">
        <w:rPr>
          <w:rFonts w:cs="Arial"/>
          <w:spacing w:val="-4"/>
        </w:rPr>
        <w:t xml:space="preserve">Applicant </w:t>
      </w:r>
      <w:r w:rsidRPr="00030EFA">
        <w:rPr>
          <w:rFonts w:cs="Arial"/>
          <w:color w:val="C00000"/>
        </w:rPr>
        <w:t>pursuant</w:t>
      </w:r>
      <w:r w:rsidRPr="00030EFA">
        <w:rPr>
          <w:rFonts w:cs="Arial"/>
          <w:color w:val="C00000"/>
          <w:spacing w:val="-2"/>
        </w:rPr>
        <w:t xml:space="preserve"> </w:t>
      </w:r>
      <w:r w:rsidRPr="00030EFA">
        <w:rPr>
          <w:rFonts w:cs="Arial"/>
          <w:color w:val="C00000"/>
        </w:rPr>
        <w:t>to</w:t>
      </w:r>
      <w:r w:rsidRPr="00030EFA">
        <w:rPr>
          <w:rFonts w:cs="Arial"/>
          <w:color w:val="C00000"/>
          <w:spacing w:val="-4"/>
        </w:rPr>
        <w:t xml:space="preserve"> </w:t>
      </w:r>
      <w:r w:rsidR="0003427E" w:rsidRPr="00030EFA">
        <w:rPr>
          <w:rFonts w:cs="Arial"/>
          <w:color w:val="C00000"/>
        </w:rPr>
        <w:t>S</w:t>
      </w:r>
      <w:r w:rsidRPr="00030EFA">
        <w:rPr>
          <w:rFonts w:cs="Arial"/>
          <w:color w:val="C00000"/>
        </w:rPr>
        <w:t>ection</w:t>
      </w:r>
      <w:r w:rsidRPr="00030EFA">
        <w:rPr>
          <w:rFonts w:cs="Arial"/>
          <w:color w:val="C00000"/>
          <w:spacing w:val="-2"/>
        </w:rPr>
        <w:t xml:space="preserve"> </w:t>
      </w:r>
      <w:r w:rsidRPr="00030EFA">
        <w:rPr>
          <w:rFonts w:cs="Arial"/>
          <w:color w:val="C00000"/>
        </w:rPr>
        <w:t>201;</w:t>
      </w:r>
    </w:p>
    <w:p w14:paraId="28311DBE" w14:textId="77777777" w:rsidR="0079612B" w:rsidRPr="00030EFA" w:rsidRDefault="0079612B" w:rsidP="0079612B">
      <w:pPr>
        <w:pStyle w:val="BodyText"/>
        <w:spacing w:after="0"/>
        <w:ind w:left="810" w:hanging="720"/>
        <w:rPr>
          <w:rFonts w:cs="Arial"/>
          <w:color w:val="C00000"/>
        </w:rPr>
      </w:pPr>
    </w:p>
    <w:p w14:paraId="7F4EBD23" w14:textId="0A4AF929" w:rsidR="0079612B" w:rsidRPr="00030EFA" w:rsidRDefault="0079612B" w:rsidP="00C94852">
      <w:pPr>
        <w:pStyle w:val="ListParagraph"/>
        <w:widowControl w:val="0"/>
        <w:numPr>
          <w:ilvl w:val="0"/>
          <w:numId w:val="34"/>
        </w:numPr>
        <w:autoSpaceDE w:val="0"/>
        <w:autoSpaceDN w:val="0"/>
        <w:ind w:hanging="630"/>
        <w:rPr>
          <w:rFonts w:cs="Arial"/>
          <w:color w:val="C00000"/>
        </w:rPr>
      </w:pPr>
      <w:r w:rsidRPr="00030EFA">
        <w:rPr>
          <w:rFonts w:cs="Arial"/>
          <w:color w:val="C00000"/>
        </w:rPr>
        <w:t>All</w:t>
      </w:r>
      <w:r w:rsidRPr="00030EFA">
        <w:rPr>
          <w:rFonts w:cs="Arial"/>
          <w:color w:val="C00000"/>
          <w:spacing w:val="-3"/>
        </w:rPr>
        <w:t xml:space="preserve"> </w:t>
      </w:r>
      <w:r w:rsidRPr="00030EFA">
        <w:rPr>
          <w:rFonts w:cs="Arial"/>
          <w:color w:val="C00000"/>
        </w:rPr>
        <w:t>proposed</w:t>
      </w:r>
      <w:r w:rsidRPr="00030EFA">
        <w:rPr>
          <w:rFonts w:cs="Arial"/>
          <w:color w:val="C00000"/>
          <w:spacing w:val="-3"/>
        </w:rPr>
        <w:t xml:space="preserve"> </w:t>
      </w:r>
      <w:r w:rsidRPr="00030EFA">
        <w:rPr>
          <w:rFonts w:cs="Arial"/>
          <w:color w:val="C00000"/>
        </w:rPr>
        <w:t>uses</w:t>
      </w:r>
      <w:r w:rsidRPr="00030EFA">
        <w:rPr>
          <w:rFonts w:cs="Arial"/>
          <w:color w:val="C00000"/>
          <w:spacing w:val="-4"/>
        </w:rPr>
        <w:t xml:space="preserve"> </w:t>
      </w:r>
      <w:r w:rsidRPr="00030EFA">
        <w:rPr>
          <w:rFonts w:cs="Arial"/>
          <w:color w:val="C00000"/>
        </w:rPr>
        <w:t>of</w:t>
      </w:r>
      <w:r w:rsidRPr="00030EFA">
        <w:rPr>
          <w:rFonts w:cs="Arial"/>
          <w:color w:val="C00000"/>
          <w:spacing w:val="-3"/>
        </w:rPr>
        <w:t xml:space="preserve"> </w:t>
      </w:r>
      <w:r w:rsidRPr="00030EFA">
        <w:rPr>
          <w:rFonts w:cs="Arial"/>
          <w:color w:val="C00000"/>
        </w:rPr>
        <w:t>Program</w:t>
      </w:r>
      <w:r w:rsidRPr="00030EFA">
        <w:rPr>
          <w:rFonts w:cs="Arial"/>
          <w:color w:val="C00000"/>
          <w:spacing w:val="-3"/>
        </w:rPr>
        <w:t xml:space="preserve"> </w:t>
      </w:r>
      <w:r w:rsidRPr="00030EFA">
        <w:rPr>
          <w:rFonts w:cs="Arial"/>
          <w:color w:val="C00000"/>
        </w:rPr>
        <w:t>funds</w:t>
      </w:r>
      <w:r w:rsidRPr="00030EFA">
        <w:rPr>
          <w:rFonts w:cs="Arial"/>
          <w:color w:val="C00000"/>
          <w:spacing w:val="-2"/>
        </w:rPr>
        <w:t xml:space="preserve"> </w:t>
      </w:r>
      <w:r w:rsidRPr="00030EFA">
        <w:rPr>
          <w:rFonts w:cs="Arial"/>
          <w:color w:val="C00000"/>
        </w:rPr>
        <w:t>are</w:t>
      </w:r>
      <w:r w:rsidRPr="00030EFA">
        <w:rPr>
          <w:rFonts w:cs="Arial"/>
          <w:color w:val="C00000"/>
          <w:spacing w:val="-4"/>
        </w:rPr>
        <w:t xml:space="preserve"> </w:t>
      </w:r>
      <w:r w:rsidRPr="00030EFA">
        <w:rPr>
          <w:rFonts w:cs="Arial"/>
          <w:color w:val="C00000"/>
        </w:rPr>
        <w:t>eligible</w:t>
      </w:r>
      <w:r w:rsidRPr="00030EFA">
        <w:rPr>
          <w:rFonts w:cs="Arial"/>
          <w:color w:val="C00000"/>
          <w:spacing w:val="-1"/>
        </w:rPr>
        <w:t xml:space="preserve"> </w:t>
      </w:r>
      <w:r w:rsidRPr="00030EFA">
        <w:rPr>
          <w:rFonts w:cs="Arial"/>
          <w:color w:val="C00000"/>
        </w:rPr>
        <w:t>pursuant</w:t>
      </w:r>
      <w:r w:rsidRPr="00030EFA">
        <w:rPr>
          <w:rFonts w:cs="Arial"/>
          <w:color w:val="C00000"/>
          <w:spacing w:val="-4"/>
        </w:rPr>
        <w:t xml:space="preserve"> </w:t>
      </w:r>
      <w:r w:rsidRPr="00030EFA">
        <w:rPr>
          <w:rFonts w:cs="Arial"/>
          <w:color w:val="C00000"/>
        </w:rPr>
        <w:t>to</w:t>
      </w:r>
      <w:r w:rsidRPr="00030EFA">
        <w:rPr>
          <w:rFonts w:cs="Arial"/>
          <w:color w:val="C00000"/>
          <w:spacing w:val="-3"/>
        </w:rPr>
        <w:t xml:space="preserve"> </w:t>
      </w:r>
      <w:r w:rsidR="0003427E" w:rsidRPr="00030EFA">
        <w:rPr>
          <w:rFonts w:cs="Arial"/>
          <w:color w:val="C00000"/>
          <w:spacing w:val="-3"/>
        </w:rPr>
        <w:t>S</w:t>
      </w:r>
      <w:r w:rsidRPr="00030EFA">
        <w:rPr>
          <w:rFonts w:cs="Arial"/>
          <w:color w:val="C00000"/>
        </w:rPr>
        <w:t>ection</w:t>
      </w:r>
      <w:r w:rsidRPr="00030EFA">
        <w:rPr>
          <w:rFonts w:cs="Arial"/>
          <w:color w:val="C00000"/>
          <w:spacing w:val="-4"/>
        </w:rPr>
        <w:t xml:space="preserve"> </w:t>
      </w:r>
      <w:r w:rsidRPr="00030EFA">
        <w:rPr>
          <w:rFonts w:cs="Arial"/>
          <w:color w:val="C00000"/>
        </w:rPr>
        <w:t>203;</w:t>
      </w:r>
    </w:p>
    <w:p w14:paraId="0ABAF3FC" w14:textId="77777777" w:rsidR="0079612B" w:rsidRPr="00030EFA" w:rsidRDefault="0079612B" w:rsidP="0079612B">
      <w:pPr>
        <w:pStyle w:val="BodyText"/>
        <w:spacing w:after="0"/>
        <w:ind w:left="810" w:hanging="720"/>
        <w:rPr>
          <w:rFonts w:cs="Arial"/>
          <w:color w:val="C00000"/>
        </w:rPr>
      </w:pPr>
    </w:p>
    <w:p w14:paraId="412EBF39" w14:textId="530B0ED8" w:rsidR="0079612B" w:rsidRPr="00030EFA" w:rsidRDefault="0079612B" w:rsidP="00C94852">
      <w:pPr>
        <w:pStyle w:val="ListParagraph"/>
        <w:widowControl w:val="0"/>
        <w:numPr>
          <w:ilvl w:val="0"/>
          <w:numId w:val="34"/>
        </w:numPr>
        <w:autoSpaceDE w:val="0"/>
        <w:autoSpaceDN w:val="0"/>
        <w:ind w:hanging="630"/>
        <w:rPr>
          <w:rFonts w:cs="Arial"/>
          <w:color w:val="C00000"/>
        </w:rPr>
      </w:pPr>
      <w:r w:rsidRPr="00030EFA">
        <w:rPr>
          <w:rFonts w:cs="Arial"/>
          <w:color w:val="C00000"/>
        </w:rPr>
        <w:t>The</w:t>
      </w:r>
      <w:r w:rsidRPr="00030EFA">
        <w:rPr>
          <w:rFonts w:cs="Arial"/>
          <w:color w:val="C00000"/>
          <w:spacing w:val="-3"/>
        </w:rPr>
        <w:t xml:space="preserve"> </w:t>
      </w:r>
      <w:r w:rsidRPr="00030EFA">
        <w:rPr>
          <w:rFonts w:cs="Arial"/>
          <w:color w:val="C00000"/>
        </w:rPr>
        <w:t>application</w:t>
      </w:r>
      <w:r w:rsidRPr="00030EFA">
        <w:rPr>
          <w:rFonts w:cs="Arial"/>
          <w:color w:val="C00000"/>
          <w:spacing w:val="-2"/>
        </w:rPr>
        <w:t xml:space="preserve"> </w:t>
      </w:r>
      <w:r w:rsidRPr="00030EFA">
        <w:rPr>
          <w:rFonts w:cs="Arial"/>
          <w:color w:val="C00000"/>
        </w:rPr>
        <w:t>is</w:t>
      </w:r>
      <w:r w:rsidRPr="00030EFA">
        <w:rPr>
          <w:rFonts w:cs="Arial"/>
          <w:color w:val="C00000"/>
          <w:spacing w:val="-3"/>
        </w:rPr>
        <w:t xml:space="preserve"> </w:t>
      </w:r>
      <w:r w:rsidRPr="00030EFA">
        <w:rPr>
          <w:rFonts w:cs="Arial"/>
          <w:color w:val="C00000"/>
        </w:rPr>
        <w:t>complete</w:t>
      </w:r>
      <w:r w:rsidRPr="00030EFA">
        <w:rPr>
          <w:rFonts w:cs="Arial"/>
          <w:color w:val="C00000"/>
          <w:spacing w:val="-4"/>
        </w:rPr>
        <w:t xml:space="preserve"> </w:t>
      </w:r>
      <w:r w:rsidRPr="00030EFA">
        <w:rPr>
          <w:rFonts w:cs="Arial"/>
          <w:color w:val="C00000"/>
        </w:rPr>
        <w:t>pursuant</w:t>
      </w:r>
      <w:r w:rsidRPr="00030EFA">
        <w:rPr>
          <w:rFonts w:cs="Arial"/>
          <w:color w:val="C00000"/>
          <w:spacing w:val="-5"/>
        </w:rPr>
        <w:t xml:space="preserve"> </w:t>
      </w:r>
      <w:r w:rsidRPr="00030EFA">
        <w:rPr>
          <w:rFonts w:cs="Arial"/>
          <w:color w:val="C00000"/>
        </w:rPr>
        <w:t>to</w:t>
      </w:r>
      <w:r w:rsidRPr="00030EFA">
        <w:rPr>
          <w:rFonts w:cs="Arial"/>
          <w:color w:val="C00000"/>
          <w:spacing w:val="-2"/>
        </w:rPr>
        <w:t xml:space="preserve"> </w:t>
      </w:r>
      <w:r w:rsidR="0003427E" w:rsidRPr="00030EFA">
        <w:rPr>
          <w:rFonts w:cs="Arial"/>
          <w:color w:val="C00000"/>
        </w:rPr>
        <w:t>S</w:t>
      </w:r>
      <w:r w:rsidRPr="00030EFA">
        <w:rPr>
          <w:rFonts w:cs="Arial"/>
          <w:color w:val="C00000"/>
        </w:rPr>
        <w:t>ections</w:t>
      </w:r>
      <w:r w:rsidRPr="00030EFA">
        <w:rPr>
          <w:rFonts w:cs="Arial"/>
          <w:color w:val="C00000"/>
          <w:spacing w:val="-2"/>
        </w:rPr>
        <w:t xml:space="preserve"> </w:t>
      </w:r>
      <w:r w:rsidRPr="00030EFA">
        <w:rPr>
          <w:rFonts w:cs="Arial"/>
          <w:color w:val="C00000"/>
        </w:rPr>
        <w:t>400 and 401;</w:t>
      </w:r>
    </w:p>
    <w:p w14:paraId="396ABBC8" w14:textId="77777777" w:rsidR="0079612B" w:rsidRPr="00B33A7B" w:rsidRDefault="0079612B" w:rsidP="0079612B">
      <w:pPr>
        <w:pStyle w:val="ListParagraph"/>
        <w:ind w:hanging="720"/>
        <w:rPr>
          <w:rFonts w:cs="Arial"/>
        </w:rPr>
      </w:pPr>
    </w:p>
    <w:p w14:paraId="4EB2CBD6" w14:textId="523F58F9" w:rsidR="0079612B" w:rsidRPr="00B33A7B" w:rsidRDefault="00A87786" w:rsidP="00C94852">
      <w:pPr>
        <w:pStyle w:val="ListParagraph"/>
        <w:widowControl w:val="0"/>
        <w:numPr>
          <w:ilvl w:val="0"/>
          <w:numId w:val="34"/>
        </w:numPr>
        <w:autoSpaceDE w:val="0"/>
        <w:autoSpaceDN w:val="0"/>
        <w:ind w:hanging="630"/>
        <w:rPr>
          <w:rFonts w:cs="Arial"/>
          <w:color w:val="FF0000"/>
        </w:rPr>
      </w:pPr>
      <w:r w:rsidRPr="00B33A7B">
        <w:rPr>
          <w:rFonts w:cs="Arial"/>
        </w:rPr>
        <w:t xml:space="preserve">Large Jurisdiction Qualifying Infill Areas must </w:t>
      </w:r>
      <w:r w:rsidRPr="00030EFA">
        <w:rPr>
          <w:rFonts w:cs="Arial"/>
          <w:color w:val="C00000"/>
        </w:rPr>
        <w:t>a</w:t>
      </w:r>
      <w:r w:rsidR="4974DFED" w:rsidRPr="00030EFA">
        <w:rPr>
          <w:rFonts w:cs="Arial"/>
          <w:color w:val="C00000"/>
        </w:rPr>
        <w:t xml:space="preserve">chieve a minimum point score </w:t>
      </w:r>
      <w:r w:rsidR="3ADF0714" w:rsidRPr="00030EFA">
        <w:rPr>
          <w:rFonts w:cs="Arial"/>
          <w:color w:val="C00000"/>
        </w:rPr>
        <w:t xml:space="preserve">for </w:t>
      </w:r>
      <w:r w:rsidR="1BE89DDF" w:rsidRPr="00030EFA">
        <w:rPr>
          <w:rFonts w:cs="Arial"/>
          <w:color w:val="C00000"/>
        </w:rPr>
        <w:t>S</w:t>
      </w:r>
      <w:r w:rsidR="4974DFED" w:rsidRPr="00030EFA">
        <w:rPr>
          <w:rFonts w:cs="Arial"/>
          <w:color w:val="C00000"/>
        </w:rPr>
        <w:t xml:space="preserve">coring </w:t>
      </w:r>
      <w:r w:rsidR="589096A7" w:rsidRPr="00030EFA">
        <w:rPr>
          <w:rFonts w:cs="Arial"/>
          <w:color w:val="C00000"/>
        </w:rPr>
        <w:t>C</w:t>
      </w:r>
      <w:r w:rsidR="4974DFED" w:rsidRPr="00030EFA">
        <w:rPr>
          <w:rFonts w:cs="Arial"/>
          <w:color w:val="C00000"/>
        </w:rPr>
        <w:t xml:space="preserve">riteria as </w:t>
      </w:r>
      <w:r w:rsidR="1BE89DDF" w:rsidRPr="00030EFA">
        <w:rPr>
          <w:rFonts w:cs="Arial"/>
          <w:color w:val="C00000"/>
        </w:rPr>
        <w:t xml:space="preserve">set </w:t>
      </w:r>
      <w:r w:rsidR="0956CE53" w:rsidRPr="00030EFA">
        <w:rPr>
          <w:rFonts w:cs="Arial"/>
          <w:color w:val="C00000"/>
        </w:rPr>
        <w:t xml:space="preserve">forth </w:t>
      </w:r>
      <w:r w:rsidR="4974DFED" w:rsidRPr="00030EFA">
        <w:rPr>
          <w:rFonts w:cs="Arial"/>
          <w:color w:val="C00000"/>
        </w:rPr>
        <w:t xml:space="preserve">in </w:t>
      </w:r>
      <w:r w:rsidR="3ADF0714" w:rsidRPr="00030EFA">
        <w:rPr>
          <w:rFonts w:cs="Arial"/>
          <w:color w:val="C00000"/>
        </w:rPr>
        <w:t>the NOFA</w:t>
      </w:r>
      <w:r w:rsidR="4974DFED" w:rsidRPr="00030EFA">
        <w:rPr>
          <w:rFonts w:cs="Arial"/>
          <w:color w:val="C00000"/>
        </w:rPr>
        <w:t xml:space="preserve">.  </w:t>
      </w:r>
    </w:p>
    <w:p w14:paraId="3C42A4F6" w14:textId="77777777" w:rsidR="0079612B" w:rsidRPr="00030EFA" w:rsidRDefault="0079612B" w:rsidP="0079612B">
      <w:pPr>
        <w:pStyle w:val="ListParagraph"/>
        <w:widowControl w:val="0"/>
        <w:tabs>
          <w:tab w:val="left" w:pos="911"/>
          <w:tab w:val="left" w:pos="912"/>
        </w:tabs>
        <w:autoSpaceDE w:val="0"/>
        <w:autoSpaceDN w:val="0"/>
        <w:ind w:left="810"/>
        <w:rPr>
          <w:rFonts w:cs="Arial"/>
          <w:color w:val="C00000"/>
        </w:rPr>
      </w:pPr>
    </w:p>
    <w:p w14:paraId="63BF5180" w14:textId="0A984C3C" w:rsidR="0079612B" w:rsidRPr="00B33A7B" w:rsidRDefault="7C0EE8D2" w:rsidP="00C94852">
      <w:pPr>
        <w:pStyle w:val="ListParagraph"/>
        <w:widowControl w:val="0"/>
        <w:numPr>
          <w:ilvl w:val="0"/>
          <w:numId w:val="34"/>
        </w:numPr>
        <w:autoSpaceDE w:val="0"/>
        <w:autoSpaceDN w:val="0"/>
        <w:ind w:hanging="630"/>
        <w:rPr>
          <w:rFonts w:cs="Arial"/>
          <w:color w:val="FF0000"/>
        </w:rPr>
      </w:pPr>
      <w:r w:rsidRPr="00030EFA">
        <w:rPr>
          <w:rFonts w:cs="Arial"/>
          <w:color w:val="C00000"/>
        </w:rPr>
        <w:t xml:space="preserve">The </w:t>
      </w:r>
      <w:r w:rsidRPr="00B33A7B">
        <w:rPr>
          <w:rFonts w:cs="Arial"/>
        </w:rPr>
        <w:t>Qualifying Infill Project</w:t>
      </w:r>
      <w:r w:rsidR="2E7D3233" w:rsidRPr="00B33A7B">
        <w:rPr>
          <w:rFonts w:cs="Arial"/>
        </w:rPr>
        <w:t>(s)</w:t>
      </w:r>
      <w:r w:rsidR="6FE9C996" w:rsidRPr="00B33A7B">
        <w:rPr>
          <w:rFonts w:cs="Arial"/>
        </w:rPr>
        <w:t>, including the Qualifying Infill Project</w:t>
      </w:r>
      <w:r w:rsidR="50748D55" w:rsidRPr="00B33A7B">
        <w:rPr>
          <w:rFonts w:cs="Arial"/>
        </w:rPr>
        <w:t>s</w:t>
      </w:r>
      <w:r w:rsidR="6FE9C996" w:rsidRPr="00B33A7B">
        <w:rPr>
          <w:rFonts w:cs="Arial"/>
        </w:rPr>
        <w:t xml:space="preserve"> that </w:t>
      </w:r>
      <w:r w:rsidR="69E39E9D" w:rsidRPr="00B33A7B">
        <w:rPr>
          <w:rFonts w:cs="Arial"/>
        </w:rPr>
        <w:t xml:space="preserve">are </w:t>
      </w:r>
      <w:r w:rsidR="50748D55" w:rsidRPr="00B33A7B">
        <w:rPr>
          <w:rFonts w:cs="Arial"/>
        </w:rPr>
        <w:t>included in a</w:t>
      </w:r>
      <w:r w:rsidR="36ACCAAC" w:rsidRPr="00B33A7B">
        <w:rPr>
          <w:rFonts w:cs="Arial"/>
        </w:rPr>
        <w:t xml:space="preserve"> Qualifying Infill </w:t>
      </w:r>
      <w:r w:rsidR="2F786EDF" w:rsidRPr="00B33A7B">
        <w:rPr>
          <w:rFonts w:cs="Arial"/>
        </w:rPr>
        <w:t>Area</w:t>
      </w:r>
      <w:r w:rsidR="36ACCAAC" w:rsidRPr="00B33A7B">
        <w:rPr>
          <w:rFonts w:cs="Arial"/>
        </w:rPr>
        <w:t>,</w:t>
      </w:r>
      <w:r w:rsidRPr="00B33A7B">
        <w:rPr>
          <w:rFonts w:cs="Arial"/>
        </w:rPr>
        <w:t xml:space="preserve"> </w:t>
      </w:r>
      <w:r w:rsidRPr="00030EFA">
        <w:rPr>
          <w:rFonts w:cs="Arial"/>
          <w:color w:val="C00000"/>
        </w:rPr>
        <w:t xml:space="preserve">as proposed in the application, </w:t>
      </w:r>
      <w:r w:rsidR="419BD915" w:rsidRPr="00030EFA">
        <w:rPr>
          <w:rFonts w:cs="Arial"/>
          <w:color w:val="C00000"/>
        </w:rPr>
        <w:t>is</w:t>
      </w:r>
      <w:r w:rsidRPr="00030EFA">
        <w:rPr>
          <w:rFonts w:cs="Arial"/>
          <w:color w:val="C00000"/>
        </w:rPr>
        <w:t xml:space="preserve"> financially feasible as evidenced by documentation such as, but not limited to, </w:t>
      </w:r>
      <w:r w:rsidR="71553258" w:rsidRPr="00030EFA">
        <w:rPr>
          <w:rFonts w:cs="Arial"/>
          <w:color w:val="C00000"/>
        </w:rPr>
        <w:t>Enforceable Funding Commitments, market study, project proforma, sources and uses statement, or other feasibility documentation that is standard industry practice for the type of proposed housing development.</w:t>
      </w:r>
    </w:p>
    <w:p w14:paraId="3DA67710" w14:textId="77777777" w:rsidR="0079612B" w:rsidRPr="00B33A7B" w:rsidRDefault="0079612B" w:rsidP="0079612B">
      <w:pPr>
        <w:ind w:hanging="720"/>
        <w:rPr>
          <w:rFonts w:cs="Arial"/>
        </w:rPr>
      </w:pPr>
    </w:p>
    <w:p w14:paraId="3632794E" w14:textId="54829314" w:rsidR="0079612B" w:rsidRPr="00B33A7B" w:rsidRDefault="0079612B" w:rsidP="00C94852">
      <w:pPr>
        <w:pStyle w:val="ListParagraph"/>
        <w:widowControl w:val="0"/>
        <w:numPr>
          <w:ilvl w:val="0"/>
          <w:numId w:val="34"/>
        </w:numPr>
        <w:autoSpaceDE w:val="0"/>
        <w:autoSpaceDN w:val="0"/>
        <w:ind w:hanging="630"/>
        <w:rPr>
          <w:rFonts w:cs="Arial"/>
          <w:color w:val="FF0000"/>
        </w:rPr>
      </w:pPr>
      <w:r w:rsidRPr="00030EFA">
        <w:rPr>
          <w:rFonts w:cs="Arial"/>
          <w:color w:val="C00000"/>
        </w:rPr>
        <w:t>The</w:t>
      </w:r>
      <w:r w:rsidRPr="00B33A7B">
        <w:rPr>
          <w:rFonts w:cs="Arial"/>
          <w:color w:val="FF0000"/>
        </w:rPr>
        <w:t xml:space="preserve"> </w:t>
      </w:r>
      <w:r w:rsidRPr="00B33A7B">
        <w:rPr>
          <w:rFonts w:cs="Arial"/>
        </w:rPr>
        <w:t>Qualifying Infill Project</w:t>
      </w:r>
      <w:r w:rsidR="005B0FF1" w:rsidRPr="00B33A7B">
        <w:rPr>
          <w:rFonts w:cs="Arial"/>
        </w:rPr>
        <w:t xml:space="preserve">(s), including the Qualifying Infill Projects that </w:t>
      </w:r>
      <w:r w:rsidR="00351A5C" w:rsidRPr="00B33A7B">
        <w:rPr>
          <w:rFonts w:cs="Arial"/>
        </w:rPr>
        <w:t>are</w:t>
      </w:r>
      <w:r w:rsidR="005B0FF1" w:rsidRPr="00B33A7B">
        <w:rPr>
          <w:rFonts w:cs="Arial"/>
        </w:rPr>
        <w:t xml:space="preserve"> </w:t>
      </w:r>
      <w:r w:rsidR="007C6093" w:rsidRPr="00B33A7B">
        <w:rPr>
          <w:rFonts w:cs="Arial"/>
        </w:rPr>
        <w:t xml:space="preserve">included in a </w:t>
      </w:r>
      <w:r w:rsidR="00AE1898" w:rsidRPr="00B33A7B">
        <w:rPr>
          <w:rFonts w:cs="Arial"/>
        </w:rPr>
        <w:t>Qualifying Infill Area</w:t>
      </w:r>
      <w:r w:rsidR="005B0FF1" w:rsidRPr="00B33A7B">
        <w:rPr>
          <w:rFonts w:cs="Arial"/>
        </w:rPr>
        <w:t>)</w:t>
      </w:r>
      <w:r w:rsidR="00AE1898" w:rsidRPr="00B33A7B">
        <w:rPr>
          <w:rFonts w:cs="Arial"/>
        </w:rPr>
        <w:t xml:space="preserve"> </w:t>
      </w:r>
      <w:r w:rsidRPr="00030EFA">
        <w:rPr>
          <w:rFonts w:cs="Arial"/>
          <w:color w:val="C00000"/>
        </w:rPr>
        <w:t xml:space="preserve">will maintain Fiscal Integrity consistent with proposed Rents in the Assisted Units and </w:t>
      </w:r>
      <w:r w:rsidR="0013004D" w:rsidRPr="00B33A7B">
        <w:rPr>
          <w:rFonts w:cs="Arial"/>
        </w:rPr>
        <w:t>are</w:t>
      </w:r>
      <w:r w:rsidRPr="00B33A7B">
        <w:rPr>
          <w:rFonts w:cs="Arial"/>
          <w:spacing w:val="-1"/>
        </w:rPr>
        <w:t xml:space="preserve"> </w:t>
      </w:r>
      <w:r w:rsidRPr="00030EFA">
        <w:rPr>
          <w:rFonts w:cs="Arial"/>
          <w:color w:val="C00000"/>
        </w:rPr>
        <w:t>feasible</w:t>
      </w:r>
      <w:r w:rsidRPr="00030EFA">
        <w:rPr>
          <w:rFonts w:cs="Arial"/>
          <w:color w:val="C00000"/>
          <w:spacing w:val="-2"/>
        </w:rPr>
        <w:t xml:space="preserve"> </w:t>
      </w:r>
      <w:r w:rsidRPr="00030EFA">
        <w:rPr>
          <w:rFonts w:cs="Arial"/>
          <w:color w:val="C00000"/>
        </w:rPr>
        <w:t>pursuant</w:t>
      </w:r>
      <w:r w:rsidRPr="00030EFA">
        <w:rPr>
          <w:rFonts w:cs="Arial"/>
          <w:color w:val="C00000"/>
          <w:spacing w:val="-2"/>
        </w:rPr>
        <w:t xml:space="preserve"> </w:t>
      </w:r>
      <w:r w:rsidRPr="00030EFA">
        <w:rPr>
          <w:rFonts w:cs="Arial"/>
          <w:color w:val="C00000"/>
        </w:rPr>
        <w:t>to</w:t>
      </w:r>
      <w:r w:rsidRPr="00030EFA">
        <w:rPr>
          <w:rFonts w:cs="Arial"/>
          <w:color w:val="C00000"/>
          <w:spacing w:val="-2"/>
        </w:rPr>
        <w:t xml:space="preserve"> </w:t>
      </w:r>
      <w:r w:rsidRPr="00030EFA">
        <w:rPr>
          <w:rFonts w:cs="Arial"/>
          <w:color w:val="C00000"/>
        </w:rPr>
        <w:t>the</w:t>
      </w:r>
      <w:r w:rsidRPr="00030EFA">
        <w:rPr>
          <w:rFonts w:cs="Arial"/>
          <w:color w:val="C00000"/>
          <w:spacing w:val="-1"/>
        </w:rPr>
        <w:t xml:space="preserve"> </w:t>
      </w:r>
      <w:r w:rsidRPr="00030EFA">
        <w:rPr>
          <w:rFonts w:cs="Arial"/>
          <w:color w:val="C00000"/>
        </w:rPr>
        <w:t xml:space="preserve">underwriting standards in UMR </w:t>
      </w:r>
      <w:r w:rsidR="0013004D" w:rsidRPr="00030EFA">
        <w:rPr>
          <w:rFonts w:cs="Arial"/>
          <w:color w:val="C00000"/>
        </w:rPr>
        <w:t>S</w:t>
      </w:r>
      <w:r w:rsidRPr="00030EFA">
        <w:rPr>
          <w:rFonts w:cs="Arial"/>
          <w:color w:val="C00000"/>
        </w:rPr>
        <w:t>ection</w:t>
      </w:r>
      <w:r w:rsidRPr="00030EFA">
        <w:rPr>
          <w:rFonts w:cs="Arial"/>
          <w:color w:val="C00000"/>
          <w:spacing w:val="-2"/>
        </w:rPr>
        <w:t xml:space="preserve"> </w:t>
      </w:r>
      <w:r w:rsidRPr="00030EFA">
        <w:rPr>
          <w:rFonts w:cs="Arial"/>
          <w:color w:val="C00000"/>
        </w:rPr>
        <w:t>8310;</w:t>
      </w:r>
    </w:p>
    <w:p w14:paraId="49646CAB" w14:textId="77777777" w:rsidR="0079612B" w:rsidRPr="00B33A7B" w:rsidRDefault="0079612B" w:rsidP="0079612B">
      <w:pPr>
        <w:pStyle w:val="BodyText"/>
        <w:spacing w:after="0"/>
        <w:ind w:left="810" w:hanging="720"/>
        <w:rPr>
          <w:rFonts w:cs="Arial"/>
          <w:color w:val="FF0000"/>
        </w:rPr>
      </w:pPr>
    </w:p>
    <w:p w14:paraId="2CA9B2F7" w14:textId="4F7945A5" w:rsidR="0079612B" w:rsidRPr="00B33A7B" w:rsidRDefault="7C0EE8D2" w:rsidP="00C94852">
      <w:pPr>
        <w:pStyle w:val="ListParagraph"/>
        <w:widowControl w:val="0"/>
        <w:numPr>
          <w:ilvl w:val="0"/>
          <w:numId w:val="34"/>
        </w:numPr>
        <w:autoSpaceDE w:val="0"/>
        <w:autoSpaceDN w:val="0"/>
        <w:ind w:hanging="630"/>
        <w:rPr>
          <w:rFonts w:cs="Arial"/>
          <w:color w:val="FF0000"/>
        </w:rPr>
      </w:pPr>
      <w:r w:rsidRPr="00030EFA">
        <w:rPr>
          <w:rFonts w:cs="Arial"/>
          <w:color w:val="C00000"/>
        </w:rPr>
        <w:t>The</w:t>
      </w:r>
      <w:r w:rsidRPr="00B33A7B">
        <w:rPr>
          <w:rFonts w:cs="Arial"/>
          <w:color w:val="FF0000"/>
        </w:rPr>
        <w:t xml:space="preserve"> </w:t>
      </w:r>
      <w:r w:rsidRPr="00B33A7B">
        <w:rPr>
          <w:rFonts w:cs="Arial"/>
        </w:rPr>
        <w:t>Qualifying Infill Project</w:t>
      </w:r>
      <w:r w:rsidR="5A28162B" w:rsidRPr="00B33A7B">
        <w:rPr>
          <w:rFonts w:cs="Arial"/>
        </w:rPr>
        <w:t>(s)</w:t>
      </w:r>
      <w:r w:rsidR="4D2F5458" w:rsidRPr="00B33A7B">
        <w:rPr>
          <w:rFonts w:cs="Arial"/>
        </w:rPr>
        <w:t xml:space="preserve">, </w:t>
      </w:r>
      <w:r w:rsidR="11094045" w:rsidRPr="00B33A7B">
        <w:rPr>
          <w:rFonts w:cs="Arial"/>
        </w:rPr>
        <w:t xml:space="preserve">Qualifying Infill Projects within </w:t>
      </w:r>
      <w:r w:rsidR="4D2F5458" w:rsidRPr="00B33A7B">
        <w:rPr>
          <w:rFonts w:cs="Arial"/>
        </w:rPr>
        <w:t>Qualifying Infill Area,</w:t>
      </w:r>
      <w:r w:rsidRPr="00B33A7B">
        <w:rPr>
          <w:rFonts w:cs="Arial"/>
        </w:rPr>
        <w:t xml:space="preserve"> and Capital Improvement Project </w:t>
      </w:r>
      <w:r w:rsidRPr="00030EFA">
        <w:rPr>
          <w:rFonts w:cs="Arial"/>
          <w:color w:val="C00000"/>
        </w:rPr>
        <w:t>site</w:t>
      </w:r>
      <w:r w:rsidRPr="00B33A7B">
        <w:rPr>
          <w:rFonts w:cs="Arial"/>
        </w:rPr>
        <w:t xml:space="preserve">s </w:t>
      </w:r>
      <w:r w:rsidR="4D2F5458" w:rsidRPr="00B33A7B">
        <w:rPr>
          <w:rFonts w:cs="Arial"/>
        </w:rPr>
        <w:t>are</w:t>
      </w:r>
      <w:r w:rsidRPr="00B33A7B">
        <w:rPr>
          <w:rFonts w:cs="Arial"/>
        </w:rPr>
        <w:t xml:space="preserve"> </w:t>
      </w:r>
      <w:r w:rsidR="5F473163" w:rsidRPr="00030EFA">
        <w:rPr>
          <w:rFonts w:cs="Arial"/>
          <w:color w:val="C00000"/>
        </w:rPr>
        <w:t xml:space="preserve">free from severe adverse environmental conditions, such as the presence </w:t>
      </w:r>
      <w:r w:rsidR="001B44C6" w:rsidRPr="00030EFA">
        <w:rPr>
          <w:rFonts w:cs="Arial"/>
          <w:color w:val="C00000"/>
        </w:rPr>
        <w:t>of</w:t>
      </w:r>
      <w:r w:rsidR="001B44C6" w:rsidRPr="00030EFA">
        <w:rPr>
          <w:rFonts w:cs="Arial"/>
          <w:color w:val="C00000"/>
          <w:spacing w:val="-64"/>
        </w:rPr>
        <w:t xml:space="preserve">                     </w:t>
      </w:r>
      <w:r w:rsidR="001B44C6" w:rsidRPr="00030EFA">
        <w:rPr>
          <w:rFonts w:cs="Arial"/>
          <w:color w:val="C00000"/>
        </w:rPr>
        <w:t>toxic</w:t>
      </w:r>
      <w:r w:rsidR="5F473163" w:rsidRPr="00030EFA">
        <w:rPr>
          <w:rFonts w:cs="Arial"/>
          <w:color w:val="C00000"/>
          <w:spacing w:val="-1"/>
        </w:rPr>
        <w:t xml:space="preserve"> </w:t>
      </w:r>
      <w:r w:rsidR="5F473163" w:rsidRPr="00030EFA">
        <w:rPr>
          <w:rFonts w:cs="Arial"/>
          <w:color w:val="C00000"/>
        </w:rPr>
        <w:t>waste</w:t>
      </w:r>
      <w:r w:rsidR="5F473163" w:rsidRPr="00030EFA">
        <w:rPr>
          <w:rFonts w:cs="Arial"/>
          <w:color w:val="C00000"/>
          <w:spacing w:val="-2"/>
        </w:rPr>
        <w:t xml:space="preserve"> </w:t>
      </w:r>
      <w:r w:rsidR="5F473163" w:rsidRPr="00030EFA">
        <w:rPr>
          <w:rFonts w:cs="Arial"/>
          <w:color w:val="C00000"/>
        </w:rPr>
        <w:t>that is</w:t>
      </w:r>
      <w:r w:rsidR="5F473163" w:rsidRPr="00030EFA">
        <w:rPr>
          <w:rFonts w:cs="Arial"/>
          <w:color w:val="C00000"/>
          <w:spacing w:val="-1"/>
        </w:rPr>
        <w:t xml:space="preserve"> </w:t>
      </w:r>
      <w:r w:rsidR="5F473163" w:rsidRPr="00030EFA">
        <w:rPr>
          <w:rFonts w:cs="Arial"/>
          <w:color w:val="C00000"/>
        </w:rPr>
        <w:t>economically</w:t>
      </w:r>
      <w:r w:rsidR="5F473163" w:rsidRPr="00030EFA">
        <w:rPr>
          <w:rFonts w:cs="Arial"/>
          <w:color w:val="C00000"/>
          <w:spacing w:val="-1"/>
        </w:rPr>
        <w:t xml:space="preserve"> </w:t>
      </w:r>
      <w:r w:rsidR="5F473163" w:rsidRPr="00030EFA">
        <w:rPr>
          <w:rFonts w:cs="Arial"/>
          <w:color w:val="C00000"/>
        </w:rPr>
        <w:t>infeasible to</w:t>
      </w:r>
      <w:r w:rsidR="5F473163" w:rsidRPr="00030EFA">
        <w:rPr>
          <w:rFonts w:cs="Arial"/>
          <w:color w:val="C00000"/>
          <w:spacing w:val="-1"/>
        </w:rPr>
        <w:t xml:space="preserve"> </w:t>
      </w:r>
      <w:r w:rsidR="5F473163" w:rsidRPr="00030EFA">
        <w:rPr>
          <w:rFonts w:cs="Arial"/>
          <w:color w:val="C00000"/>
        </w:rPr>
        <w:t>remove or</w:t>
      </w:r>
      <w:r w:rsidR="5F473163" w:rsidRPr="00030EFA">
        <w:rPr>
          <w:rFonts w:cs="Arial"/>
          <w:color w:val="C00000"/>
          <w:spacing w:val="-2"/>
        </w:rPr>
        <w:t xml:space="preserve"> </w:t>
      </w:r>
      <w:r w:rsidR="5F473163" w:rsidRPr="00030EFA">
        <w:rPr>
          <w:rFonts w:cs="Arial"/>
          <w:color w:val="C00000"/>
        </w:rPr>
        <w:t>cannot</w:t>
      </w:r>
      <w:r w:rsidR="5F473163" w:rsidRPr="00030EFA">
        <w:rPr>
          <w:rFonts w:cs="Arial"/>
          <w:color w:val="C00000"/>
          <w:spacing w:val="-1"/>
        </w:rPr>
        <w:t xml:space="preserve"> </w:t>
      </w:r>
      <w:r w:rsidR="5F473163" w:rsidRPr="00030EFA">
        <w:rPr>
          <w:rFonts w:cs="Arial"/>
          <w:color w:val="C00000"/>
        </w:rPr>
        <w:t>be</w:t>
      </w:r>
      <w:r w:rsidR="5F473163" w:rsidRPr="00030EFA">
        <w:rPr>
          <w:rFonts w:cs="Arial"/>
          <w:color w:val="C00000"/>
          <w:spacing w:val="-2"/>
        </w:rPr>
        <w:t xml:space="preserve"> </w:t>
      </w:r>
      <w:r w:rsidR="5F473163" w:rsidRPr="00030EFA">
        <w:rPr>
          <w:rFonts w:cs="Arial"/>
          <w:color w:val="C00000"/>
        </w:rPr>
        <w:t>mitigated;</w:t>
      </w:r>
    </w:p>
    <w:p w14:paraId="05437537" w14:textId="77777777" w:rsidR="0079612B" w:rsidRPr="00B33A7B" w:rsidRDefault="0079612B" w:rsidP="0079612B">
      <w:pPr>
        <w:pStyle w:val="BodyText"/>
        <w:spacing w:after="0"/>
        <w:ind w:left="810" w:hanging="720"/>
        <w:rPr>
          <w:rFonts w:cs="Arial"/>
        </w:rPr>
      </w:pPr>
    </w:p>
    <w:p w14:paraId="07F47D66" w14:textId="14E3196B" w:rsidR="0079612B" w:rsidRPr="00B33A7B" w:rsidRDefault="0079612B" w:rsidP="00C94852">
      <w:pPr>
        <w:pStyle w:val="ListParagraph"/>
        <w:widowControl w:val="0"/>
        <w:numPr>
          <w:ilvl w:val="0"/>
          <w:numId w:val="34"/>
        </w:numPr>
        <w:tabs>
          <w:tab w:val="left" w:pos="911"/>
          <w:tab w:val="left" w:pos="912"/>
        </w:tabs>
        <w:autoSpaceDE w:val="0"/>
        <w:autoSpaceDN w:val="0"/>
        <w:ind w:hanging="630"/>
        <w:rPr>
          <w:rFonts w:cs="Arial"/>
          <w:color w:val="FF0000"/>
        </w:rPr>
      </w:pPr>
      <w:r w:rsidRPr="00030EFA">
        <w:rPr>
          <w:rFonts w:cs="Arial"/>
          <w:color w:val="C00000"/>
        </w:rPr>
        <w:t>The</w:t>
      </w:r>
      <w:r w:rsidRPr="00B33A7B">
        <w:rPr>
          <w:rFonts w:cs="Arial"/>
          <w:color w:val="FF0000"/>
        </w:rPr>
        <w:t xml:space="preserve"> </w:t>
      </w:r>
      <w:r w:rsidRPr="00B33A7B">
        <w:rPr>
          <w:rFonts w:cs="Arial"/>
        </w:rPr>
        <w:t>Qualifying Infill Project</w:t>
      </w:r>
      <w:r w:rsidR="007440A5" w:rsidRPr="00B33A7B">
        <w:rPr>
          <w:rFonts w:cs="Arial"/>
        </w:rPr>
        <w:t>(s)</w:t>
      </w:r>
      <w:r w:rsidRPr="00B33A7B">
        <w:rPr>
          <w:rFonts w:cs="Arial"/>
        </w:rPr>
        <w:t xml:space="preserve"> </w:t>
      </w:r>
      <w:r w:rsidR="00AE1898" w:rsidRPr="00B33A7B">
        <w:rPr>
          <w:rFonts w:cs="Arial"/>
        </w:rPr>
        <w:t xml:space="preserve">and Qualifying Infill Area </w:t>
      </w:r>
      <w:r w:rsidRPr="00030EFA">
        <w:rPr>
          <w:rFonts w:cs="Arial"/>
          <w:color w:val="C00000"/>
        </w:rPr>
        <w:t>site</w:t>
      </w:r>
      <w:r w:rsidR="00810CC0" w:rsidRPr="00B33A7B">
        <w:rPr>
          <w:rFonts w:cs="Arial"/>
        </w:rPr>
        <w:t>s</w:t>
      </w:r>
      <w:r w:rsidRPr="00B33A7B">
        <w:rPr>
          <w:rFonts w:cs="Arial"/>
          <w:color w:val="FF0000"/>
        </w:rPr>
        <w:t xml:space="preserve"> </w:t>
      </w:r>
      <w:r w:rsidR="00810CC0" w:rsidRPr="00B33A7B">
        <w:rPr>
          <w:rFonts w:cs="Arial"/>
        </w:rPr>
        <w:t>are</w:t>
      </w:r>
      <w:r w:rsidRPr="00B33A7B">
        <w:rPr>
          <w:rFonts w:cs="Arial"/>
        </w:rPr>
        <w:t xml:space="preserve"> </w:t>
      </w:r>
      <w:r w:rsidRPr="00030EFA">
        <w:rPr>
          <w:rFonts w:cs="Arial"/>
          <w:color w:val="C00000"/>
        </w:rPr>
        <w:t xml:space="preserve">reasonably accessible to public transportation, shopping, medical </w:t>
      </w:r>
      <w:r w:rsidR="007440A5" w:rsidRPr="00030EFA">
        <w:rPr>
          <w:rFonts w:cs="Arial"/>
          <w:color w:val="C00000"/>
        </w:rPr>
        <w:t>services,</w:t>
      </w:r>
      <w:r w:rsidR="007440A5" w:rsidRPr="00030EFA">
        <w:rPr>
          <w:rFonts w:cs="Arial"/>
          <w:color w:val="C00000"/>
          <w:spacing w:val="-65"/>
        </w:rPr>
        <w:t xml:space="preserve">  </w:t>
      </w:r>
      <w:r w:rsidR="00815EDB" w:rsidRPr="00030EFA">
        <w:rPr>
          <w:rFonts w:cs="Arial"/>
          <w:color w:val="C00000"/>
          <w:spacing w:val="-65"/>
        </w:rPr>
        <w:t xml:space="preserve">                  </w:t>
      </w:r>
      <w:r w:rsidRPr="00030EFA">
        <w:rPr>
          <w:rFonts w:cs="Arial"/>
          <w:color w:val="C00000"/>
        </w:rPr>
        <w:t>recreation,</w:t>
      </w:r>
      <w:r w:rsidRPr="00030EFA">
        <w:rPr>
          <w:rFonts w:cs="Arial"/>
          <w:color w:val="C00000"/>
          <w:spacing w:val="-1"/>
        </w:rPr>
        <w:t xml:space="preserve"> </w:t>
      </w:r>
      <w:r w:rsidRPr="00030EFA">
        <w:rPr>
          <w:rFonts w:cs="Arial"/>
          <w:color w:val="C00000"/>
        </w:rPr>
        <w:t>schools, and</w:t>
      </w:r>
      <w:r w:rsidRPr="00030EFA">
        <w:rPr>
          <w:rFonts w:cs="Arial"/>
          <w:color w:val="C00000"/>
          <w:spacing w:val="-1"/>
        </w:rPr>
        <w:t xml:space="preserve"> </w:t>
      </w:r>
      <w:r w:rsidRPr="00030EFA">
        <w:rPr>
          <w:rFonts w:cs="Arial"/>
          <w:color w:val="C00000"/>
        </w:rPr>
        <w:t>employment</w:t>
      </w:r>
      <w:r w:rsidRPr="00030EFA">
        <w:rPr>
          <w:rFonts w:cs="Arial"/>
          <w:color w:val="C00000"/>
          <w:spacing w:val="-1"/>
        </w:rPr>
        <w:t xml:space="preserve"> </w:t>
      </w:r>
      <w:r w:rsidRPr="00030EFA">
        <w:rPr>
          <w:rFonts w:cs="Arial"/>
          <w:color w:val="C00000"/>
        </w:rPr>
        <w:t>in</w:t>
      </w:r>
      <w:r w:rsidRPr="00030EFA">
        <w:rPr>
          <w:rFonts w:cs="Arial"/>
          <w:color w:val="C00000"/>
          <w:spacing w:val="-1"/>
        </w:rPr>
        <w:t xml:space="preserve"> </w:t>
      </w:r>
      <w:r w:rsidRPr="00030EFA">
        <w:rPr>
          <w:rFonts w:cs="Arial"/>
          <w:color w:val="C00000"/>
        </w:rPr>
        <w:t>relation to the</w:t>
      </w:r>
      <w:r w:rsidRPr="00030EFA">
        <w:rPr>
          <w:rFonts w:cs="Arial"/>
          <w:color w:val="C00000"/>
          <w:spacing w:val="-1"/>
        </w:rPr>
        <w:t xml:space="preserve"> </w:t>
      </w:r>
      <w:r w:rsidRPr="00030EFA">
        <w:rPr>
          <w:rFonts w:cs="Arial"/>
          <w:color w:val="C00000"/>
        </w:rPr>
        <w:t>needs</w:t>
      </w:r>
      <w:r w:rsidRPr="00030EFA">
        <w:rPr>
          <w:rFonts w:cs="Arial"/>
          <w:color w:val="C00000"/>
          <w:spacing w:val="-3"/>
        </w:rPr>
        <w:t xml:space="preserve"> </w:t>
      </w:r>
      <w:r w:rsidRPr="00030EFA">
        <w:rPr>
          <w:rFonts w:cs="Arial"/>
          <w:color w:val="C00000"/>
        </w:rPr>
        <w:t>of</w:t>
      </w:r>
      <w:r w:rsidRPr="00030EFA">
        <w:rPr>
          <w:rFonts w:cs="Arial"/>
          <w:color w:val="C00000"/>
          <w:spacing w:val="-4"/>
        </w:rPr>
        <w:t xml:space="preserve"> </w:t>
      </w:r>
      <w:r w:rsidRPr="00030EFA">
        <w:rPr>
          <w:rFonts w:cs="Arial"/>
          <w:color w:val="C00000"/>
        </w:rPr>
        <w:t>the</w:t>
      </w:r>
      <w:r w:rsidRPr="00030EFA">
        <w:rPr>
          <w:rFonts w:cs="Arial"/>
          <w:color w:val="C00000"/>
          <w:spacing w:val="-5"/>
        </w:rPr>
        <w:t xml:space="preserve"> </w:t>
      </w:r>
      <w:r w:rsidRPr="00B33A7B">
        <w:rPr>
          <w:rFonts w:cs="Arial"/>
        </w:rPr>
        <w:t>Qualifying Infill Project</w:t>
      </w:r>
      <w:r w:rsidR="007440A5" w:rsidRPr="00B33A7B">
        <w:rPr>
          <w:rFonts w:cs="Arial"/>
        </w:rPr>
        <w:t>(s)</w:t>
      </w:r>
      <w:r w:rsidR="00AE1898" w:rsidRPr="00B33A7B">
        <w:rPr>
          <w:rFonts w:cs="Arial"/>
        </w:rPr>
        <w:t xml:space="preserve"> </w:t>
      </w:r>
      <w:r w:rsidR="00575E56" w:rsidRPr="00B33A7B">
        <w:rPr>
          <w:rFonts w:cs="Arial"/>
        </w:rPr>
        <w:t>or</w:t>
      </w:r>
      <w:r w:rsidR="00AE1898" w:rsidRPr="00B33A7B">
        <w:rPr>
          <w:rFonts w:cs="Arial"/>
        </w:rPr>
        <w:t xml:space="preserve"> Qualifying Infill Area</w:t>
      </w:r>
      <w:r w:rsidRPr="00B33A7B">
        <w:rPr>
          <w:rFonts w:cs="Arial"/>
        </w:rPr>
        <w:t xml:space="preserve"> </w:t>
      </w:r>
      <w:r w:rsidR="008A4929" w:rsidRPr="00B33A7B">
        <w:rPr>
          <w:rFonts w:cs="Arial"/>
        </w:rPr>
        <w:t>residents</w:t>
      </w:r>
      <w:r w:rsidRPr="00B33A7B">
        <w:rPr>
          <w:rFonts w:cs="Arial"/>
        </w:rPr>
        <w:t>.</w:t>
      </w:r>
    </w:p>
    <w:p w14:paraId="16B82A29" w14:textId="77777777" w:rsidR="008A4929" w:rsidRPr="00B33A7B" w:rsidRDefault="008A4929" w:rsidP="008A4929">
      <w:pPr>
        <w:widowControl w:val="0"/>
        <w:tabs>
          <w:tab w:val="left" w:pos="911"/>
          <w:tab w:val="left" w:pos="912"/>
        </w:tabs>
        <w:autoSpaceDE w:val="0"/>
        <w:autoSpaceDN w:val="0"/>
        <w:rPr>
          <w:rFonts w:cs="Arial"/>
          <w:color w:val="FF0000"/>
        </w:rPr>
      </w:pPr>
    </w:p>
    <w:p w14:paraId="1FB62FC7" w14:textId="1FB7B09B" w:rsidR="0079612B" w:rsidRPr="00030EFA" w:rsidRDefault="00AE1898" w:rsidP="00993D09">
      <w:pPr>
        <w:pStyle w:val="ListParagraph"/>
        <w:widowControl w:val="0"/>
        <w:numPr>
          <w:ilvl w:val="0"/>
          <w:numId w:val="34"/>
        </w:numPr>
        <w:tabs>
          <w:tab w:val="left" w:pos="1271"/>
          <w:tab w:val="left" w:pos="1272"/>
        </w:tabs>
        <w:autoSpaceDE w:val="0"/>
        <w:autoSpaceDN w:val="0"/>
        <w:ind w:hanging="720"/>
        <w:rPr>
          <w:rFonts w:cs="Arial"/>
          <w:color w:val="C00000"/>
        </w:rPr>
      </w:pPr>
      <w:r w:rsidRPr="00B33A7B">
        <w:rPr>
          <w:rFonts w:cs="Arial"/>
        </w:rPr>
        <w:t xml:space="preserve">The </w:t>
      </w:r>
      <w:r w:rsidR="0079612B" w:rsidRPr="00B33A7B">
        <w:rPr>
          <w:rFonts w:cs="Arial"/>
        </w:rPr>
        <w:t xml:space="preserve">Qualifying Infill Project </w:t>
      </w:r>
      <w:r w:rsidR="00575E56" w:rsidRPr="00B33A7B">
        <w:rPr>
          <w:rFonts w:cs="Arial"/>
        </w:rPr>
        <w:t>or</w:t>
      </w:r>
      <w:r w:rsidRPr="00B33A7B">
        <w:rPr>
          <w:rFonts w:cs="Arial"/>
        </w:rPr>
        <w:t xml:space="preserve"> Qualifying Infill Area </w:t>
      </w:r>
      <w:r w:rsidR="0079612B" w:rsidRPr="00030EFA">
        <w:rPr>
          <w:rFonts w:cs="Arial"/>
          <w:color w:val="C00000"/>
        </w:rPr>
        <w:t xml:space="preserve">involving </w:t>
      </w:r>
      <w:r w:rsidR="00026346" w:rsidRPr="00030EFA">
        <w:rPr>
          <w:rFonts w:cs="Arial"/>
          <w:color w:val="C00000"/>
        </w:rPr>
        <w:t>new construction, acquisition and substantial Rehabilitation, or conversion of nonresidential structures to residential dwelling Units must be physically capable of accommodating</w:t>
      </w:r>
      <w:r w:rsidR="00026346" w:rsidRPr="00030EFA">
        <w:rPr>
          <w:rFonts w:cs="Arial"/>
          <w:color w:val="C00000"/>
          <w:spacing w:val="1"/>
        </w:rPr>
        <w:t xml:space="preserve"> </w:t>
      </w:r>
      <w:r w:rsidR="00026346" w:rsidRPr="00030EFA">
        <w:rPr>
          <w:rFonts w:cs="Arial"/>
          <w:color w:val="C00000"/>
        </w:rPr>
        <w:t>broadband service with at least a speed of 25 megabits per second for downloading and 3</w:t>
      </w:r>
      <w:r w:rsidR="00026346" w:rsidRPr="00030EFA">
        <w:rPr>
          <w:rFonts w:cs="Arial"/>
          <w:color w:val="C00000"/>
          <w:spacing w:val="1"/>
        </w:rPr>
        <w:t xml:space="preserve"> </w:t>
      </w:r>
      <w:r w:rsidR="00026346" w:rsidRPr="00030EFA">
        <w:rPr>
          <w:rFonts w:cs="Arial"/>
          <w:color w:val="C00000"/>
        </w:rPr>
        <w:t>megabits per second for uploading (25/3). Internet service and its ongoing fee are not</w:t>
      </w:r>
      <w:r w:rsidR="00026346" w:rsidRPr="00030EFA">
        <w:rPr>
          <w:rFonts w:cs="Arial"/>
          <w:color w:val="C00000"/>
          <w:spacing w:val="1"/>
        </w:rPr>
        <w:t xml:space="preserve"> </w:t>
      </w:r>
      <w:r w:rsidR="00026346" w:rsidRPr="00030EFA">
        <w:rPr>
          <w:rFonts w:cs="Arial"/>
          <w:color w:val="C00000"/>
        </w:rPr>
        <w:t>required.</w:t>
      </w:r>
    </w:p>
    <w:p w14:paraId="784F4F25" w14:textId="77777777" w:rsidR="00BA17BD" w:rsidRPr="00030EFA" w:rsidRDefault="00BA17BD" w:rsidP="00BA17BD">
      <w:pPr>
        <w:pStyle w:val="ListParagraph"/>
        <w:rPr>
          <w:rFonts w:cs="Arial"/>
          <w:color w:val="C00000"/>
        </w:rPr>
      </w:pPr>
    </w:p>
    <w:p w14:paraId="316E8775" w14:textId="5B741AC1" w:rsidR="00BA17BD" w:rsidRPr="00030EFA" w:rsidRDefault="32D8708C" w:rsidP="00993D09">
      <w:pPr>
        <w:pStyle w:val="ListParagraph"/>
        <w:widowControl w:val="0"/>
        <w:numPr>
          <w:ilvl w:val="0"/>
          <w:numId w:val="34"/>
        </w:numPr>
        <w:tabs>
          <w:tab w:val="left" w:pos="1271"/>
          <w:tab w:val="left" w:pos="1272"/>
        </w:tabs>
        <w:autoSpaceDE w:val="0"/>
        <w:autoSpaceDN w:val="0"/>
        <w:ind w:hanging="720"/>
        <w:rPr>
          <w:rFonts w:cs="Arial"/>
          <w:color w:val="C00000"/>
        </w:rPr>
      </w:pPr>
      <w:r w:rsidRPr="00030EFA">
        <w:rPr>
          <w:rStyle w:val="normaltextrun"/>
          <w:rFonts w:cs="Arial"/>
          <w:color w:val="C00000"/>
          <w:shd w:val="clear" w:color="auto" w:fill="FFFFFF"/>
        </w:rPr>
        <w:t xml:space="preserve">Projects that do not include Special Needs Units shall provide service </w:t>
      </w:r>
      <w:r w:rsidRPr="00030EFA">
        <w:rPr>
          <w:rStyle w:val="normaltextrun"/>
          <w:rFonts w:cs="Arial"/>
          <w:color w:val="C00000"/>
          <w:shd w:val="clear" w:color="auto" w:fill="FFFFFF"/>
        </w:rPr>
        <w:lastRenderedPageBreak/>
        <w:t xml:space="preserve">amenities sufficient to achieve a minimum score of 7 points pursuant to </w:t>
      </w:r>
      <w:r w:rsidR="6E9C92C3" w:rsidRPr="00030EFA">
        <w:rPr>
          <w:rStyle w:val="normaltextrun"/>
          <w:rFonts w:cs="Arial"/>
          <w:color w:val="C00000"/>
          <w:shd w:val="clear" w:color="auto" w:fill="FFFFFF"/>
        </w:rPr>
        <w:t>TCAC</w:t>
      </w:r>
      <w:r w:rsidRPr="00030EFA">
        <w:rPr>
          <w:rStyle w:val="normaltextrun"/>
          <w:rFonts w:cs="Arial"/>
          <w:color w:val="C00000"/>
          <w:shd w:val="clear" w:color="auto" w:fill="FFFFFF"/>
        </w:rPr>
        <w:t xml:space="preserve"> Regulations, as set forth in</w:t>
      </w:r>
      <w:r w:rsidR="00030EFA" w:rsidRPr="00030EFA">
        <w:rPr>
          <w:rStyle w:val="normaltextrun"/>
          <w:rFonts w:cs="Arial"/>
          <w:color w:val="C00000"/>
          <w:shd w:val="clear" w:color="auto" w:fill="FFFFFF"/>
        </w:rPr>
        <w:t xml:space="preserve"> </w:t>
      </w:r>
      <w:r w:rsidR="3A087A6D" w:rsidRPr="00030EFA">
        <w:rPr>
          <w:rFonts w:cs="Arial"/>
          <w:color w:val="C00000"/>
        </w:rPr>
        <w:t>CCR Title 4 Section 10325(c)(4)(B).</w:t>
      </w:r>
      <w:r w:rsidRPr="00030EFA">
        <w:rPr>
          <w:rStyle w:val="eop"/>
          <w:rFonts w:cs="Arial"/>
          <w:color w:val="C00000"/>
          <w:shd w:val="clear" w:color="auto" w:fill="FFFFFF"/>
        </w:rPr>
        <w:t> </w:t>
      </w:r>
    </w:p>
    <w:p w14:paraId="2B539D7E" w14:textId="77777777" w:rsidR="0079612B" w:rsidRPr="00030EFA" w:rsidRDefault="0079612B" w:rsidP="0079612B">
      <w:pPr>
        <w:pStyle w:val="ListParagraph"/>
        <w:ind w:hanging="720"/>
        <w:rPr>
          <w:rFonts w:cs="Arial"/>
          <w:color w:val="C00000"/>
        </w:rPr>
      </w:pPr>
    </w:p>
    <w:p w14:paraId="41CDA717" w14:textId="512EF4F3" w:rsidR="0079612B" w:rsidRPr="00B33A7B" w:rsidRDefault="0079612B" w:rsidP="00993D09">
      <w:pPr>
        <w:pStyle w:val="ListParagraph"/>
        <w:widowControl w:val="0"/>
        <w:numPr>
          <w:ilvl w:val="0"/>
          <w:numId w:val="34"/>
        </w:numPr>
        <w:tabs>
          <w:tab w:val="left" w:pos="911"/>
          <w:tab w:val="left" w:pos="912"/>
        </w:tabs>
        <w:autoSpaceDE w:val="0"/>
        <w:autoSpaceDN w:val="0"/>
        <w:ind w:left="810" w:hanging="720"/>
        <w:rPr>
          <w:rFonts w:cs="Arial"/>
          <w:color w:val="FF0000"/>
        </w:rPr>
      </w:pPr>
      <w:r w:rsidRPr="00030EFA">
        <w:rPr>
          <w:rFonts w:cs="Arial"/>
          <w:color w:val="C00000"/>
        </w:rPr>
        <w:t>The</w:t>
      </w:r>
      <w:r w:rsidRPr="00030EFA">
        <w:rPr>
          <w:rFonts w:cs="Arial"/>
          <w:color w:val="C00000"/>
          <w:spacing w:val="-2"/>
        </w:rPr>
        <w:t xml:space="preserve"> </w:t>
      </w:r>
      <w:r w:rsidRPr="00B33A7B">
        <w:rPr>
          <w:rFonts w:cs="Arial"/>
        </w:rPr>
        <w:t>Qualifying Infill Project</w:t>
      </w:r>
      <w:r w:rsidR="00510CCB" w:rsidRPr="00B33A7B">
        <w:rPr>
          <w:rFonts w:cs="Arial"/>
        </w:rPr>
        <w:t xml:space="preserve"> and Qualifying Infill Area</w:t>
      </w:r>
      <w:r w:rsidRPr="00B33A7B">
        <w:rPr>
          <w:rFonts w:cs="Arial"/>
          <w:color w:val="FF0000"/>
          <w:spacing w:val="-1"/>
        </w:rPr>
        <w:t xml:space="preserve"> </w:t>
      </w:r>
      <w:r w:rsidRPr="00B33A7B">
        <w:rPr>
          <w:rFonts w:cs="Arial"/>
        </w:rPr>
        <w:t>compl</w:t>
      </w:r>
      <w:r w:rsidR="00510CCB" w:rsidRPr="00B33A7B">
        <w:rPr>
          <w:rFonts w:cs="Arial"/>
        </w:rPr>
        <w:t>y</w:t>
      </w:r>
      <w:r w:rsidRPr="00B33A7B">
        <w:rPr>
          <w:rFonts w:cs="Arial"/>
          <w:color w:val="FF0000"/>
          <w:spacing w:val="-3"/>
        </w:rPr>
        <w:t xml:space="preserve"> </w:t>
      </w:r>
      <w:r w:rsidRPr="00030EFA">
        <w:rPr>
          <w:rFonts w:cs="Arial"/>
          <w:color w:val="C00000"/>
        </w:rPr>
        <w:t>with</w:t>
      </w:r>
      <w:r w:rsidRPr="00030EFA">
        <w:rPr>
          <w:rFonts w:cs="Arial"/>
          <w:color w:val="C00000"/>
          <w:spacing w:val="-1"/>
        </w:rPr>
        <w:t xml:space="preserve"> </w:t>
      </w:r>
      <w:r w:rsidRPr="00030EFA">
        <w:rPr>
          <w:rFonts w:cs="Arial"/>
          <w:color w:val="C00000"/>
        </w:rPr>
        <w:t>the</w:t>
      </w:r>
      <w:r w:rsidRPr="00030EFA">
        <w:rPr>
          <w:rFonts w:cs="Arial"/>
          <w:color w:val="C00000"/>
          <w:spacing w:val="-3"/>
        </w:rPr>
        <w:t xml:space="preserve"> </w:t>
      </w:r>
      <w:r w:rsidRPr="00030EFA">
        <w:rPr>
          <w:rFonts w:cs="Arial"/>
          <w:color w:val="C00000"/>
        </w:rPr>
        <w:t>restrictions</w:t>
      </w:r>
      <w:r w:rsidRPr="00030EFA">
        <w:rPr>
          <w:rFonts w:cs="Arial"/>
          <w:color w:val="C00000"/>
          <w:spacing w:val="-4"/>
        </w:rPr>
        <w:t xml:space="preserve"> </w:t>
      </w:r>
      <w:r w:rsidRPr="00030EFA">
        <w:rPr>
          <w:rFonts w:cs="Arial"/>
          <w:color w:val="C00000"/>
        </w:rPr>
        <w:t>on</w:t>
      </w:r>
      <w:r w:rsidRPr="00030EFA">
        <w:rPr>
          <w:rFonts w:cs="Arial"/>
          <w:color w:val="C00000"/>
          <w:spacing w:val="-3"/>
        </w:rPr>
        <w:t xml:space="preserve"> </w:t>
      </w:r>
      <w:r w:rsidRPr="00030EFA">
        <w:rPr>
          <w:rFonts w:cs="Arial"/>
          <w:color w:val="C00000"/>
        </w:rPr>
        <w:t>demolition</w:t>
      </w:r>
      <w:r w:rsidRPr="00030EFA">
        <w:rPr>
          <w:rFonts w:cs="Arial"/>
          <w:color w:val="C00000"/>
          <w:spacing w:val="-3"/>
        </w:rPr>
        <w:t xml:space="preserve"> </w:t>
      </w:r>
      <w:r w:rsidRPr="00030EFA">
        <w:rPr>
          <w:rFonts w:cs="Arial"/>
          <w:color w:val="C00000"/>
        </w:rPr>
        <w:t>as</w:t>
      </w:r>
      <w:r w:rsidRPr="00030EFA">
        <w:rPr>
          <w:rFonts w:cs="Arial"/>
          <w:color w:val="C00000"/>
          <w:spacing w:val="-2"/>
        </w:rPr>
        <w:t xml:space="preserve"> </w:t>
      </w:r>
      <w:r w:rsidRPr="00030EFA">
        <w:rPr>
          <w:rFonts w:cs="Arial"/>
          <w:color w:val="C00000"/>
        </w:rPr>
        <w:t>set</w:t>
      </w:r>
      <w:r w:rsidRPr="00030EFA">
        <w:rPr>
          <w:rFonts w:cs="Arial"/>
          <w:color w:val="C00000"/>
          <w:spacing w:val="-1"/>
        </w:rPr>
        <w:t xml:space="preserve"> </w:t>
      </w:r>
      <w:r w:rsidRPr="00030EFA">
        <w:rPr>
          <w:rFonts w:cs="Arial"/>
          <w:color w:val="C00000"/>
        </w:rPr>
        <w:t>forth</w:t>
      </w:r>
      <w:r w:rsidRPr="00030EFA">
        <w:rPr>
          <w:rFonts w:cs="Arial"/>
          <w:color w:val="C00000"/>
          <w:spacing w:val="-3"/>
        </w:rPr>
        <w:t xml:space="preserve"> </w:t>
      </w:r>
      <w:r w:rsidRPr="00030EFA">
        <w:rPr>
          <w:rFonts w:cs="Arial"/>
          <w:color w:val="C00000"/>
        </w:rPr>
        <w:t>in</w:t>
      </w:r>
      <w:r w:rsidRPr="00030EFA">
        <w:rPr>
          <w:rFonts w:cs="Arial"/>
          <w:color w:val="C00000"/>
          <w:spacing w:val="-1"/>
        </w:rPr>
        <w:t xml:space="preserve"> </w:t>
      </w:r>
      <w:r w:rsidRPr="00030EFA">
        <w:rPr>
          <w:rFonts w:cs="Arial"/>
          <w:color w:val="C00000"/>
        </w:rPr>
        <w:t>UMR</w:t>
      </w:r>
      <w:r w:rsidRPr="00030EFA">
        <w:rPr>
          <w:rFonts w:cs="Arial"/>
          <w:color w:val="C00000"/>
          <w:spacing w:val="-2"/>
        </w:rPr>
        <w:t xml:space="preserve"> </w:t>
      </w:r>
      <w:r w:rsidR="001851BE" w:rsidRPr="00030EFA">
        <w:rPr>
          <w:rFonts w:cs="Arial"/>
          <w:color w:val="C00000"/>
        </w:rPr>
        <w:t>Section</w:t>
      </w:r>
      <w:r w:rsidR="001851BE" w:rsidRPr="00030EFA">
        <w:rPr>
          <w:rFonts w:cs="Arial"/>
          <w:color w:val="C00000"/>
          <w:spacing w:val="-3"/>
        </w:rPr>
        <w:t xml:space="preserve"> </w:t>
      </w:r>
      <w:r w:rsidRPr="00030EFA">
        <w:rPr>
          <w:rFonts w:cs="Arial"/>
          <w:color w:val="C00000"/>
        </w:rPr>
        <w:t>8302</w:t>
      </w:r>
      <w:r w:rsidRPr="00B33A7B">
        <w:rPr>
          <w:rFonts w:cs="Arial"/>
        </w:rPr>
        <w:t>;</w:t>
      </w:r>
      <w:r w:rsidRPr="00B33A7B">
        <w:rPr>
          <w:rFonts w:cs="Arial"/>
          <w:spacing w:val="-4"/>
        </w:rPr>
        <w:t xml:space="preserve"> </w:t>
      </w:r>
    </w:p>
    <w:p w14:paraId="098FFFAA" w14:textId="77777777" w:rsidR="0079612B" w:rsidRPr="00030EFA" w:rsidRDefault="0079612B" w:rsidP="0079612B">
      <w:pPr>
        <w:pStyle w:val="BodyText"/>
        <w:spacing w:after="0"/>
        <w:ind w:left="810" w:hanging="720"/>
        <w:rPr>
          <w:rFonts w:cs="Arial"/>
          <w:color w:val="C00000"/>
        </w:rPr>
      </w:pPr>
    </w:p>
    <w:p w14:paraId="744FDC38" w14:textId="3B8D5585" w:rsidR="0079612B" w:rsidRPr="00B33A7B" w:rsidRDefault="0079612B" w:rsidP="00993D09">
      <w:pPr>
        <w:pStyle w:val="ListParagraph"/>
        <w:widowControl w:val="0"/>
        <w:numPr>
          <w:ilvl w:val="0"/>
          <w:numId w:val="34"/>
        </w:numPr>
        <w:tabs>
          <w:tab w:val="left" w:pos="732"/>
        </w:tabs>
        <w:autoSpaceDE w:val="0"/>
        <w:autoSpaceDN w:val="0"/>
        <w:ind w:left="810" w:hanging="720"/>
        <w:rPr>
          <w:rFonts w:cs="Arial"/>
          <w:color w:val="FF0000"/>
        </w:rPr>
      </w:pPr>
      <w:r w:rsidRPr="00030EFA">
        <w:rPr>
          <w:rFonts w:cs="Arial"/>
          <w:color w:val="C00000"/>
        </w:rPr>
        <w:t xml:space="preserve">The </w:t>
      </w:r>
      <w:r w:rsidRPr="00B33A7B">
        <w:rPr>
          <w:rFonts w:cs="Arial"/>
        </w:rPr>
        <w:t>Qualifying Infill Project</w:t>
      </w:r>
      <w:r w:rsidR="00510CCB" w:rsidRPr="00B33A7B">
        <w:rPr>
          <w:rFonts w:cs="Arial"/>
        </w:rPr>
        <w:t xml:space="preserve">, Qualifying Infill Area, </w:t>
      </w:r>
      <w:r w:rsidRPr="00B33A7B">
        <w:rPr>
          <w:rFonts w:cs="Arial"/>
        </w:rPr>
        <w:t xml:space="preserve">and Capital Improvement Project </w:t>
      </w:r>
      <w:r w:rsidR="00CE687C" w:rsidRPr="00030EFA">
        <w:rPr>
          <w:rFonts w:cs="Arial"/>
          <w:color w:val="C00000"/>
        </w:rPr>
        <w:t>comply with the site control requirements as set forth at UMR Sections 8303 and 8316 with the additional requirement</w:t>
      </w:r>
      <w:r w:rsidR="00AD7711" w:rsidRPr="00030EFA">
        <w:rPr>
          <w:rFonts w:cs="Arial"/>
          <w:color w:val="C00000"/>
        </w:rPr>
        <w:t>s</w:t>
      </w:r>
      <w:r w:rsidR="00CE687C" w:rsidRPr="00030EFA">
        <w:rPr>
          <w:rFonts w:cs="Arial"/>
          <w:color w:val="C00000"/>
        </w:rPr>
        <w:t xml:space="preserve"> that the </w:t>
      </w:r>
      <w:r w:rsidR="00CE687C" w:rsidRPr="00B33A7B">
        <w:rPr>
          <w:rFonts w:cs="Arial"/>
        </w:rPr>
        <w:t>Applicant</w:t>
      </w:r>
      <w:r w:rsidR="00CE687C" w:rsidRPr="00B33A7B">
        <w:rPr>
          <w:rFonts w:cs="Arial"/>
          <w:color w:val="FF0000"/>
        </w:rPr>
        <w:t xml:space="preserve"> </w:t>
      </w:r>
      <w:r w:rsidR="00CE687C" w:rsidRPr="00030EFA">
        <w:rPr>
          <w:rFonts w:cs="Arial"/>
          <w:color w:val="C00000"/>
        </w:rPr>
        <w:t xml:space="preserve">shall </w:t>
      </w:r>
      <w:r w:rsidR="00AD7711" w:rsidRPr="00B33A7B">
        <w:rPr>
          <w:rFonts w:cs="Arial"/>
        </w:rPr>
        <w:t xml:space="preserve">demonstrate </w:t>
      </w:r>
      <w:r w:rsidR="002102B5" w:rsidRPr="00B33A7B">
        <w:rPr>
          <w:rFonts w:cs="Arial"/>
        </w:rPr>
        <w:t xml:space="preserve">site control at the time of Application and shall </w:t>
      </w:r>
      <w:r w:rsidR="00CE687C" w:rsidRPr="00030EFA">
        <w:rPr>
          <w:rFonts w:cs="Arial"/>
          <w:color w:val="C00000"/>
        </w:rPr>
        <w:t>maintain site control through</w:t>
      </w:r>
      <w:r w:rsidR="002102B5" w:rsidRPr="00030EFA">
        <w:rPr>
          <w:rFonts w:cs="Arial"/>
          <w:color w:val="C00000"/>
        </w:rPr>
        <w:t>out</w:t>
      </w:r>
      <w:r w:rsidR="00CE687C" w:rsidRPr="00030EFA">
        <w:rPr>
          <w:rFonts w:cs="Arial"/>
          <w:color w:val="C00000"/>
        </w:rPr>
        <w:t xml:space="preserve"> the </w:t>
      </w:r>
      <w:r w:rsidR="002102B5" w:rsidRPr="00B33A7B">
        <w:rPr>
          <w:rFonts w:cs="Arial"/>
        </w:rPr>
        <w:t xml:space="preserve">term of the </w:t>
      </w:r>
      <w:r w:rsidR="00CE687C" w:rsidRPr="00B33A7B">
        <w:rPr>
          <w:rFonts w:cs="Arial"/>
        </w:rPr>
        <w:t xml:space="preserve">Award. </w:t>
      </w:r>
      <w:r w:rsidR="00CE687C" w:rsidRPr="00B33A7B">
        <w:t>The term of the Award shall be five years from the date of the Award of Program funds</w:t>
      </w:r>
      <w:r w:rsidR="002102B5" w:rsidRPr="00B33A7B">
        <w:t>, or as set forth in the NOFA</w:t>
      </w:r>
      <w:r w:rsidR="00CE687C" w:rsidRPr="00B33A7B">
        <w:t xml:space="preserve">. The term of the </w:t>
      </w:r>
      <w:r w:rsidR="00BA10F3" w:rsidRPr="00B33A7B">
        <w:t>A</w:t>
      </w:r>
      <w:r w:rsidR="00CE687C" w:rsidRPr="00B33A7B">
        <w:t>ward may be extended in writing by the Department at its sole discretion,</w:t>
      </w:r>
      <w:r w:rsidR="002102B5" w:rsidRPr="00B33A7B">
        <w:t xml:space="preserve"> unless specified </w:t>
      </w:r>
      <w:r w:rsidR="0000320D" w:rsidRPr="00B33A7B">
        <w:t>otherwise in the NOFA,</w:t>
      </w:r>
      <w:r w:rsidR="00CE687C" w:rsidRPr="00B33A7B">
        <w:t xml:space="preserve"> but in no event shall the term of the Award exceed seven years from the date of the Award of Program funds</w:t>
      </w:r>
      <w:r w:rsidR="00905617" w:rsidRPr="00B33A7B">
        <w:t xml:space="preserve"> established in the NOFA</w:t>
      </w:r>
      <w:r w:rsidR="00CE687C" w:rsidRPr="00B33A7B">
        <w:t>.</w:t>
      </w:r>
    </w:p>
    <w:p w14:paraId="36C04AC7" w14:textId="77777777" w:rsidR="0079612B" w:rsidRPr="00B33A7B" w:rsidRDefault="0079612B" w:rsidP="0079612B">
      <w:pPr>
        <w:pStyle w:val="ListParagraph"/>
        <w:ind w:hanging="720"/>
        <w:rPr>
          <w:rFonts w:cs="Arial"/>
          <w:color w:val="FF0000"/>
        </w:rPr>
      </w:pPr>
    </w:p>
    <w:p w14:paraId="67FB8B87" w14:textId="44A4E56B" w:rsidR="00CE687C" w:rsidRPr="00B33A7B" w:rsidRDefault="00555BCA" w:rsidP="00993D09">
      <w:pPr>
        <w:pStyle w:val="ListParagraph"/>
        <w:numPr>
          <w:ilvl w:val="0"/>
          <w:numId w:val="69"/>
        </w:numPr>
        <w:spacing w:line="259" w:lineRule="auto"/>
        <w:ind w:hanging="720"/>
        <w:contextualSpacing/>
        <w:rPr>
          <w:rFonts w:cs="Arial"/>
        </w:rPr>
      </w:pPr>
      <w:r w:rsidRPr="00B33A7B">
        <w:rPr>
          <w:rFonts w:cs="Arial"/>
        </w:rPr>
        <w:t xml:space="preserve">The following shall apply to </w:t>
      </w:r>
      <w:r w:rsidR="008C1DB3" w:rsidRPr="00B33A7B">
        <w:rPr>
          <w:rFonts w:cs="Arial"/>
        </w:rPr>
        <w:t>Qualifying Infill Projects and Qualifying Infill Areas</w:t>
      </w:r>
      <w:r w:rsidRPr="00B33A7B">
        <w:rPr>
          <w:rFonts w:cs="Arial"/>
        </w:rPr>
        <w:t xml:space="preserve">: </w:t>
      </w:r>
    </w:p>
    <w:p w14:paraId="20BA149C" w14:textId="77777777" w:rsidR="00555BCA" w:rsidRPr="00B33A7B" w:rsidRDefault="00555BCA" w:rsidP="003958E6">
      <w:pPr>
        <w:pStyle w:val="ListParagraph"/>
        <w:ind w:left="1440"/>
        <w:rPr>
          <w:rFonts w:cs="Arial"/>
        </w:rPr>
      </w:pPr>
    </w:p>
    <w:p w14:paraId="3CA2718B" w14:textId="402B9DA6" w:rsidR="006D6370" w:rsidRPr="00B33A7B" w:rsidRDefault="0079612B" w:rsidP="00993D09">
      <w:pPr>
        <w:pStyle w:val="ListParagraph"/>
        <w:numPr>
          <w:ilvl w:val="2"/>
          <w:numId w:val="70"/>
        </w:numPr>
        <w:spacing w:line="259" w:lineRule="auto"/>
        <w:ind w:hanging="720"/>
        <w:contextualSpacing/>
        <w:rPr>
          <w:rFonts w:cs="Arial"/>
          <w:color w:val="FF0000"/>
        </w:rPr>
      </w:pPr>
      <w:r w:rsidRPr="00030EFA">
        <w:rPr>
          <w:rFonts w:cs="Arial"/>
          <w:color w:val="C00000"/>
        </w:rPr>
        <w:t xml:space="preserve">Where </w:t>
      </w:r>
      <w:r w:rsidR="00C27C37" w:rsidRPr="00030EFA">
        <w:rPr>
          <w:rFonts w:cs="Arial"/>
          <w:color w:val="C00000"/>
        </w:rPr>
        <w:t>site control is in the name of another entity, the Applicant shall provide documentation, in form and substance reasonably satisfactory to the Department (e.g.</w:t>
      </w:r>
      <w:r w:rsidR="009D35F3" w:rsidRPr="00030EFA">
        <w:rPr>
          <w:rFonts w:cs="Arial"/>
          <w:color w:val="C00000"/>
        </w:rPr>
        <w:t>,</w:t>
      </w:r>
      <w:r w:rsidR="00C27C37" w:rsidRPr="00030EFA">
        <w:rPr>
          <w:rFonts w:cs="Arial"/>
          <w:color w:val="C00000"/>
        </w:rPr>
        <w:t xml:space="preserve"> a purchase and sale agreement, an option, a leasehold interest/option, a disposition and development agreement, an exclusive right to negotiate with a public agency for the acquisition of the site), which clearly demonstrates that the Applicant has some form of right to acquire or lease the </w:t>
      </w:r>
      <w:r w:rsidR="00747290" w:rsidRPr="00030EFA">
        <w:rPr>
          <w:rFonts w:cs="Arial"/>
          <w:color w:val="C00000"/>
        </w:rPr>
        <w:t>p</w:t>
      </w:r>
      <w:r w:rsidR="00C27C37" w:rsidRPr="00030EFA">
        <w:rPr>
          <w:rFonts w:cs="Arial"/>
          <w:color w:val="C00000"/>
        </w:rPr>
        <w:t xml:space="preserve">roject property </w:t>
      </w:r>
      <w:r w:rsidR="00C27C37" w:rsidRPr="00B33A7B">
        <w:rPr>
          <w:rFonts w:cs="Arial"/>
        </w:rPr>
        <w:t>(</w:t>
      </w:r>
      <w:r w:rsidR="00C27C37" w:rsidRPr="00B33A7B" w:rsidDel="009F342D">
        <w:rPr>
          <w:rFonts w:cs="Arial"/>
        </w:rPr>
        <w:t>e.g</w:t>
      </w:r>
      <w:r w:rsidR="009F342D" w:rsidRPr="00B33A7B">
        <w:rPr>
          <w:rFonts w:cs="Arial"/>
        </w:rPr>
        <w:t>.</w:t>
      </w:r>
      <w:r w:rsidR="00C27C37" w:rsidRPr="00B33A7B">
        <w:rPr>
          <w:rFonts w:cs="Arial"/>
        </w:rPr>
        <w:t>, the entity’s organizational documents, a purchase and sale agreement, and option, an assignment).</w:t>
      </w:r>
    </w:p>
    <w:p w14:paraId="6ED8ABD0" w14:textId="77777777" w:rsidR="00285D92" w:rsidRPr="00B33A7B" w:rsidRDefault="00285D92" w:rsidP="00285D92">
      <w:pPr>
        <w:pStyle w:val="ListParagraph"/>
        <w:spacing w:line="259" w:lineRule="auto"/>
        <w:ind w:left="2160"/>
        <w:contextualSpacing/>
        <w:rPr>
          <w:rFonts w:cs="Arial"/>
          <w:color w:val="FF0000"/>
        </w:rPr>
      </w:pPr>
    </w:p>
    <w:p w14:paraId="0C19E2DA" w14:textId="41812C38" w:rsidR="00285D92" w:rsidRPr="00030EFA" w:rsidRDefault="00285D92" w:rsidP="0028269F">
      <w:pPr>
        <w:pStyle w:val="ListParagraph"/>
        <w:widowControl w:val="0"/>
        <w:numPr>
          <w:ilvl w:val="2"/>
          <w:numId w:val="70"/>
        </w:numPr>
        <w:autoSpaceDE w:val="0"/>
        <w:autoSpaceDN w:val="0"/>
        <w:ind w:hanging="720"/>
        <w:rPr>
          <w:rFonts w:cs="Arial"/>
          <w:color w:val="C00000"/>
        </w:rPr>
      </w:pPr>
      <w:r w:rsidRPr="00030EFA">
        <w:rPr>
          <w:rFonts w:cs="Arial"/>
          <w:color w:val="C00000"/>
        </w:rPr>
        <w:t xml:space="preserve">Where site </w:t>
      </w:r>
      <w:bookmarkStart w:id="15" w:name="_Hlk98340552"/>
      <w:r w:rsidRPr="00030EFA">
        <w:rPr>
          <w:rFonts w:cs="Arial"/>
          <w:color w:val="C00000"/>
        </w:rPr>
        <w:t xml:space="preserve">control will be satisfied by a long-term ground lease, the Department will require the execution and recordation of the Department’s form lease rider, which shall be entered into by and among the ground lessor, the ground lessee, the Department, and any other applicable parties. In all cases, the lease rider shall be recorded against the fee interest in the </w:t>
      </w:r>
      <w:r w:rsidR="00747290" w:rsidRPr="00030EFA">
        <w:rPr>
          <w:rFonts w:cs="Arial"/>
          <w:color w:val="C00000"/>
        </w:rPr>
        <w:t>p</w:t>
      </w:r>
      <w:r w:rsidRPr="00030EFA">
        <w:rPr>
          <w:rFonts w:cs="Arial"/>
          <w:color w:val="C00000"/>
        </w:rPr>
        <w:t>roject property</w:t>
      </w:r>
      <w:bookmarkEnd w:id="15"/>
      <w:r w:rsidRPr="00030EFA">
        <w:rPr>
          <w:rFonts w:cs="Arial"/>
          <w:color w:val="C00000"/>
        </w:rPr>
        <w:t>.</w:t>
      </w:r>
    </w:p>
    <w:p w14:paraId="77970CF4" w14:textId="77777777" w:rsidR="0079612B" w:rsidRPr="00B33A7B" w:rsidRDefault="0079612B" w:rsidP="0079612B">
      <w:pPr>
        <w:pStyle w:val="ListParagraph"/>
        <w:tabs>
          <w:tab w:val="left" w:pos="732"/>
        </w:tabs>
        <w:ind w:left="1350" w:hanging="720"/>
        <w:rPr>
          <w:rFonts w:cs="Arial"/>
        </w:rPr>
      </w:pPr>
    </w:p>
    <w:p w14:paraId="78D8E280" w14:textId="1C32651E" w:rsidR="0079612B" w:rsidRPr="00B33A7B" w:rsidRDefault="00D75B21" w:rsidP="00993D09">
      <w:pPr>
        <w:pStyle w:val="ListParagraph"/>
        <w:numPr>
          <w:ilvl w:val="0"/>
          <w:numId w:val="69"/>
        </w:numPr>
        <w:spacing w:line="259" w:lineRule="auto"/>
        <w:ind w:hanging="720"/>
        <w:contextualSpacing/>
        <w:rPr>
          <w:rFonts w:cs="Arial"/>
        </w:rPr>
      </w:pPr>
      <w:r w:rsidRPr="00B33A7B">
        <w:rPr>
          <w:rFonts w:cs="Arial"/>
        </w:rPr>
        <w:t>T</w:t>
      </w:r>
      <w:r w:rsidR="0079612B" w:rsidRPr="00B33A7B">
        <w:rPr>
          <w:rFonts w:cs="Arial"/>
        </w:rPr>
        <w:t xml:space="preserve">he following shall apply to </w:t>
      </w:r>
      <w:r w:rsidRPr="00B33A7B">
        <w:rPr>
          <w:rFonts w:cs="Arial"/>
        </w:rPr>
        <w:t xml:space="preserve">offsite work proposed for </w:t>
      </w:r>
      <w:r w:rsidR="0079612B" w:rsidRPr="00B33A7B">
        <w:rPr>
          <w:rFonts w:cs="Arial"/>
        </w:rPr>
        <w:t xml:space="preserve">Capital Improvement Projects: </w:t>
      </w:r>
    </w:p>
    <w:p w14:paraId="33763E10" w14:textId="77777777" w:rsidR="0079612B" w:rsidRPr="00B33A7B" w:rsidRDefault="0079612B" w:rsidP="0079612B">
      <w:pPr>
        <w:pStyle w:val="ListParagraph"/>
        <w:ind w:hanging="720"/>
        <w:rPr>
          <w:rFonts w:cs="Arial"/>
        </w:rPr>
      </w:pPr>
    </w:p>
    <w:p w14:paraId="5A37C580" w14:textId="4F187891" w:rsidR="0079612B" w:rsidRPr="00B33A7B" w:rsidRDefault="0094233D" w:rsidP="008D66CB">
      <w:pPr>
        <w:pStyle w:val="ListParagraph"/>
        <w:numPr>
          <w:ilvl w:val="2"/>
          <w:numId w:val="87"/>
        </w:numPr>
        <w:spacing w:line="259" w:lineRule="auto"/>
        <w:ind w:hanging="720"/>
        <w:contextualSpacing/>
        <w:rPr>
          <w:rFonts w:cs="Arial"/>
        </w:rPr>
      </w:pPr>
      <w:r w:rsidRPr="00B33A7B">
        <w:rPr>
          <w:rFonts w:cs="Arial"/>
        </w:rPr>
        <w:t>Recipient/Sponsor shall have a</w:t>
      </w:r>
      <w:r w:rsidR="0079612B" w:rsidRPr="00B33A7B">
        <w:rPr>
          <w:rFonts w:cs="Arial"/>
        </w:rPr>
        <w:t xml:space="preserve"> right of way or easement, which is either perpetual, or of sufficient duration to meet Program requirements, and which allows the Recipient</w:t>
      </w:r>
      <w:r w:rsidR="00F44862" w:rsidRPr="00B33A7B">
        <w:rPr>
          <w:rFonts w:cs="Arial"/>
        </w:rPr>
        <w:t>/</w:t>
      </w:r>
      <w:r w:rsidR="0079612B" w:rsidRPr="00B33A7B">
        <w:rPr>
          <w:rFonts w:cs="Arial"/>
        </w:rPr>
        <w:t>Sponsor to access, improve, occupy, use, maintain, repair, and alter the property underlying the right of way or easement;</w:t>
      </w:r>
      <w:r w:rsidR="00897988" w:rsidRPr="00B33A7B">
        <w:rPr>
          <w:rFonts w:cs="Arial"/>
        </w:rPr>
        <w:t xml:space="preserve"> and</w:t>
      </w:r>
    </w:p>
    <w:p w14:paraId="28A0A99A" w14:textId="77777777" w:rsidR="0079612B" w:rsidRPr="00B33A7B" w:rsidRDefault="0079612B" w:rsidP="0079612B">
      <w:pPr>
        <w:pStyle w:val="ListParagraph"/>
        <w:widowControl w:val="0"/>
        <w:autoSpaceDE w:val="0"/>
        <w:autoSpaceDN w:val="0"/>
        <w:ind w:left="2160" w:hanging="720"/>
        <w:rPr>
          <w:rFonts w:cs="Arial"/>
        </w:rPr>
      </w:pPr>
    </w:p>
    <w:p w14:paraId="36973437" w14:textId="468B20AB" w:rsidR="0079612B" w:rsidRPr="00B33A7B" w:rsidRDefault="001770E9" w:rsidP="008D66CB">
      <w:pPr>
        <w:pStyle w:val="ListParagraph"/>
        <w:numPr>
          <w:ilvl w:val="2"/>
          <w:numId w:val="87"/>
        </w:numPr>
        <w:spacing w:line="259" w:lineRule="auto"/>
        <w:ind w:hanging="720"/>
        <w:contextualSpacing/>
        <w:rPr>
          <w:rFonts w:cs="Arial"/>
        </w:rPr>
      </w:pPr>
      <w:r w:rsidRPr="00B33A7B">
        <w:rPr>
          <w:rFonts w:cs="Arial"/>
        </w:rPr>
        <w:lastRenderedPageBreak/>
        <w:t>Recipient/Sponsor shall have a</w:t>
      </w:r>
      <w:r w:rsidR="0079612B" w:rsidRPr="00B33A7B">
        <w:rPr>
          <w:rFonts w:cs="Arial"/>
        </w:rPr>
        <w:t>n executed encroachment permit for construction of improvements or facilities within the public right of way or on public land</w:t>
      </w:r>
      <w:r w:rsidR="008048B7" w:rsidRPr="00B33A7B">
        <w:rPr>
          <w:rFonts w:cs="Arial"/>
        </w:rPr>
        <w:t>.</w:t>
      </w:r>
    </w:p>
    <w:p w14:paraId="79382EDA" w14:textId="3901C478" w:rsidR="0079612B" w:rsidRPr="00B33A7B" w:rsidRDefault="0079612B" w:rsidP="0079612B">
      <w:pPr>
        <w:pStyle w:val="Style2"/>
        <w:ind w:left="0"/>
        <w:rPr>
          <w:color w:val="auto"/>
        </w:rPr>
      </w:pPr>
    </w:p>
    <w:p w14:paraId="53C98739" w14:textId="3816A14A" w:rsidR="00675986" w:rsidRPr="006A7292" w:rsidRDefault="00675986" w:rsidP="00993D09">
      <w:pPr>
        <w:pStyle w:val="ListParagraph"/>
        <w:numPr>
          <w:ilvl w:val="0"/>
          <w:numId w:val="69"/>
        </w:numPr>
        <w:spacing w:line="259" w:lineRule="auto"/>
        <w:ind w:hanging="720"/>
        <w:contextualSpacing/>
        <w:rPr>
          <w:rFonts w:cs="Arial"/>
          <w:color w:val="C00000"/>
        </w:rPr>
      </w:pPr>
      <w:r w:rsidRPr="006A7292">
        <w:rPr>
          <w:rFonts w:cs="Arial"/>
          <w:color w:val="C00000"/>
        </w:rPr>
        <w:t>For</w:t>
      </w:r>
      <w:r w:rsidRPr="00B33A7B">
        <w:rPr>
          <w:rFonts w:cs="Arial"/>
          <w:color w:val="FF0000"/>
        </w:rPr>
        <w:t xml:space="preserve"> </w:t>
      </w:r>
      <w:r w:rsidRPr="00B33A7B">
        <w:rPr>
          <w:rFonts w:cs="Arial"/>
        </w:rPr>
        <w:t>Qualifying Infill Projects</w:t>
      </w:r>
      <w:r w:rsidR="007E1AFB" w:rsidRPr="00B33A7B">
        <w:rPr>
          <w:rFonts w:cs="Arial"/>
        </w:rPr>
        <w:t xml:space="preserve"> </w:t>
      </w:r>
      <w:r w:rsidRPr="00B33A7B">
        <w:rPr>
          <w:rFonts w:cs="Arial"/>
        </w:rPr>
        <w:t>and Capital Improvement Project</w:t>
      </w:r>
      <w:r w:rsidR="001770E9" w:rsidRPr="00B33A7B">
        <w:rPr>
          <w:rFonts w:cs="Arial"/>
        </w:rPr>
        <w:t>s</w:t>
      </w:r>
      <w:r w:rsidRPr="00B33A7B">
        <w:rPr>
          <w:rFonts w:cs="Arial"/>
        </w:rPr>
        <w:t xml:space="preserve"> </w:t>
      </w:r>
      <w:r w:rsidRPr="006A7292">
        <w:rPr>
          <w:rFonts w:cs="Arial"/>
          <w:color w:val="C00000"/>
        </w:rPr>
        <w:t xml:space="preserve">developed in Indian </w:t>
      </w:r>
      <w:r w:rsidR="0000320D" w:rsidRPr="006A7292">
        <w:rPr>
          <w:rFonts w:cs="Arial"/>
          <w:color w:val="C00000"/>
        </w:rPr>
        <w:t>Country</w:t>
      </w:r>
      <w:r w:rsidRPr="006A7292">
        <w:rPr>
          <w:rFonts w:cs="Arial"/>
          <w:color w:val="C00000"/>
        </w:rPr>
        <w:t>, the following exceptions apply:</w:t>
      </w:r>
    </w:p>
    <w:p w14:paraId="7555680D" w14:textId="77777777" w:rsidR="00675986" w:rsidRPr="006A7292" w:rsidRDefault="00675986" w:rsidP="00675986">
      <w:pPr>
        <w:pStyle w:val="ListParagraph"/>
        <w:widowControl w:val="0"/>
        <w:autoSpaceDE w:val="0"/>
        <w:autoSpaceDN w:val="0"/>
        <w:ind w:left="1440"/>
        <w:rPr>
          <w:rFonts w:cs="Arial"/>
          <w:color w:val="C00000"/>
        </w:rPr>
      </w:pPr>
    </w:p>
    <w:p w14:paraId="6885AC76" w14:textId="6E6E015F" w:rsidR="00675986" w:rsidRPr="006A7292" w:rsidRDefault="00675986" w:rsidP="00BE6145">
      <w:pPr>
        <w:pStyle w:val="ListParagraph"/>
        <w:numPr>
          <w:ilvl w:val="2"/>
          <w:numId w:val="88"/>
        </w:numPr>
        <w:spacing w:line="259" w:lineRule="auto"/>
        <w:ind w:hanging="720"/>
        <w:contextualSpacing/>
        <w:rPr>
          <w:rFonts w:cs="Arial"/>
          <w:color w:val="C00000"/>
        </w:rPr>
      </w:pPr>
      <w:r w:rsidRPr="006A7292">
        <w:rPr>
          <w:rFonts w:cs="Arial"/>
          <w:color w:val="C00000"/>
        </w:rPr>
        <w:t xml:space="preserve">Where site control is a ground lease, the lease agreement between the Tribal Entity and </w:t>
      </w:r>
      <w:r w:rsidRPr="00B33A7B">
        <w:rPr>
          <w:rFonts w:cs="Arial"/>
        </w:rPr>
        <w:t xml:space="preserve">the </w:t>
      </w:r>
      <w:r w:rsidR="00014CFC" w:rsidRPr="00B33A7B">
        <w:rPr>
          <w:rFonts w:cs="Arial"/>
        </w:rPr>
        <w:t>p</w:t>
      </w:r>
      <w:r w:rsidR="001770E9" w:rsidRPr="00B33A7B">
        <w:rPr>
          <w:rFonts w:cs="Arial"/>
        </w:rPr>
        <w:t>roject owner</w:t>
      </w:r>
      <w:r w:rsidRPr="00B33A7B">
        <w:rPr>
          <w:rFonts w:cs="Arial"/>
          <w:spacing w:val="-1"/>
        </w:rPr>
        <w:t xml:space="preserve"> </w:t>
      </w:r>
      <w:r w:rsidRPr="006A7292">
        <w:rPr>
          <w:rFonts w:cs="Arial"/>
          <w:color w:val="C00000"/>
        </w:rPr>
        <w:t>is for</w:t>
      </w:r>
      <w:r w:rsidRPr="006A7292">
        <w:rPr>
          <w:rFonts w:cs="Arial"/>
          <w:color w:val="C00000"/>
          <w:spacing w:val="-4"/>
        </w:rPr>
        <w:t xml:space="preserve"> </w:t>
      </w:r>
      <w:r w:rsidRPr="006A7292">
        <w:rPr>
          <w:rFonts w:cs="Arial"/>
          <w:color w:val="C00000"/>
        </w:rPr>
        <w:t>a</w:t>
      </w:r>
      <w:r w:rsidRPr="006A7292">
        <w:rPr>
          <w:rFonts w:cs="Arial"/>
          <w:color w:val="C00000"/>
          <w:spacing w:val="1"/>
        </w:rPr>
        <w:t xml:space="preserve"> </w:t>
      </w:r>
      <w:r w:rsidRPr="006A7292">
        <w:rPr>
          <w:rFonts w:cs="Arial"/>
          <w:color w:val="C00000"/>
        </w:rPr>
        <w:t>period</w:t>
      </w:r>
      <w:r w:rsidRPr="006A7292">
        <w:rPr>
          <w:rFonts w:cs="Arial"/>
          <w:color w:val="C00000"/>
          <w:spacing w:val="1"/>
        </w:rPr>
        <w:t xml:space="preserve"> </w:t>
      </w:r>
      <w:r w:rsidRPr="006A7292">
        <w:rPr>
          <w:rFonts w:cs="Arial"/>
          <w:color w:val="C00000"/>
        </w:rPr>
        <w:t>not</w:t>
      </w:r>
      <w:r w:rsidRPr="006A7292">
        <w:rPr>
          <w:rFonts w:cs="Arial"/>
          <w:color w:val="C00000"/>
          <w:spacing w:val="-1"/>
        </w:rPr>
        <w:t xml:space="preserve"> </w:t>
      </w:r>
      <w:r w:rsidRPr="006A7292">
        <w:rPr>
          <w:rFonts w:cs="Arial"/>
          <w:color w:val="C00000"/>
        </w:rPr>
        <w:t>less</w:t>
      </w:r>
      <w:r w:rsidRPr="006A7292">
        <w:rPr>
          <w:rFonts w:cs="Arial"/>
          <w:color w:val="C00000"/>
          <w:spacing w:val="-2"/>
        </w:rPr>
        <w:t xml:space="preserve"> </w:t>
      </w:r>
      <w:r w:rsidRPr="006A7292">
        <w:rPr>
          <w:rFonts w:cs="Arial"/>
          <w:color w:val="C00000"/>
        </w:rPr>
        <w:t>than</w:t>
      </w:r>
      <w:r w:rsidRPr="006A7292">
        <w:rPr>
          <w:rFonts w:cs="Arial"/>
          <w:color w:val="C00000"/>
          <w:spacing w:val="1"/>
        </w:rPr>
        <w:t xml:space="preserve"> </w:t>
      </w:r>
      <w:r w:rsidRPr="006A7292">
        <w:rPr>
          <w:rFonts w:cs="Arial"/>
          <w:color w:val="C00000"/>
        </w:rPr>
        <w:t>50</w:t>
      </w:r>
      <w:r w:rsidRPr="006A7292">
        <w:rPr>
          <w:rFonts w:cs="Arial"/>
          <w:color w:val="C00000"/>
          <w:spacing w:val="-2"/>
        </w:rPr>
        <w:t xml:space="preserve"> </w:t>
      </w:r>
      <w:r w:rsidRPr="006A7292">
        <w:rPr>
          <w:rFonts w:cs="Arial"/>
          <w:color w:val="C00000"/>
        </w:rPr>
        <w:t>years;</w:t>
      </w:r>
      <w:r w:rsidRPr="006A7292">
        <w:rPr>
          <w:rFonts w:cs="Arial"/>
          <w:color w:val="C00000"/>
          <w:spacing w:val="1"/>
        </w:rPr>
        <w:t xml:space="preserve"> </w:t>
      </w:r>
      <w:r w:rsidRPr="006A7292">
        <w:rPr>
          <w:rFonts w:cs="Arial"/>
          <w:color w:val="C00000"/>
        </w:rPr>
        <w:t>and</w:t>
      </w:r>
    </w:p>
    <w:p w14:paraId="6B3620E0" w14:textId="77777777" w:rsidR="00675986" w:rsidRPr="006A7292" w:rsidRDefault="00675986" w:rsidP="00675986">
      <w:pPr>
        <w:pStyle w:val="ListParagraph"/>
        <w:widowControl w:val="0"/>
        <w:autoSpaceDE w:val="0"/>
        <w:autoSpaceDN w:val="0"/>
        <w:ind w:left="2160"/>
        <w:rPr>
          <w:rFonts w:cs="Arial"/>
          <w:color w:val="C00000"/>
        </w:rPr>
      </w:pPr>
    </w:p>
    <w:p w14:paraId="169834CD" w14:textId="77777777" w:rsidR="00675986" w:rsidRPr="006A7292" w:rsidRDefault="00675986" w:rsidP="00BE6145">
      <w:pPr>
        <w:pStyle w:val="ListParagraph"/>
        <w:numPr>
          <w:ilvl w:val="2"/>
          <w:numId w:val="88"/>
        </w:numPr>
        <w:spacing w:line="259" w:lineRule="auto"/>
        <w:ind w:hanging="720"/>
        <w:contextualSpacing/>
        <w:rPr>
          <w:rFonts w:cs="Arial"/>
          <w:color w:val="C00000"/>
        </w:rPr>
      </w:pPr>
      <w:r w:rsidRPr="006A7292">
        <w:rPr>
          <w:rFonts w:cs="Arial"/>
          <w:color w:val="C00000"/>
        </w:rPr>
        <w:t>An attorney’s opinion regarding chain of title and current title status is acceptable in lieu of a title report.</w:t>
      </w:r>
    </w:p>
    <w:p w14:paraId="13DB0132" w14:textId="77777777" w:rsidR="00675986" w:rsidRPr="006A7292" w:rsidRDefault="00675986" w:rsidP="0079612B">
      <w:pPr>
        <w:pStyle w:val="Style2"/>
        <w:ind w:left="0"/>
        <w:rPr>
          <w:color w:val="C00000"/>
        </w:rPr>
      </w:pPr>
    </w:p>
    <w:p w14:paraId="5D222839" w14:textId="253F7F33" w:rsidR="00A17BC6" w:rsidRPr="006A7292" w:rsidRDefault="00A17BC6" w:rsidP="00993D09">
      <w:pPr>
        <w:pStyle w:val="ListParagraph"/>
        <w:widowControl w:val="0"/>
        <w:numPr>
          <w:ilvl w:val="0"/>
          <w:numId w:val="34"/>
        </w:numPr>
        <w:tabs>
          <w:tab w:val="left" w:pos="911"/>
          <w:tab w:val="left" w:pos="912"/>
        </w:tabs>
        <w:autoSpaceDE w:val="0"/>
        <w:autoSpaceDN w:val="0"/>
        <w:ind w:left="810" w:hanging="720"/>
        <w:rPr>
          <w:rFonts w:cs="Arial"/>
          <w:color w:val="C00000"/>
        </w:rPr>
      </w:pPr>
      <w:r w:rsidRPr="006A7292">
        <w:rPr>
          <w:rFonts w:cs="Arial"/>
          <w:color w:val="C00000"/>
        </w:rPr>
        <w:t xml:space="preserve">The </w:t>
      </w:r>
      <w:r w:rsidR="00014CFC" w:rsidRPr="006A7292">
        <w:rPr>
          <w:rFonts w:cs="Arial"/>
          <w:color w:val="C00000"/>
        </w:rPr>
        <w:t>p</w:t>
      </w:r>
      <w:r w:rsidRPr="006A7292">
        <w:rPr>
          <w:rFonts w:cs="Arial"/>
          <w:color w:val="C00000"/>
        </w:rPr>
        <w:t xml:space="preserve">roject complies with accessibility and fair housing obligations in </w:t>
      </w:r>
      <w:r w:rsidR="0003427E" w:rsidRPr="006A7292">
        <w:rPr>
          <w:rFonts w:cs="Arial"/>
          <w:color w:val="C00000"/>
        </w:rPr>
        <w:t>S</w:t>
      </w:r>
      <w:r w:rsidR="0057713E" w:rsidRPr="006A7292">
        <w:rPr>
          <w:rFonts w:cs="Arial"/>
          <w:color w:val="C00000"/>
        </w:rPr>
        <w:t xml:space="preserve">ection </w:t>
      </w:r>
      <w:r w:rsidR="00637075" w:rsidRPr="006A7292">
        <w:rPr>
          <w:rFonts w:cs="Arial"/>
          <w:color w:val="C00000"/>
        </w:rPr>
        <w:t>300</w:t>
      </w:r>
      <w:r w:rsidRPr="006A7292">
        <w:rPr>
          <w:rFonts w:cs="Arial"/>
          <w:color w:val="C00000"/>
        </w:rPr>
        <w:t xml:space="preserve">. </w:t>
      </w:r>
    </w:p>
    <w:p w14:paraId="09F43855" w14:textId="77777777" w:rsidR="00294A87" w:rsidRPr="00B33A7B" w:rsidRDefault="00294A87" w:rsidP="00E070E2">
      <w:pPr>
        <w:ind w:right="360"/>
        <w:rPr>
          <w:rFonts w:cs="Arial"/>
        </w:rPr>
      </w:pPr>
    </w:p>
    <w:p w14:paraId="57C0ED25" w14:textId="400727E8" w:rsidR="00321199" w:rsidRPr="00B33A7B" w:rsidRDefault="00321199" w:rsidP="00812B87">
      <w:pPr>
        <w:pStyle w:val="Style2"/>
        <w:outlineLvl w:val="1"/>
        <w:rPr>
          <w:color w:val="auto"/>
        </w:rPr>
      </w:pPr>
      <w:bookmarkStart w:id="16" w:name="_Toc21277641"/>
      <w:bookmarkStart w:id="17" w:name="_Toc106173287"/>
      <w:r w:rsidRPr="00B33A7B">
        <w:rPr>
          <w:color w:val="auto"/>
        </w:rPr>
        <w:t xml:space="preserve">Section </w:t>
      </w:r>
      <w:r w:rsidR="009536E6" w:rsidRPr="00B33A7B">
        <w:rPr>
          <w:color w:val="auto"/>
        </w:rPr>
        <w:t>203</w:t>
      </w:r>
      <w:r w:rsidRPr="00B33A7B">
        <w:rPr>
          <w:color w:val="auto"/>
        </w:rPr>
        <w:t xml:space="preserve">. Eligible </w:t>
      </w:r>
      <w:bookmarkEnd w:id="16"/>
      <w:r w:rsidR="00C42BA5" w:rsidRPr="00B33A7B">
        <w:rPr>
          <w:color w:val="auto"/>
        </w:rPr>
        <w:t>Use of Funds</w:t>
      </w:r>
      <w:r w:rsidR="00D61258" w:rsidRPr="00B33A7B">
        <w:rPr>
          <w:color w:val="auto"/>
        </w:rPr>
        <w:t>.</w:t>
      </w:r>
      <w:bookmarkEnd w:id="17"/>
    </w:p>
    <w:p w14:paraId="1F567A16" w14:textId="72FA1FAA" w:rsidR="00321199" w:rsidRPr="00B33A7B" w:rsidRDefault="00321199">
      <w:pPr>
        <w:rPr>
          <w:rFonts w:cs="Arial"/>
        </w:rPr>
      </w:pPr>
    </w:p>
    <w:p w14:paraId="228207FE" w14:textId="1A0F0026" w:rsidR="001743DD" w:rsidRPr="00B33A7B" w:rsidRDefault="001743DD" w:rsidP="001743DD">
      <w:pPr>
        <w:pStyle w:val="ListParagraph"/>
        <w:tabs>
          <w:tab w:val="left" w:pos="911"/>
          <w:tab w:val="left" w:pos="912"/>
        </w:tabs>
        <w:ind w:left="0"/>
        <w:rPr>
          <w:rFonts w:cs="Arial"/>
          <w:color w:val="FF0000"/>
        </w:rPr>
      </w:pPr>
      <w:r w:rsidRPr="00D70C50">
        <w:rPr>
          <w:rFonts w:cs="Arial"/>
          <w:color w:val="C00000"/>
        </w:rPr>
        <w:t xml:space="preserve">Funds shall be used only for approved eligible costs that are incurred on the </w:t>
      </w:r>
      <w:r w:rsidRPr="00B33A7B">
        <w:rPr>
          <w:rFonts w:cs="Arial"/>
        </w:rPr>
        <w:t>Capital Improvement Project</w:t>
      </w:r>
      <w:r w:rsidR="009C34CF" w:rsidRPr="00B33A7B">
        <w:rPr>
          <w:rFonts w:cs="Arial"/>
        </w:rPr>
        <w:t>s</w:t>
      </w:r>
      <w:r w:rsidRPr="00B33A7B">
        <w:rPr>
          <w:rFonts w:cs="Arial"/>
        </w:rPr>
        <w:t xml:space="preserve"> </w:t>
      </w:r>
      <w:r w:rsidRPr="00D70C50">
        <w:rPr>
          <w:rFonts w:cs="Arial"/>
          <w:color w:val="C00000"/>
        </w:rPr>
        <w:t>as set forth</w:t>
      </w:r>
      <w:r w:rsidRPr="00D70C50">
        <w:rPr>
          <w:rFonts w:cs="Arial"/>
          <w:color w:val="C00000"/>
          <w:spacing w:val="1"/>
        </w:rPr>
        <w:t xml:space="preserve"> </w:t>
      </w:r>
      <w:r w:rsidRPr="00D70C50">
        <w:rPr>
          <w:rFonts w:cs="Arial"/>
          <w:color w:val="C00000"/>
        </w:rPr>
        <w:t>in this section. In addition, the</w:t>
      </w:r>
      <w:r w:rsidRPr="00D70C50">
        <w:rPr>
          <w:rFonts w:cs="Arial"/>
          <w:color w:val="C00000"/>
          <w:spacing w:val="1"/>
        </w:rPr>
        <w:t xml:space="preserve"> </w:t>
      </w:r>
      <w:r w:rsidRPr="00D70C50">
        <w:rPr>
          <w:rFonts w:cs="Arial"/>
          <w:color w:val="C00000"/>
        </w:rPr>
        <w:t>costs must be necessary and must be consistent with the lowest reasonable cost consistent with the Project's scope</w:t>
      </w:r>
      <w:r w:rsidRPr="00D70C50">
        <w:rPr>
          <w:rFonts w:cs="Arial"/>
          <w:color w:val="C00000"/>
          <w:spacing w:val="-2"/>
        </w:rPr>
        <w:t xml:space="preserve"> </w:t>
      </w:r>
      <w:r w:rsidRPr="00D70C50">
        <w:rPr>
          <w:rFonts w:cs="Arial"/>
          <w:color w:val="C00000"/>
        </w:rPr>
        <w:t>and</w:t>
      </w:r>
      <w:r w:rsidRPr="00D70C50">
        <w:rPr>
          <w:rFonts w:cs="Arial"/>
          <w:color w:val="C00000"/>
          <w:spacing w:val="1"/>
        </w:rPr>
        <w:t xml:space="preserve"> </w:t>
      </w:r>
      <w:r w:rsidRPr="00D70C50">
        <w:rPr>
          <w:rFonts w:cs="Arial"/>
          <w:color w:val="C00000"/>
        </w:rPr>
        <w:t>area</w:t>
      </w:r>
      <w:r w:rsidRPr="00D70C50">
        <w:rPr>
          <w:rFonts w:cs="Arial"/>
          <w:color w:val="C00000"/>
          <w:spacing w:val="-1"/>
        </w:rPr>
        <w:t xml:space="preserve"> </w:t>
      </w:r>
      <w:r w:rsidRPr="00D70C50">
        <w:rPr>
          <w:rFonts w:cs="Arial"/>
          <w:color w:val="C00000"/>
        </w:rPr>
        <w:t>as</w:t>
      </w:r>
      <w:r w:rsidRPr="00D70C50">
        <w:rPr>
          <w:rFonts w:cs="Arial"/>
          <w:color w:val="C00000"/>
          <w:spacing w:val="-3"/>
        </w:rPr>
        <w:t xml:space="preserve"> </w:t>
      </w:r>
      <w:r w:rsidRPr="00D70C50">
        <w:rPr>
          <w:rFonts w:cs="Arial"/>
          <w:color w:val="C00000"/>
        </w:rPr>
        <w:t>determined</w:t>
      </w:r>
      <w:r w:rsidRPr="00D70C50">
        <w:rPr>
          <w:rFonts w:cs="Arial"/>
          <w:color w:val="C00000"/>
          <w:spacing w:val="-1"/>
        </w:rPr>
        <w:t xml:space="preserve"> </w:t>
      </w:r>
      <w:r w:rsidRPr="00D70C50">
        <w:rPr>
          <w:rFonts w:cs="Arial"/>
          <w:color w:val="C00000"/>
        </w:rPr>
        <w:t>by</w:t>
      </w:r>
      <w:r w:rsidRPr="00D70C50">
        <w:rPr>
          <w:rFonts w:cs="Arial"/>
          <w:color w:val="C00000"/>
          <w:spacing w:val="-1"/>
        </w:rPr>
        <w:t xml:space="preserve"> </w:t>
      </w:r>
      <w:r w:rsidRPr="00D70C50">
        <w:rPr>
          <w:rFonts w:cs="Arial"/>
          <w:color w:val="C00000"/>
        </w:rPr>
        <w:t>the</w:t>
      </w:r>
      <w:r w:rsidRPr="00D70C50">
        <w:rPr>
          <w:rFonts w:cs="Arial"/>
          <w:color w:val="C00000"/>
          <w:spacing w:val="1"/>
        </w:rPr>
        <w:t xml:space="preserve"> </w:t>
      </w:r>
      <w:r w:rsidRPr="00D70C50">
        <w:rPr>
          <w:rFonts w:cs="Arial"/>
          <w:color w:val="C00000"/>
        </w:rPr>
        <w:t>Department.</w:t>
      </w:r>
    </w:p>
    <w:p w14:paraId="009DAD87" w14:textId="77777777" w:rsidR="001743DD" w:rsidRPr="00D70C50" w:rsidRDefault="001743DD">
      <w:pPr>
        <w:rPr>
          <w:rFonts w:cs="Arial"/>
          <w:color w:val="C00000"/>
        </w:rPr>
      </w:pPr>
    </w:p>
    <w:p w14:paraId="48DEABB2" w14:textId="276AE58B" w:rsidR="00E4605A" w:rsidRPr="00D70C50" w:rsidRDefault="00E4605A" w:rsidP="00993D09">
      <w:pPr>
        <w:pStyle w:val="ListParagraph"/>
        <w:numPr>
          <w:ilvl w:val="0"/>
          <w:numId w:val="33"/>
        </w:numPr>
        <w:ind w:left="720" w:right="360" w:hanging="720"/>
        <w:rPr>
          <w:rFonts w:cs="Arial"/>
          <w:color w:val="C00000"/>
        </w:rPr>
      </w:pPr>
      <w:r w:rsidRPr="00D70C50">
        <w:rPr>
          <w:rFonts w:cs="Arial"/>
          <w:color w:val="C00000"/>
        </w:rPr>
        <w:t xml:space="preserve">Funds shall only be used for </w:t>
      </w:r>
      <w:r w:rsidR="009C34CF" w:rsidRPr="00D70C50">
        <w:rPr>
          <w:rFonts w:cs="Arial"/>
          <w:color w:val="C00000"/>
        </w:rPr>
        <w:t>C</w:t>
      </w:r>
      <w:r w:rsidRPr="00D70C50">
        <w:rPr>
          <w:rFonts w:cs="Arial"/>
          <w:color w:val="C00000"/>
        </w:rPr>
        <w:t xml:space="preserve">apital </w:t>
      </w:r>
      <w:r w:rsidR="009C34CF" w:rsidRPr="00D70C50">
        <w:rPr>
          <w:rFonts w:cs="Arial"/>
          <w:color w:val="C00000"/>
        </w:rPr>
        <w:t>A</w:t>
      </w:r>
      <w:r w:rsidRPr="00D70C50">
        <w:rPr>
          <w:rFonts w:cs="Arial"/>
          <w:color w:val="C00000"/>
        </w:rPr>
        <w:t xml:space="preserve">sset related expenses as required by </w:t>
      </w:r>
      <w:r w:rsidR="0003427E" w:rsidRPr="00D70C50">
        <w:rPr>
          <w:rFonts w:cs="Arial"/>
          <w:color w:val="C00000"/>
        </w:rPr>
        <w:t>S</w:t>
      </w:r>
      <w:r w:rsidRPr="00D70C50">
        <w:rPr>
          <w:rFonts w:cs="Arial"/>
          <w:color w:val="C00000"/>
        </w:rPr>
        <w:t xml:space="preserve">ection 16727 of the </w:t>
      </w:r>
      <w:r w:rsidR="00CA72D5" w:rsidRPr="00D70C50">
        <w:rPr>
          <w:rFonts w:cs="Arial"/>
          <w:color w:val="C00000"/>
        </w:rPr>
        <w:t>GC</w:t>
      </w:r>
      <w:r w:rsidRPr="00D70C50">
        <w:rPr>
          <w:rFonts w:cs="Arial"/>
          <w:color w:val="C00000"/>
        </w:rPr>
        <w:t xml:space="preserve">. </w:t>
      </w:r>
    </w:p>
    <w:p w14:paraId="3F9AAECD" w14:textId="77A1DE66" w:rsidR="00E4605A" w:rsidRPr="00B33A7B" w:rsidRDefault="00E4605A" w:rsidP="00E4605A">
      <w:pPr>
        <w:pStyle w:val="ListParagraph"/>
        <w:ind w:right="360"/>
        <w:rPr>
          <w:rFonts w:cs="Arial"/>
        </w:rPr>
      </w:pPr>
    </w:p>
    <w:p w14:paraId="4C49B187" w14:textId="17DDF76D" w:rsidR="00321199" w:rsidRPr="00B33A7B" w:rsidRDefault="00321199" w:rsidP="00993D09">
      <w:pPr>
        <w:pStyle w:val="ListParagraph"/>
        <w:numPr>
          <w:ilvl w:val="0"/>
          <w:numId w:val="33"/>
        </w:numPr>
        <w:ind w:left="720" w:right="360" w:hanging="720"/>
        <w:rPr>
          <w:rFonts w:cs="Arial"/>
        </w:rPr>
      </w:pPr>
      <w:r w:rsidRPr="00B33A7B">
        <w:rPr>
          <w:rFonts w:cs="Arial"/>
        </w:rPr>
        <w:t xml:space="preserve">Eligible costs include the construction, </w:t>
      </w:r>
      <w:r w:rsidR="001A2AB9" w:rsidRPr="00B33A7B">
        <w:rPr>
          <w:rFonts w:cs="Arial"/>
        </w:rPr>
        <w:t>R</w:t>
      </w:r>
      <w:r w:rsidRPr="00B33A7B">
        <w:rPr>
          <w:rFonts w:cs="Arial"/>
        </w:rPr>
        <w:t>ehabilitation, demolition, relocation, preservation, acquisition, or other physical improvement</w:t>
      </w:r>
      <w:r w:rsidR="00F32A75" w:rsidRPr="00B33A7B">
        <w:rPr>
          <w:rFonts w:cs="Arial"/>
        </w:rPr>
        <w:t>s</w:t>
      </w:r>
      <w:r w:rsidRPr="00B33A7B">
        <w:rPr>
          <w:rFonts w:cs="Arial"/>
        </w:rPr>
        <w:t xml:space="preserve"> of the following:</w:t>
      </w:r>
    </w:p>
    <w:p w14:paraId="422C67A7" w14:textId="77777777" w:rsidR="00321199" w:rsidRPr="00B33A7B" w:rsidRDefault="00321199">
      <w:pPr>
        <w:ind w:left="1620" w:hanging="540"/>
        <w:rPr>
          <w:rFonts w:cs="Arial"/>
        </w:rPr>
      </w:pPr>
    </w:p>
    <w:p w14:paraId="3C9142D1" w14:textId="3969DA8D" w:rsidR="00321199" w:rsidRPr="00B33A7B" w:rsidRDefault="007C58B7" w:rsidP="00993D09">
      <w:pPr>
        <w:pStyle w:val="ListParagraph"/>
        <w:numPr>
          <w:ilvl w:val="0"/>
          <w:numId w:val="12"/>
        </w:numPr>
        <w:ind w:right="360" w:hanging="720"/>
        <w:rPr>
          <w:rFonts w:cs="Arial"/>
        </w:rPr>
      </w:pPr>
      <w:r w:rsidRPr="00B33A7B">
        <w:rPr>
          <w:rFonts w:cs="Arial"/>
        </w:rPr>
        <w:t>P</w:t>
      </w:r>
      <w:r w:rsidR="00321199" w:rsidRPr="00B33A7B">
        <w:rPr>
          <w:rFonts w:cs="Arial"/>
        </w:rPr>
        <w:t>arks or</w:t>
      </w:r>
      <w:r w:rsidRPr="00B33A7B">
        <w:rPr>
          <w:rFonts w:cs="Arial"/>
        </w:rPr>
        <w:t xml:space="preserve"> O</w:t>
      </w:r>
      <w:r w:rsidR="00321199" w:rsidRPr="00B33A7B">
        <w:rPr>
          <w:rFonts w:cs="Arial"/>
        </w:rPr>
        <w:t>pen</w:t>
      </w:r>
      <w:r w:rsidR="00853960" w:rsidRPr="00B33A7B">
        <w:rPr>
          <w:rFonts w:cs="Arial"/>
        </w:rPr>
        <w:t xml:space="preserve"> </w:t>
      </w:r>
      <w:r w:rsidRPr="00B33A7B">
        <w:rPr>
          <w:rFonts w:cs="Arial"/>
        </w:rPr>
        <w:t>S</w:t>
      </w:r>
      <w:r w:rsidR="00321199" w:rsidRPr="00B33A7B">
        <w:rPr>
          <w:rFonts w:cs="Arial"/>
        </w:rPr>
        <w:t>pace.</w:t>
      </w:r>
      <w:r w:rsidR="00321199" w:rsidRPr="00B33A7B">
        <w:rPr>
          <w:rFonts w:cs="Arial"/>
        </w:rPr>
        <w:br/>
      </w:r>
    </w:p>
    <w:p w14:paraId="2BBD1AE7" w14:textId="63529DFD" w:rsidR="00321199" w:rsidRPr="00B33A7B" w:rsidRDefault="00321199" w:rsidP="00993D09">
      <w:pPr>
        <w:pStyle w:val="ListParagraph"/>
        <w:numPr>
          <w:ilvl w:val="0"/>
          <w:numId w:val="12"/>
        </w:numPr>
        <w:ind w:right="360" w:hanging="720"/>
        <w:rPr>
          <w:rFonts w:cs="Arial"/>
        </w:rPr>
      </w:pPr>
      <w:r w:rsidRPr="00B33A7B">
        <w:rPr>
          <w:rFonts w:cs="Arial"/>
        </w:rPr>
        <w:t xml:space="preserve">Water, sewer, or other utility service improvements </w:t>
      </w:r>
      <w:r w:rsidR="00F30BCA" w:rsidRPr="00B33A7B">
        <w:rPr>
          <w:rFonts w:cs="Arial"/>
        </w:rPr>
        <w:t xml:space="preserve">(including internet infrastructure), including relocation of such improvements. </w:t>
      </w:r>
      <w:r w:rsidRPr="00B33A7B">
        <w:rPr>
          <w:rFonts w:cs="Arial"/>
        </w:rPr>
        <w:br/>
      </w:r>
    </w:p>
    <w:p w14:paraId="10BDD4A1" w14:textId="25ED69E9" w:rsidR="00321199" w:rsidRPr="00B33A7B" w:rsidRDefault="00321199" w:rsidP="00993D09">
      <w:pPr>
        <w:pStyle w:val="ListParagraph"/>
        <w:numPr>
          <w:ilvl w:val="0"/>
          <w:numId w:val="12"/>
        </w:numPr>
        <w:ind w:right="360" w:hanging="720"/>
        <w:rPr>
          <w:rFonts w:cs="Arial"/>
        </w:rPr>
      </w:pPr>
      <w:r w:rsidRPr="00B33A7B">
        <w:rPr>
          <w:rFonts w:cs="Arial"/>
        </w:rPr>
        <w:t>Street</w:t>
      </w:r>
      <w:r w:rsidR="00E10165" w:rsidRPr="00B33A7B">
        <w:rPr>
          <w:rFonts w:cs="Arial"/>
        </w:rPr>
        <w:t>,</w:t>
      </w:r>
      <w:r w:rsidRPr="00B33A7B">
        <w:rPr>
          <w:rFonts w:cs="Arial"/>
        </w:rPr>
        <w:t xml:space="preserve"> road</w:t>
      </w:r>
      <w:r w:rsidR="00E10165" w:rsidRPr="00B33A7B">
        <w:rPr>
          <w:rFonts w:cs="Arial"/>
        </w:rPr>
        <w:t xml:space="preserve">, and bridge </w:t>
      </w:r>
      <w:r w:rsidRPr="00B33A7B">
        <w:rPr>
          <w:rFonts w:cs="Arial"/>
        </w:rPr>
        <w:t>construction and improvement.</w:t>
      </w:r>
      <w:r w:rsidRPr="00B33A7B">
        <w:rPr>
          <w:rFonts w:cs="Arial"/>
        </w:rPr>
        <w:br/>
      </w:r>
    </w:p>
    <w:p w14:paraId="599BAE93" w14:textId="4E3ABD01" w:rsidR="001363B4" w:rsidRPr="00B33A7B" w:rsidRDefault="001363B4" w:rsidP="00993D09">
      <w:pPr>
        <w:pStyle w:val="ListParagraph"/>
        <w:numPr>
          <w:ilvl w:val="0"/>
          <w:numId w:val="12"/>
        </w:numPr>
        <w:ind w:right="360" w:hanging="720"/>
        <w:rPr>
          <w:rFonts w:cs="Arial"/>
        </w:rPr>
      </w:pPr>
      <w:r w:rsidRPr="00B33A7B">
        <w:rPr>
          <w:rFonts w:cs="Arial"/>
        </w:rPr>
        <w:t>Structured Parking, including:</w:t>
      </w:r>
    </w:p>
    <w:p w14:paraId="7B9F6771" w14:textId="77777777" w:rsidR="001363B4" w:rsidRPr="00B33A7B" w:rsidRDefault="001363B4" w:rsidP="00961E48">
      <w:pPr>
        <w:tabs>
          <w:tab w:val="left" w:pos="720"/>
          <w:tab w:val="left" w:pos="1440"/>
        </w:tabs>
        <w:ind w:left="1440" w:hanging="810"/>
        <w:rPr>
          <w:rFonts w:cs="Arial"/>
        </w:rPr>
      </w:pPr>
    </w:p>
    <w:p w14:paraId="5D92ED9E" w14:textId="2004D69B" w:rsidR="00321199" w:rsidRPr="00B33A7B" w:rsidRDefault="001363B4" w:rsidP="00993D09">
      <w:pPr>
        <w:pStyle w:val="ListParagraph"/>
        <w:numPr>
          <w:ilvl w:val="0"/>
          <w:numId w:val="13"/>
        </w:numPr>
        <w:ind w:left="2160" w:right="90" w:hanging="720"/>
      </w:pPr>
      <w:r w:rsidRPr="00B33A7B">
        <w:t>Structured Parking spaces that are r</w:t>
      </w:r>
      <w:r w:rsidR="00321199" w:rsidRPr="00B33A7B">
        <w:t xml:space="preserve">equired replacement of </w:t>
      </w:r>
      <w:r w:rsidR="004559AB" w:rsidRPr="00B33A7B">
        <w:t xml:space="preserve">Transit Station </w:t>
      </w:r>
      <w:r w:rsidR="00321199" w:rsidRPr="00B33A7B">
        <w:t>parking spaces</w:t>
      </w:r>
      <w:r w:rsidR="00770EE7" w:rsidRPr="00B33A7B">
        <w:t xml:space="preserve"> </w:t>
      </w:r>
      <w:r w:rsidR="00770EE7" w:rsidRPr="00B33A7B">
        <w:rPr>
          <w:rFonts w:cs="Arial"/>
        </w:rPr>
        <w:t>(including replacement required by a transit agency)</w:t>
      </w:r>
      <w:r w:rsidR="00CE78D3" w:rsidRPr="00B33A7B">
        <w:t xml:space="preserve">, </w:t>
      </w:r>
      <w:r w:rsidR="00441465" w:rsidRPr="00B33A7B">
        <w:t xml:space="preserve">or public Structured Parking required as a condition of approval for the Qualifying Infill Project </w:t>
      </w:r>
      <w:r w:rsidR="00A14E92" w:rsidRPr="00B33A7B">
        <w:t>or</w:t>
      </w:r>
      <w:r w:rsidR="00714A80" w:rsidRPr="00B33A7B">
        <w:t xml:space="preserve"> the Qualifying Infill Area </w:t>
      </w:r>
      <w:r w:rsidR="00441465" w:rsidRPr="00B33A7B">
        <w:t xml:space="preserve">within one-half mile of a Major Transit Stop or Transit Station, </w:t>
      </w:r>
      <w:r w:rsidR="00CE78D3" w:rsidRPr="00B33A7B">
        <w:t>not to exceed $</w:t>
      </w:r>
      <w:r w:rsidR="00E10165" w:rsidRPr="00B33A7B">
        <w:t>5</w:t>
      </w:r>
      <w:r w:rsidR="00CE78D3" w:rsidRPr="00B33A7B">
        <w:t>0,000 per space</w:t>
      </w:r>
      <w:r w:rsidR="00321199" w:rsidRPr="00B33A7B">
        <w:t xml:space="preserve">. </w:t>
      </w:r>
    </w:p>
    <w:p w14:paraId="68B2AB06" w14:textId="77777777" w:rsidR="00321199" w:rsidRPr="00B33A7B" w:rsidRDefault="00321199" w:rsidP="00961E48">
      <w:pPr>
        <w:tabs>
          <w:tab w:val="left" w:pos="1440"/>
        </w:tabs>
        <w:ind w:left="1440" w:hanging="810"/>
        <w:rPr>
          <w:rFonts w:cs="Arial"/>
        </w:rPr>
      </w:pPr>
    </w:p>
    <w:p w14:paraId="29580336" w14:textId="4EC3B800" w:rsidR="00321199" w:rsidRPr="00B33A7B" w:rsidRDefault="00E10165" w:rsidP="00993D09">
      <w:pPr>
        <w:pStyle w:val="ListParagraph"/>
        <w:numPr>
          <w:ilvl w:val="0"/>
          <w:numId w:val="13"/>
        </w:numPr>
        <w:ind w:left="2160" w:right="90" w:hanging="720"/>
      </w:pPr>
      <w:r w:rsidRPr="00B33A7B">
        <w:t xml:space="preserve">Residential </w:t>
      </w:r>
      <w:r w:rsidR="00441465" w:rsidRPr="00B33A7B">
        <w:t>Structured P</w:t>
      </w:r>
      <w:r w:rsidRPr="00B33A7B">
        <w:t xml:space="preserve">arking and mechanical parking lifts. </w:t>
      </w:r>
      <w:r w:rsidR="00321199" w:rsidRPr="00B33A7B">
        <w:t xml:space="preserve">The minimum residential per unit parking spaces in </w:t>
      </w:r>
      <w:r w:rsidR="00441465" w:rsidRPr="00B33A7B">
        <w:t>Structured P</w:t>
      </w:r>
      <w:r w:rsidR="00321199" w:rsidRPr="00B33A7B">
        <w:t>arking</w:t>
      </w:r>
      <w:r w:rsidR="009037C5" w:rsidRPr="00B33A7B">
        <w:t>,</w:t>
      </w:r>
      <w:r w:rsidR="00321199" w:rsidRPr="00B33A7B">
        <w:t xml:space="preserve"> as </w:t>
      </w:r>
      <w:r w:rsidR="00321199" w:rsidRPr="00B33A7B">
        <w:lastRenderedPageBreak/>
        <w:t>required by local land-use entitlement approval, not to exceed one parking space per residential unit</w:t>
      </w:r>
      <w:r w:rsidR="00CE78D3" w:rsidRPr="00B33A7B">
        <w:t>, and not to exceed $</w:t>
      </w:r>
      <w:r w:rsidRPr="00B33A7B">
        <w:t>5</w:t>
      </w:r>
      <w:r w:rsidR="00CE78D3" w:rsidRPr="00B33A7B">
        <w:t>0,000 per permitted space</w:t>
      </w:r>
      <w:r w:rsidR="00321199" w:rsidRPr="00B33A7B">
        <w:t xml:space="preserve">. </w:t>
      </w:r>
    </w:p>
    <w:p w14:paraId="79D41A36" w14:textId="77777777" w:rsidR="00137B21" w:rsidRPr="00B33A7B" w:rsidRDefault="00137B21" w:rsidP="00961E48">
      <w:pPr>
        <w:ind w:left="1440" w:hanging="810"/>
        <w:rPr>
          <w:rFonts w:cs="Arial"/>
        </w:rPr>
      </w:pPr>
    </w:p>
    <w:p w14:paraId="380E21FE" w14:textId="680B7F64" w:rsidR="00321199" w:rsidRPr="00B33A7B" w:rsidRDefault="00321199" w:rsidP="00993D09">
      <w:pPr>
        <w:pStyle w:val="ListParagraph"/>
        <w:numPr>
          <w:ilvl w:val="0"/>
          <w:numId w:val="12"/>
        </w:numPr>
        <w:ind w:right="360" w:hanging="720"/>
        <w:rPr>
          <w:rFonts w:cs="Arial"/>
        </w:rPr>
      </w:pPr>
      <w:r w:rsidRPr="00B33A7B">
        <w:rPr>
          <w:rFonts w:cs="Arial"/>
        </w:rPr>
        <w:t>Transit linkages and facilities, including, but not limited to, related access plazas or pathways, or bus and transit shelters.</w:t>
      </w:r>
      <w:r w:rsidRPr="00B33A7B">
        <w:rPr>
          <w:rFonts w:cs="Arial"/>
        </w:rPr>
        <w:br/>
      </w:r>
    </w:p>
    <w:p w14:paraId="113AD0A3" w14:textId="37750ABE" w:rsidR="00321199" w:rsidRPr="00B33A7B" w:rsidRDefault="00853960" w:rsidP="00993D09">
      <w:pPr>
        <w:pStyle w:val="ListParagraph"/>
        <w:numPr>
          <w:ilvl w:val="0"/>
          <w:numId w:val="12"/>
        </w:numPr>
        <w:ind w:right="360" w:hanging="720"/>
        <w:rPr>
          <w:rFonts w:cs="Arial"/>
        </w:rPr>
      </w:pPr>
      <w:r w:rsidRPr="00B33A7B">
        <w:rPr>
          <w:rFonts w:cs="Arial"/>
        </w:rPr>
        <w:t xml:space="preserve"> </w:t>
      </w:r>
      <w:r w:rsidR="00321199" w:rsidRPr="00B33A7B">
        <w:rPr>
          <w:rFonts w:cs="Arial"/>
        </w:rPr>
        <w:t>Facilities that support pedestrian or bicycle transit.</w:t>
      </w:r>
      <w:r w:rsidR="00321199" w:rsidRPr="00B33A7B">
        <w:rPr>
          <w:rFonts w:cs="Arial"/>
        </w:rPr>
        <w:br/>
      </w:r>
    </w:p>
    <w:p w14:paraId="1862BC02" w14:textId="54E2A3BF" w:rsidR="00321199" w:rsidRPr="00B33A7B" w:rsidRDefault="00853960" w:rsidP="00993D09">
      <w:pPr>
        <w:pStyle w:val="ListParagraph"/>
        <w:numPr>
          <w:ilvl w:val="0"/>
          <w:numId w:val="12"/>
        </w:numPr>
        <w:ind w:right="360" w:hanging="720"/>
        <w:rPr>
          <w:rFonts w:cs="Arial"/>
        </w:rPr>
      </w:pPr>
      <w:r w:rsidRPr="00B33A7B">
        <w:rPr>
          <w:rFonts w:cs="Arial"/>
        </w:rPr>
        <w:t xml:space="preserve"> </w:t>
      </w:r>
      <w:r w:rsidR="00321199" w:rsidRPr="00B33A7B">
        <w:rPr>
          <w:rFonts w:cs="Arial"/>
        </w:rPr>
        <w:t>Traffic mitigation devices, such as street signals.</w:t>
      </w:r>
      <w:r w:rsidR="00321199" w:rsidRPr="00B33A7B">
        <w:rPr>
          <w:rFonts w:cs="Arial"/>
        </w:rPr>
        <w:br/>
      </w:r>
    </w:p>
    <w:p w14:paraId="1ED35472" w14:textId="13AD145A" w:rsidR="00321199" w:rsidRPr="00B33A7B" w:rsidRDefault="00321199" w:rsidP="00993D09">
      <w:pPr>
        <w:pStyle w:val="ListParagraph"/>
        <w:numPr>
          <w:ilvl w:val="0"/>
          <w:numId w:val="12"/>
        </w:numPr>
        <w:ind w:right="360" w:hanging="720"/>
        <w:rPr>
          <w:rFonts w:cs="Arial"/>
        </w:rPr>
      </w:pPr>
      <w:r w:rsidRPr="00B33A7B">
        <w:rPr>
          <w:rFonts w:cs="Arial"/>
        </w:rPr>
        <w:t>Site</w:t>
      </w:r>
      <w:r w:rsidR="00E10165" w:rsidRPr="00B33A7B">
        <w:rPr>
          <w:rFonts w:cs="Arial"/>
        </w:rPr>
        <w:t xml:space="preserve"> clearance, grading,</w:t>
      </w:r>
      <w:r w:rsidRPr="00B33A7B">
        <w:rPr>
          <w:rFonts w:cs="Arial"/>
        </w:rPr>
        <w:t xml:space="preserve"> preparation</w:t>
      </w:r>
      <w:r w:rsidR="00246E6A" w:rsidRPr="00B33A7B">
        <w:rPr>
          <w:rFonts w:cs="Arial"/>
        </w:rPr>
        <w:t>,</w:t>
      </w:r>
      <w:r w:rsidRPr="00B33A7B">
        <w:rPr>
          <w:rFonts w:cs="Arial"/>
        </w:rPr>
        <w:t xml:space="preserve"> </w:t>
      </w:r>
      <w:r w:rsidR="00FD697C" w:rsidRPr="00B33A7B">
        <w:rPr>
          <w:rFonts w:cs="Arial"/>
        </w:rPr>
        <w:t>and</w:t>
      </w:r>
      <w:r w:rsidRPr="00B33A7B">
        <w:rPr>
          <w:rFonts w:cs="Arial"/>
        </w:rPr>
        <w:t xml:space="preserve"> demolitio</w:t>
      </w:r>
      <w:r w:rsidR="00753C8D" w:rsidRPr="00B33A7B">
        <w:rPr>
          <w:rFonts w:cs="Arial"/>
        </w:rPr>
        <w:t>n</w:t>
      </w:r>
      <w:r w:rsidR="000C656D" w:rsidRPr="00B33A7B">
        <w:rPr>
          <w:rFonts w:cs="Arial"/>
        </w:rPr>
        <w:t xml:space="preserve"> necessary for the development of the Capital Improvement Project</w:t>
      </w:r>
      <w:r w:rsidR="00845C70" w:rsidRPr="00B33A7B">
        <w:rPr>
          <w:rFonts w:cs="Arial"/>
        </w:rPr>
        <w:t>s</w:t>
      </w:r>
      <w:r w:rsidR="00A16233" w:rsidRPr="00B33A7B">
        <w:rPr>
          <w:rFonts w:cs="Arial"/>
        </w:rPr>
        <w:t>.</w:t>
      </w:r>
      <w:r w:rsidRPr="00B33A7B">
        <w:rPr>
          <w:rFonts w:cs="Arial"/>
        </w:rPr>
        <w:br/>
      </w:r>
    </w:p>
    <w:p w14:paraId="2C5B6A57" w14:textId="07BE425C" w:rsidR="00D21207" w:rsidRPr="00B33A7B" w:rsidRDefault="00321199" w:rsidP="00993D09">
      <w:pPr>
        <w:pStyle w:val="ListParagraph"/>
        <w:numPr>
          <w:ilvl w:val="0"/>
          <w:numId w:val="12"/>
        </w:numPr>
        <w:ind w:right="360" w:hanging="720"/>
        <w:rPr>
          <w:rFonts w:cs="Arial"/>
        </w:rPr>
      </w:pPr>
      <w:r w:rsidRPr="00B33A7B">
        <w:rPr>
          <w:rFonts w:cs="Arial"/>
        </w:rPr>
        <w:t>Sidewalk or streetscape improvements, including, but not limited to, the reconstruction or resurfacing of sidewalks and</w:t>
      </w:r>
      <w:r w:rsidR="00853960" w:rsidRPr="00B33A7B">
        <w:rPr>
          <w:rFonts w:cs="Arial"/>
        </w:rPr>
        <w:t xml:space="preserve"> </w:t>
      </w:r>
      <w:r w:rsidRPr="00B33A7B">
        <w:rPr>
          <w:rFonts w:cs="Arial"/>
        </w:rPr>
        <w:t>streets or</w:t>
      </w:r>
      <w:r w:rsidR="00853960" w:rsidRPr="00B33A7B">
        <w:rPr>
          <w:rFonts w:cs="Arial"/>
        </w:rPr>
        <w:t xml:space="preserve"> </w:t>
      </w:r>
      <w:r w:rsidRPr="00B33A7B">
        <w:rPr>
          <w:rFonts w:cs="Arial"/>
        </w:rPr>
        <w:t>the installation of lighting, signage, or other related</w:t>
      </w:r>
      <w:r w:rsidR="00853960" w:rsidRPr="00B33A7B">
        <w:rPr>
          <w:rFonts w:cs="Arial"/>
        </w:rPr>
        <w:t xml:space="preserve"> </w:t>
      </w:r>
      <w:r w:rsidRPr="00B33A7B">
        <w:rPr>
          <w:rFonts w:cs="Arial"/>
        </w:rPr>
        <w:t>amenities</w:t>
      </w:r>
      <w:r w:rsidR="008541E1" w:rsidRPr="00B33A7B">
        <w:rPr>
          <w:rFonts w:cs="Arial"/>
        </w:rPr>
        <w:t xml:space="preserve">, including shade structures, seating, landscaping, streetscaping, </w:t>
      </w:r>
      <w:r w:rsidR="000C656D" w:rsidRPr="00B33A7B">
        <w:rPr>
          <w:rFonts w:cs="Arial"/>
        </w:rPr>
        <w:t xml:space="preserve">and </w:t>
      </w:r>
      <w:r w:rsidR="008541E1" w:rsidRPr="00B33A7B">
        <w:rPr>
          <w:rFonts w:cs="Arial"/>
        </w:rPr>
        <w:t>public safety improvements</w:t>
      </w:r>
      <w:r w:rsidR="009E40A2" w:rsidRPr="00B33A7B">
        <w:rPr>
          <w:rFonts w:cs="Arial"/>
        </w:rPr>
        <w:t>.</w:t>
      </w:r>
      <w:r w:rsidRPr="00B33A7B">
        <w:rPr>
          <w:rFonts w:cs="Arial"/>
        </w:rPr>
        <w:br/>
      </w:r>
    </w:p>
    <w:p w14:paraId="4A0B45AD" w14:textId="08E1EF63" w:rsidR="00D21207" w:rsidRPr="00B33A7B" w:rsidRDefault="00321199" w:rsidP="00993D09">
      <w:pPr>
        <w:pStyle w:val="ListParagraph"/>
        <w:numPr>
          <w:ilvl w:val="0"/>
          <w:numId w:val="12"/>
        </w:numPr>
        <w:ind w:right="360" w:hanging="720"/>
        <w:rPr>
          <w:rFonts w:cs="Arial"/>
        </w:rPr>
      </w:pPr>
      <w:r w:rsidRPr="00B33A7B">
        <w:rPr>
          <w:rFonts w:cs="Arial"/>
        </w:rPr>
        <w:t>Storm drains, stormwater detention basins, culverts, and similar drainage features.</w:t>
      </w:r>
      <w:r w:rsidRPr="00B33A7B">
        <w:rPr>
          <w:rFonts w:cs="Arial"/>
        </w:rPr>
        <w:br/>
      </w:r>
    </w:p>
    <w:p w14:paraId="2D7CCEEC" w14:textId="1F7D4DEA" w:rsidR="00321199" w:rsidRPr="00B33A7B" w:rsidRDefault="00321199" w:rsidP="00993D09">
      <w:pPr>
        <w:pStyle w:val="ListParagraph"/>
        <w:numPr>
          <w:ilvl w:val="0"/>
          <w:numId w:val="12"/>
        </w:numPr>
        <w:ind w:right="360" w:hanging="720"/>
        <w:rPr>
          <w:rFonts w:cs="Arial"/>
        </w:rPr>
      </w:pPr>
      <w:r w:rsidRPr="00B33A7B">
        <w:rPr>
          <w:rFonts w:cs="Arial"/>
        </w:rPr>
        <w:t>Required environmental remediation necessary for the development of the Capital Improvement Project</w:t>
      </w:r>
      <w:r w:rsidR="00221066" w:rsidRPr="00B33A7B">
        <w:rPr>
          <w:rFonts w:cs="Arial"/>
        </w:rPr>
        <w:t>, Qualifying Infill Project or Qualifying Infill Area</w:t>
      </w:r>
      <w:r w:rsidRPr="00B33A7B">
        <w:rPr>
          <w:rFonts w:cs="Arial"/>
        </w:rPr>
        <w:t xml:space="preserve">. </w:t>
      </w:r>
    </w:p>
    <w:p w14:paraId="281AFBBE" w14:textId="77777777" w:rsidR="00321199" w:rsidRPr="00B33A7B" w:rsidRDefault="00321199" w:rsidP="001C5285">
      <w:pPr>
        <w:pStyle w:val="ListParagraph"/>
        <w:ind w:left="1440" w:right="360"/>
        <w:rPr>
          <w:rFonts w:cs="Arial"/>
        </w:rPr>
      </w:pPr>
    </w:p>
    <w:p w14:paraId="723A798F" w14:textId="1AB8470D" w:rsidR="0045129A" w:rsidRPr="00B33A7B" w:rsidRDefault="00321199" w:rsidP="00993D09">
      <w:pPr>
        <w:pStyle w:val="ListParagraph"/>
        <w:numPr>
          <w:ilvl w:val="0"/>
          <w:numId w:val="12"/>
        </w:numPr>
        <w:ind w:right="360" w:hanging="720"/>
        <w:rPr>
          <w:rFonts w:cs="Arial"/>
        </w:rPr>
      </w:pPr>
      <w:r w:rsidRPr="00B33A7B">
        <w:rPr>
          <w:rFonts w:cs="Arial"/>
        </w:rPr>
        <w:t>Site acquisition or control for the Capital Improvement Project including, but not limited to, easements and rights of way.</w:t>
      </w:r>
      <w:r w:rsidR="00513DFD" w:rsidRPr="00B33A7B">
        <w:rPr>
          <w:rFonts w:cs="Arial"/>
        </w:rPr>
        <w:t xml:space="preserve"> Such costs must be deemed reasonable and demonstrated by documentation that may include appraisals, purchase contracts, or any other documentation as determined by the Department.</w:t>
      </w:r>
    </w:p>
    <w:p w14:paraId="732F78FE" w14:textId="77777777" w:rsidR="0045129A" w:rsidRPr="00B33A7B" w:rsidRDefault="0045129A" w:rsidP="001C5285">
      <w:pPr>
        <w:pStyle w:val="ListParagraph"/>
        <w:ind w:left="1440" w:right="360"/>
        <w:rPr>
          <w:rFonts w:cs="Arial"/>
        </w:rPr>
      </w:pPr>
    </w:p>
    <w:p w14:paraId="2E3870DB" w14:textId="2522C222" w:rsidR="00321199" w:rsidRPr="00B33A7B" w:rsidRDefault="00892831" w:rsidP="00993D09">
      <w:pPr>
        <w:pStyle w:val="ListParagraph"/>
        <w:numPr>
          <w:ilvl w:val="0"/>
          <w:numId w:val="12"/>
        </w:numPr>
        <w:ind w:right="360" w:hanging="720"/>
        <w:rPr>
          <w:rFonts w:cs="Arial"/>
        </w:rPr>
      </w:pPr>
      <w:r w:rsidRPr="00B33A7B">
        <w:rPr>
          <w:rFonts w:cs="Arial"/>
        </w:rPr>
        <w:t xml:space="preserve">Soft </w:t>
      </w:r>
      <w:r w:rsidR="0045129A" w:rsidRPr="00B33A7B">
        <w:rPr>
          <w:rFonts w:cs="Arial"/>
        </w:rPr>
        <w:t xml:space="preserve">costs such as </w:t>
      </w:r>
      <w:r w:rsidR="00D65082" w:rsidRPr="00B33A7B">
        <w:rPr>
          <w:rFonts w:cs="Arial"/>
        </w:rPr>
        <w:t xml:space="preserve">those incidentally but directly related to construction or other pre-development components including, but not limited to, planning, engineering, construction management, architectural, and other design work, required mitigation expenses such as mitigation design or testing, appraisals, legal expenses, and necessary easements. Soft costs shall not exceed 10 percent of costs associated with the funding request for the </w:t>
      </w:r>
      <w:r w:rsidR="00D65082" w:rsidRPr="00B33A7B">
        <w:t>Capital Improvement Projects</w:t>
      </w:r>
      <w:r w:rsidR="00D65082" w:rsidRPr="00B33A7B">
        <w:rPr>
          <w:rFonts w:cs="Arial"/>
        </w:rPr>
        <w:t>.</w:t>
      </w:r>
      <w:r w:rsidR="00321199" w:rsidRPr="00B33A7B">
        <w:rPr>
          <w:rFonts w:cs="Arial"/>
        </w:rPr>
        <w:br/>
      </w:r>
    </w:p>
    <w:p w14:paraId="417BD991" w14:textId="07F0C894" w:rsidR="009E40A2" w:rsidRPr="00B33A7B" w:rsidRDefault="00321199" w:rsidP="00993D09">
      <w:pPr>
        <w:pStyle w:val="ListParagraph"/>
        <w:numPr>
          <w:ilvl w:val="0"/>
          <w:numId w:val="12"/>
        </w:numPr>
        <w:ind w:right="360" w:hanging="720"/>
        <w:rPr>
          <w:rFonts w:cs="Arial"/>
        </w:rPr>
      </w:pPr>
      <w:r w:rsidRPr="00B33A7B">
        <w:rPr>
          <w:rFonts w:cs="Arial"/>
        </w:rPr>
        <w:t xml:space="preserve">Other </w:t>
      </w:r>
      <w:r w:rsidR="008F0E54" w:rsidRPr="00B33A7B">
        <w:rPr>
          <w:rFonts w:cs="Arial"/>
        </w:rPr>
        <w:t xml:space="preserve">Capital Asset </w:t>
      </w:r>
      <w:r w:rsidRPr="00B33A7B">
        <w:rPr>
          <w:rFonts w:cs="Arial"/>
        </w:rPr>
        <w:t>costs approved by the Department and required as a condition of local approval for the Capital Improvement Project</w:t>
      </w:r>
      <w:r w:rsidR="00604B40" w:rsidRPr="00B33A7B">
        <w:rPr>
          <w:rFonts w:cs="Arial"/>
        </w:rPr>
        <w:t>s</w:t>
      </w:r>
      <w:r w:rsidRPr="00B33A7B">
        <w:rPr>
          <w:rFonts w:cs="Arial"/>
        </w:rPr>
        <w:t xml:space="preserve">. </w:t>
      </w:r>
    </w:p>
    <w:p w14:paraId="2BC4725E" w14:textId="77777777" w:rsidR="009E40A2" w:rsidRPr="00B33A7B" w:rsidRDefault="009E40A2" w:rsidP="001C5285">
      <w:pPr>
        <w:pStyle w:val="ListParagraph"/>
        <w:ind w:left="1440" w:right="360"/>
        <w:rPr>
          <w:rFonts w:cs="Arial"/>
        </w:rPr>
      </w:pPr>
    </w:p>
    <w:p w14:paraId="1A37465D" w14:textId="24918475" w:rsidR="00321199" w:rsidRPr="00B33A7B" w:rsidRDefault="00321199" w:rsidP="00993D09">
      <w:pPr>
        <w:pStyle w:val="ListParagraph"/>
        <w:numPr>
          <w:ilvl w:val="0"/>
          <w:numId w:val="12"/>
        </w:numPr>
        <w:ind w:right="360" w:hanging="720"/>
        <w:rPr>
          <w:rFonts w:cs="Arial"/>
        </w:rPr>
      </w:pPr>
      <w:r w:rsidRPr="00B33A7B">
        <w:rPr>
          <w:rFonts w:cs="Arial"/>
        </w:rPr>
        <w:t xml:space="preserve">Impact fees required by local ordinance are eligible for </w:t>
      </w:r>
      <w:r w:rsidR="009E40A2" w:rsidRPr="00B33A7B">
        <w:rPr>
          <w:rFonts w:cs="Arial"/>
        </w:rPr>
        <w:t xml:space="preserve">Program funding only if used </w:t>
      </w:r>
      <w:r w:rsidR="00C3301E" w:rsidRPr="00B33A7B">
        <w:rPr>
          <w:rFonts w:cs="Arial"/>
        </w:rPr>
        <w:t>for the identified Capital Improvement Project</w:t>
      </w:r>
      <w:r w:rsidR="00604B40" w:rsidRPr="00B33A7B">
        <w:rPr>
          <w:rFonts w:cs="Arial"/>
        </w:rPr>
        <w:t>s</w:t>
      </w:r>
      <w:r w:rsidR="00C3301E" w:rsidRPr="00B33A7B">
        <w:rPr>
          <w:rFonts w:cs="Arial"/>
        </w:rPr>
        <w:t>.</w:t>
      </w:r>
      <w:r w:rsidR="009E40A2" w:rsidRPr="00B33A7B">
        <w:rPr>
          <w:rFonts w:cs="Arial"/>
        </w:rPr>
        <w:t xml:space="preserve"> Funded impact fees may not </w:t>
      </w:r>
      <w:r w:rsidR="00C3301E" w:rsidRPr="00B33A7B">
        <w:rPr>
          <w:rFonts w:cs="Arial"/>
        </w:rPr>
        <w:t xml:space="preserve">exceed 5 percent of the Program </w:t>
      </w:r>
      <w:r w:rsidR="00F23BE3" w:rsidRPr="00B33A7B">
        <w:rPr>
          <w:rFonts w:cs="Arial"/>
        </w:rPr>
        <w:t>Award</w:t>
      </w:r>
      <w:r w:rsidR="00C3301E" w:rsidRPr="00B33A7B">
        <w:rPr>
          <w:rFonts w:cs="Arial"/>
        </w:rPr>
        <w:t>.</w:t>
      </w:r>
    </w:p>
    <w:p w14:paraId="0945E3C5" w14:textId="77777777" w:rsidR="00321199" w:rsidRPr="00B33A7B" w:rsidRDefault="00321199" w:rsidP="001C5285">
      <w:pPr>
        <w:rPr>
          <w:rFonts w:cs="Arial"/>
        </w:rPr>
      </w:pPr>
    </w:p>
    <w:p w14:paraId="593FB1FD" w14:textId="347FBA63" w:rsidR="00321199" w:rsidRPr="00B33A7B" w:rsidRDefault="00321199" w:rsidP="00993D09">
      <w:pPr>
        <w:pStyle w:val="ListParagraph"/>
        <w:numPr>
          <w:ilvl w:val="0"/>
          <w:numId w:val="33"/>
        </w:numPr>
        <w:ind w:left="720" w:right="360" w:hanging="720"/>
        <w:rPr>
          <w:rFonts w:cs="Arial"/>
        </w:rPr>
      </w:pPr>
      <w:r w:rsidRPr="00B33A7B">
        <w:rPr>
          <w:rFonts w:cs="Arial"/>
        </w:rPr>
        <w:lastRenderedPageBreak/>
        <w:t>The following costs are not eligible:</w:t>
      </w:r>
    </w:p>
    <w:p w14:paraId="7B9C244D" w14:textId="77777777" w:rsidR="00321199" w:rsidRPr="00B33A7B" w:rsidRDefault="00321199">
      <w:pPr>
        <w:rPr>
          <w:rFonts w:cs="Arial"/>
        </w:rPr>
      </w:pPr>
    </w:p>
    <w:p w14:paraId="3029A5AB" w14:textId="14620DD0" w:rsidR="00321199" w:rsidRPr="00B33A7B" w:rsidRDefault="00661A9F" w:rsidP="00993D09">
      <w:pPr>
        <w:pStyle w:val="ListParagraph"/>
        <w:numPr>
          <w:ilvl w:val="0"/>
          <w:numId w:val="14"/>
        </w:numPr>
        <w:ind w:right="360" w:hanging="720"/>
        <w:rPr>
          <w:rFonts w:cs="Arial"/>
        </w:rPr>
      </w:pPr>
      <w:r w:rsidRPr="00B33A7B">
        <w:rPr>
          <w:rFonts w:cs="Arial"/>
        </w:rPr>
        <w:t>Development fees or profit</w:t>
      </w:r>
      <w:r w:rsidR="00321199" w:rsidRPr="00B33A7B">
        <w:rPr>
          <w:rFonts w:cs="Arial"/>
        </w:rPr>
        <w:t>.</w:t>
      </w:r>
      <w:r w:rsidR="00321199" w:rsidRPr="00B33A7B">
        <w:rPr>
          <w:rFonts w:cs="Arial"/>
        </w:rPr>
        <w:br/>
      </w:r>
    </w:p>
    <w:p w14:paraId="48C56929" w14:textId="3EF7399F" w:rsidR="00321199" w:rsidRPr="00B33A7B" w:rsidRDefault="00753C8D" w:rsidP="00993D09">
      <w:pPr>
        <w:pStyle w:val="ListParagraph"/>
        <w:numPr>
          <w:ilvl w:val="0"/>
          <w:numId w:val="14"/>
        </w:numPr>
        <w:ind w:right="360" w:hanging="720"/>
        <w:rPr>
          <w:rFonts w:cs="Arial"/>
        </w:rPr>
      </w:pPr>
      <w:r w:rsidRPr="00B33A7B">
        <w:rPr>
          <w:rFonts w:cs="Arial"/>
        </w:rPr>
        <w:t>C</w:t>
      </w:r>
      <w:r w:rsidR="00321199" w:rsidRPr="00B33A7B">
        <w:rPr>
          <w:rFonts w:cs="Arial"/>
        </w:rPr>
        <w:t>osts of site acquisition for housing and mixed</w:t>
      </w:r>
      <w:r w:rsidR="00CB5B06" w:rsidRPr="00B33A7B">
        <w:rPr>
          <w:rFonts w:cs="Arial"/>
        </w:rPr>
        <w:t>-</w:t>
      </w:r>
      <w:r w:rsidR="00321199" w:rsidRPr="00B33A7B">
        <w:rPr>
          <w:rFonts w:cs="Arial"/>
        </w:rPr>
        <w:t>use structural improvements.</w:t>
      </w:r>
      <w:r w:rsidR="00BE48E8" w:rsidRPr="00B33A7B">
        <w:rPr>
          <w:rFonts w:cs="Arial"/>
        </w:rPr>
        <w:t xml:space="preserve">  </w:t>
      </w:r>
    </w:p>
    <w:p w14:paraId="3C4F358D" w14:textId="77777777" w:rsidR="00CB5B06" w:rsidRPr="00B33A7B" w:rsidRDefault="00CB5B06" w:rsidP="001C5285">
      <w:pPr>
        <w:pStyle w:val="ListParagraph"/>
        <w:ind w:left="1440" w:right="360"/>
        <w:rPr>
          <w:rFonts w:cs="Arial"/>
        </w:rPr>
      </w:pPr>
    </w:p>
    <w:p w14:paraId="7DBD38A5" w14:textId="7DDA4898" w:rsidR="00321199" w:rsidRPr="00B33A7B" w:rsidRDefault="00321199" w:rsidP="00993D09">
      <w:pPr>
        <w:pStyle w:val="ListParagraph"/>
        <w:numPr>
          <w:ilvl w:val="0"/>
          <w:numId w:val="14"/>
        </w:numPr>
        <w:ind w:right="360" w:hanging="720"/>
        <w:rPr>
          <w:rFonts w:cs="Arial"/>
        </w:rPr>
      </w:pPr>
      <w:r w:rsidRPr="00B33A7B">
        <w:rPr>
          <w:rFonts w:cs="Arial"/>
        </w:rPr>
        <w:t xml:space="preserve">Costs of housing or </w:t>
      </w:r>
      <w:r w:rsidR="004F5FC0" w:rsidRPr="00B33A7B">
        <w:rPr>
          <w:rFonts w:cs="Arial"/>
        </w:rPr>
        <w:t>mixed-use</w:t>
      </w:r>
      <w:r w:rsidRPr="00B33A7B">
        <w:rPr>
          <w:rFonts w:cs="Arial"/>
        </w:rPr>
        <w:t xml:space="preserve"> structures</w:t>
      </w:r>
      <w:r w:rsidR="009F0241" w:rsidRPr="00B33A7B">
        <w:rPr>
          <w:rFonts w:cs="Arial"/>
        </w:rPr>
        <w:t>.</w:t>
      </w:r>
      <w:r w:rsidRPr="00B33A7B">
        <w:rPr>
          <w:rFonts w:cs="Arial"/>
        </w:rPr>
        <w:br/>
      </w:r>
    </w:p>
    <w:p w14:paraId="52CBDEE2" w14:textId="0FA1668D" w:rsidR="008162D0" w:rsidRPr="00B33A7B" w:rsidRDefault="00321199" w:rsidP="00993D09">
      <w:pPr>
        <w:pStyle w:val="ListParagraph"/>
        <w:numPr>
          <w:ilvl w:val="0"/>
          <w:numId w:val="14"/>
        </w:numPr>
        <w:ind w:right="360" w:hanging="720"/>
        <w:rPr>
          <w:rFonts w:cs="Arial"/>
        </w:rPr>
      </w:pPr>
      <w:r w:rsidRPr="00B33A7B">
        <w:rPr>
          <w:rFonts w:cs="Arial"/>
        </w:rPr>
        <w:t>Soft costs related to ineligible costs.</w:t>
      </w:r>
    </w:p>
    <w:p w14:paraId="4D13A793" w14:textId="77777777" w:rsidR="008162D0" w:rsidRPr="00B33A7B" w:rsidRDefault="008162D0" w:rsidP="001C5285">
      <w:pPr>
        <w:pStyle w:val="ListParagraph"/>
        <w:ind w:left="1440" w:right="360"/>
        <w:rPr>
          <w:rFonts w:cs="Arial"/>
        </w:rPr>
      </w:pPr>
    </w:p>
    <w:p w14:paraId="3DDE5690" w14:textId="7DF3E0C3" w:rsidR="00321199" w:rsidRPr="00B33A7B" w:rsidRDefault="00321199" w:rsidP="00993D09">
      <w:pPr>
        <w:pStyle w:val="ListParagraph"/>
        <w:numPr>
          <w:ilvl w:val="0"/>
          <w:numId w:val="14"/>
        </w:numPr>
        <w:ind w:right="360" w:hanging="720"/>
        <w:rPr>
          <w:rFonts w:cs="Arial"/>
        </w:rPr>
      </w:pPr>
      <w:r w:rsidRPr="00B33A7B">
        <w:rPr>
          <w:rFonts w:cs="Arial"/>
        </w:rPr>
        <w:t>In</w:t>
      </w:r>
      <w:r w:rsidR="00CB5B06" w:rsidRPr="00B33A7B">
        <w:rPr>
          <w:rFonts w:cs="Arial"/>
        </w:rPr>
        <w:t>-</w:t>
      </w:r>
      <w:r w:rsidRPr="00B33A7B">
        <w:rPr>
          <w:rFonts w:cs="Arial"/>
        </w:rPr>
        <w:t>lieu fees for local inclusionary programs.</w:t>
      </w:r>
    </w:p>
    <w:p w14:paraId="15ABA76F" w14:textId="035E7EAF" w:rsidR="00321199" w:rsidRPr="00B33A7B" w:rsidRDefault="00321199" w:rsidP="004A3EBF">
      <w:pPr>
        <w:ind w:left="2160" w:hanging="720"/>
        <w:rPr>
          <w:rFonts w:cs="Arial"/>
        </w:rPr>
      </w:pPr>
    </w:p>
    <w:p w14:paraId="29612DDA" w14:textId="22A0416C" w:rsidR="00622D3D" w:rsidRPr="00B33A7B" w:rsidRDefault="00622D3D" w:rsidP="008A4F06">
      <w:pPr>
        <w:pStyle w:val="Style2"/>
        <w:outlineLvl w:val="1"/>
        <w:rPr>
          <w:color w:val="auto"/>
        </w:rPr>
      </w:pPr>
      <w:bookmarkStart w:id="18" w:name="_Toc106173288"/>
      <w:r w:rsidRPr="00B33A7B">
        <w:rPr>
          <w:color w:val="auto"/>
        </w:rPr>
        <w:t>Section 204. Cost Limitations</w:t>
      </w:r>
      <w:r w:rsidR="00577F2B" w:rsidRPr="00B33A7B">
        <w:rPr>
          <w:color w:val="auto"/>
        </w:rPr>
        <w:t>.</w:t>
      </w:r>
      <w:bookmarkEnd w:id="18"/>
    </w:p>
    <w:p w14:paraId="5B2EB1A0" w14:textId="39CC85BA" w:rsidR="00622D3D" w:rsidRPr="00B33A7B" w:rsidRDefault="00622D3D" w:rsidP="004A3EBF">
      <w:pPr>
        <w:ind w:left="2160" w:hanging="720"/>
        <w:rPr>
          <w:rFonts w:cs="Arial"/>
        </w:rPr>
      </w:pPr>
    </w:p>
    <w:p w14:paraId="1C20D27A" w14:textId="70F6C160" w:rsidR="00663F6C" w:rsidRPr="00B33A7B" w:rsidRDefault="00663F6C" w:rsidP="00993D09">
      <w:pPr>
        <w:pStyle w:val="ListParagraph"/>
        <w:numPr>
          <w:ilvl w:val="0"/>
          <w:numId w:val="36"/>
        </w:numPr>
        <w:ind w:left="720" w:hanging="720"/>
        <w:rPr>
          <w:rFonts w:cs="Arial"/>
        </w:rPr>
      </w:pPr>
      <w:r w:rsidRPr="00B33A7B">
        <w:rPr>
          <w:rFonts w:cs="Arial"/>
        </w:rPr>
        <w:t xml:space="preserve">Capital Improvement Project costs must be reasonable and necessary. </w:t>
      </w:r>
    </w:p>
    <w:p w14:paraId="323763C5" w14:textId="77777777" w:rsidR="00663F6C" w:rsidRPr="00B33A7B" w:rsidRDefault="00663F6C" w:rsidP="00663F6C">
      <w:pPr>
        <w:pStyle w:val="ListParagraph"/>
        <w:ind w:hanging="720"/>
        <w:rPr>
          <w:rFonts w:cs="Arial"/>
        </w:rPr>
      </w:pPr>
    </w:p>
    <w:p w14:paraId="11FB410E" w14:textId="1C40173D" w:rsidR="00663F6C" w:rsidRPr="00B33A7B" w:rsidRDefault="00663F6C" w:rsidP="00993D09">
      <w:pPr>
        <w:pStyle w:val="ListParagraph"/>
        <w:numPr>
          <w:ilvl w:val="1"/>
          <w:numId w:val="36"/>
        </w:numPr>
        <w:ind w:left="1440" w:hanging="720"/>
        <w:rPr>
          <w:rFonts w:cs="Arial"/>
        </w:rPr>
      </w:pPr>
      <w:r w:rsidRPr="00B33A7B">
        <w:rPr>
          <w:rFonts w:cs="Arial"/>
        </w:rPr>
        <w:t>Costs must be reasonable compared to similar infrastructure projects of modest design in the general area of the Capital Improvement Project</w:t>
      </w:r>
      <w:r w:rsidR="00295CF3" w:rsidRPr="00B33A7B">
        <w:rPr>
          <w:rFonts w:cs="Arial"/>
        </w:rPr>
        <w:t>s</w:t>
      </w:r>
      <w:r w:rsidRPr="00B33A7B">
        <w:rPr>
          <w:rFonts w:cs="Arial"/>
        </w:rPr>
        <w:t xml:space="preserve">. </w:t>
      </w:r>
    </w:p>
    <w:p w14:paraId="6EFB6A4F" w14:textId="77777777" w:rsidR="00663F6C" w:rsidRPr="00B33A7B" w:rsidRDefault="00663F6C" w:rsidP="00663F6C">
      <w:pPr>
        <w:pStyle w:val="ListParagraph"/>
        <w:ind w:left="1440" w:hanging="720"/>
        <w:rPr>
          <w:rFonts w:cs="Arial"/>
        </w:rPr>
      </w:pPr>
    </w:p>
    <w:p w14:paraId="3E2A49B1" w14:textId="0C1125BD" w:rsidR="00663F6C" w:rsidRPr="00B33A7B" w:rsidRDefault="00663F6C" w:rsidP="00993D09">
      <w:pPr>
        <w:pStyle w:val="ListParagraph"/>
        <w:numPr>
          <w:ilvl w:val="1"/>
          <w:numId w:val="36"/>
        </w:numPr>
        <w:ind w:left="1440" w:hanging="720"/>
        <w:rPr>
          <w:rFonts w:cs="Arial"/>
        </w:rPr>
      </w:pPr>
      <w:r w:rsidRPr="00B33A7B">
        <w:rPr>
          <w:rFonts w:cs="Arial"/>
        </w:rPr>
        <w:t>The Eligible Applicant must demonstrate no other source of compatible funding is reasonably available as evidenced in the Capital Improvement Project</w:t>
      </w:r>
      <w:r w:rsidR="00295CF3" w:rsidRPr="00B33A7B">
        <w:rPr>
          <w:rFonts w:cs="Arial"/>
        </w:rPr>
        <w:t>s</w:t>
      </w:r>
      <w:r w:rsidRPr="00B33A7B">
        <w:rPr>
          <w:rFonts w:cs="Arial"/>
        </w:rPr>
        <w:t xml:space="preserve"> development budget.</w:t>
      </w:r>
    </w:p>
    <w:p w14:paraId="7632F653" w14:textId="77777777" w:rsidR="00663F6C" w:rsidRPr="00B33A7B" w:rsidRDefault="00663F6C" w:rsidP="008A4F06">
      <w:pPr>
        <w:pStyle w:val="Style2"/>
        <w:outlineLvl w:val="1"/>
      </w:pPr>
    </w:p>
    <w:p w14:paraId="02904B09" w14:textId="53A744EC" w:rsidR="00321199" w:rsidRPr="00B33A7B" w:rsidRDefault="00321199" w:rsidP="00BB43EC">
      <w:pPr>
        <w:pStyle w:val="Style2"/>
        <w:outlineLvl w:val="1"/>
      </w:pPr>
      <w:bookmarkStart w:id="19" w:name="_Toc21277642"/>
      <w:bookmarkStart w:id="20" w:name="_Toc106173289"/>
      <w:r w:rsidRPr="00B33A7B">
        <w:t xml:space="preserve">Section </w:t>
      </w:r>
      <w:r w:rsidR="00622D3D" w:rsidRPr="00B33A7B">
        <w:t>205</w:t>
      </w:r>
      <w:r w:rsidRPr="00B33A7B">
        <w:t>. Grant Terms and Limit</w:t>
      </w:r>
      <w:bookmarkEnd w:id="19"/>
      <w:r w:rsidR="00577F2B" w:rsidRPr="00B33A7B">
        <w:t>.</w:t>
      </w:r>
      <w:bookmarkEnd w:id="20"/>
    </w:p>
    <w:p w14:paraId="42FAA0A0" w14:textId="77777777" w:rsidR="00961E48" w:rsidRPr="00B33A7B" w:rsidRDefault="00961E48" w:rsidP="00214C91">
      <w:pPr>
        <w:pStyle w:val="ListParagraph"/>
        <w:ind w:right="360"/>
        <w:rPr>
          <w:rFonts w:cs="Arial"/>
        </w:rPr>
      </w:pPr>
    </w:p>
    <w:p w14:paraId="0CBFC6C4" w14:textId="77777777" w:rsidR="006C4AB2" w:rsidRPr="00B33A7B" w:rsidRDefault="129922E8" w:rsidP="006C4AB2">
      <w:pPr>
        <w:pStyle w:val="ListParagraph"/>
        <w:numPr>
          <w:ilvl w:val="0"/>
          <w:numId w:val="20"/>
        </w:numPr>
        <w:ind w:left="720" w:right="360" w:hanging="720"/>
        <w:rPr>
          <w:rFonts w:cs="Arial"/>
        </w:rPr>
      </w:pPr>
      <w:r w:rsidRPr="00B33A7B">
        <w:rPr>
          <w:rFonts w:cs="Arial"/>
        </w:rPr>
        <w:t xml:space="preserve">The total maximum grant amount shall be </w:t>
      </w:r>
      <w:r w:rsidR="035FAE23" w:rsidRPr="00B33A7B">
        <w:rPr>
          <w:rFonts w:cs="Arial"/>
        </w:rPr>
        <w:t xml:space="preserve">established </w:t>
      </w:r>
      <w:r w:rsidR="609DFE5E" w:rsidRPr="00B33A7B">
        <w:rPr>
          <w:rFonts w:cs="Arial"/>
        </w:rPr>
        <w:t>by</w:t>
      </w:r>
      <w:r w:rsidRPr="00B33A7B">
        <w:rPr>
          <w:rFonts w:cs="Arial"/>
        </w:rPr>
        <w:t xml:space="preserve"> the number of </w:t>
      </w:r>
      <w:r w:rsidR="1BDA4E0A" w:rsidRPr="00B33A7B">
        <w:rPr>
          <w:rFonts w:cs="Arial"/>
        </w:rPr>
        <w:t xml:space="preserve">Units </w:t>
      </w:r>
      <w:r w:rsidR="2BF83F06" w:rsidRPr="00B33A7B">
        <w:rPr>
          <w:rFonts w:cs="Arial"/>
        </w:rPr>
        <w:t xml:space="preserve">in the </w:t>
      </w:r>
      <w:r w:rsidR="2BF83F06" w:rsidRPr="00B33A7B">
        <w:t>Qualifying Infill Project</w:t>
      </w:r>
      <w:r w:rsidR="7C65A406" w:rsidRPr="00B33A7B">
        <w:t xml:space="preserve"> </w:t>
      </w:r>
      <w:r w:rsidR="4B7C99CE" w:rsidRPr="00B33A7B">
        <w:t>or</w:t>
      </w:r>
      <w:r w:rsidR="7C65A406" w:rsidRPr="00B33A7B">
        <w:t xml:space="preserve"> the Qualifying Infill Area</w:t>
      </w:r>
      <w:r w:rsidR="2BF83F06" w:rsidRPr="00B33A7B">
        <w:rPr>
          <w:rFonts w:cs="Arial"/>
        </w:rPr>
        <w:t>, the bedroom count of these Units, and the density and affordability of the housing to be developed. Replacement housing Units may be included in the calculation of the total maximum grant amount. The Department shall publish a table listing per Unit grant limits for each NOFA based on these factors</w:t>
      </w:r>
      <w:r w:rsidRPr="00B33A7B">
        <w:rPr>
          <w:rFonts w:cs="Arial"/>
        </w:rPr>
        <w:t xml:space="preserve">. The total </w:t>
      </w:r>
      <w:r w:rsidR="4B1DBFDF" w:rsidRPr="00B33A7B">
        <w:rPr>
          <w:rFonts w:cs="Arial"/>
        </w:rPr>
        <w:t>eligible</w:t>
      </w:r>
      <w:r w:rsidRPr="00B33A7B">
        <w:rPr>
          <w:rFonts w:cs="Arial"/>
        </w:rPr>
        <w:t xml:space="preserve"> grant </w:t>
      </w:r>
      <w:r w:rsidR="547921E8" w:rsidRPr="00B33A7B">
        <w:rPr>
          <w:rFonts w:cs="Arial"/>
        </w:rPr>
        <w:t xml:space="preserve">amount shall be based upon the lesser of the amount necessary to fund the </w:t>
      </w:r>
      <w:r w:rsidR="547921E8" w:rsidRPr="00B33A7B">
        <w:t>Capital Improvement Projects</w:t>
      </w:r>
      <w:r w:rsidR="547921E8" w:rsidRPr="00B33A7B">
        <w:rPr>
          <w:rFonts w:cs="Arial"/>
        </w:rPr>
        <w:t xml:space="preserve"> or the maximum amount calculated from the table published by the Department</w:t>
      </w:r>
      <w:r w:rsidRPr="00B33A7B">
        <w:rPr>
          <w:rFonts w:cs="Arial"/>
        </w:rPr>
        <w:t>.</w:t>
      </w:r>
    </w:p>
    <w:p w14:paraId="0D261EFE" w14:textId="77777777" w:rsidR="006C4AB2" w:rsidRPr="00B33A7B" w:rsidRDefault="006C4AB2" w:rsidP="006C4AB2">
      <w:pPr>
        <w:pStyle w:val="ListParagraph"/>
        <w:ind w:right="360"/>
        <w:rPr>
          <w:rFonts w:cs="Arial"/>
        </w:rPr>
      </w:pPr>
    </w:p>
    <w:p w14:paraId="32DF2068" w14:textId="13EFF1AE" w:rsidR="00055CA2" w:rsidRPr="00B33A7B" w:rsidRDefault="00466117" w:rsidP="006C4AB2">
      <w:pPr>
        <w:pStyle w:val="ListParagraph"/>
        <w:numPr>
          <w:ilvl w:val="0"/>
          <w:numId w:val="20"/>
        </w:numPr>
        <w:ind w:left="720" w:right="360" w:hanging="720"/>
        <w:rPr>
          <w:rFonts w:cs="Arial"/>
        </w:rPr>
      </w:pPr>
      <w:r w:rsidRPr="00B33A7B">
        <w:rPr>
          <w:rFonts w:cs="Arial"/>
        </w:rPr>
        <w:t xml:space="preserve">Minimum and maximum </w:t>
      </w:r>
      <w:r w:rsidR="00F23BE3" w:rsidRPr="00B33A7B">
        <w:rPr>
          <w:rFonts w:cs="Arial"/>
        </w:rPr>
        <w:t>A</w:t>
      </w:r>
      <w:r w:rsidRPr="00B33A7B">
        <w:rPr>
          <w:rFonts w:cs="Arial"/>
        </w:rPr>
        <w:t xml:space="preserve">ward amounts </w:t>
      </w:r>
      <w:r w:rsidR="009711F1" w:rsidRPr="00B33A7B">
        <w:rPr>
          <w:rFonts w:cs="Arial"/>
        </w:rPr>
        <w:t xml:space="preserve">for a Qualifying Infill Project </w:t>
      </w:r>
      <w:r w:rsidR="00FB6F2D" w:rsidRPr="00B33A7B">
        <w:rPr>
          <w:rFonts w:cs="Arial"/>
        </w:rPr>
        <w:t>and</w:t>
      </w:r>
      <w:r w:rsidR="009711F1" w:rsidRPr="00B33A7B">
        <w:rPr>
          <w:rFonts w:cs="Arial"/>
        </w:rPr>
        <w:t xml:space="preserve"> Qualifying</w:t>
      </w:r>
      <w:r w:rsidR="006C4AB2" w:rsidRPr="00B33A7B">
        <w:rPr>
          <w:rFonts w:cs="Arial"/>
        </w:rPr>
        <w:t xml:space="preserve"> </w:t>
      </w:r>
      <w:r w:rsidR="009711F1" w:rsidRPr="00B33A7B">
        <w:rPr>
          <w:rFonts w:cs="Arial"/>
        </w:rPr>
        <w:t xml:space="preserve">Infill Area </w:t>
      </w:r>
      <w:r w:rsidRPr="00B33A7B">
        <w:rPr>
          <w:rFonts w:cs="Arial"/>
        </w:rPr>
        <w:t xml:space="preserve">are identified in the NOFA. </w:t>
      </w:r>
      <w:r w:rsidR="009711F1" w:rsidRPr="00B33A7B">
        <w:rPr>
          <w:rFonts w:cs="Arial"/>
        </w:rPr>
        <w:t xml:space="preserve"> </w:t>
      </w:r>
    </w:p>
    <w:p w14:paraId="7E68CAE6" w14:textId="77777777" w:rsidR="00163A6E" w:rsidRPr="00B33A7B" w:rsidRDefault="00163A6E" w:rsidP="00C67B94">
      <w:pPr>
        <w:ind w:left="720" w:hanging="720"/>
        <w:rPr>
          <w:rFonts w:cs="Arial"/>
        </w:rPr>
      </w:pPr>
    </w:p>
    <w:p w14:paraId="21C28B3E" w14:textId="4B4F9008" w:rsidR="00A3503B" w:rsidRPr="00B33A7B" w:rsidRDefault="00A3503B" w:rsidP="00993D09">
      <w:pPr>
        <w:pStyle w:val="ListParagraph"/>
        <w:numPr>
          <w:ilvl w:val="0"/>
          <w:numId w:val="20"/>
        </w:numPr>
        <w:ind w:left="720" w:right="360" w:hanging="720"/>
        <w:rPr>
          <w:rFonts w:cs="Arial"/>
        </w:rPr>
      </w:pPr>
      <w:r w:rsidRPr="00B33A7B">
        <w:rPr>
          <w:rFonts w:cs="Arial"/>
        </w:rPr>
        <w:t xml:space="preserve">Grant terms will be outlined in the Standard Agreement. </w:t>
      </w:r>
    </w:p>
    <w:p w14:paraId="46554DE9" w14:textId="77777777" w:rsidR="00A3503B" w:rsidRPr="00B33A7B" w:rsidRDefault="00A3503B" w:rsidP="00A3503B">
      <w:pPr>
        <w:rPr>
          <w:rFonts w:cs="Arial"/>
        </w:rPr>
      </w:pPr>
    </w:p>
    <w:p w14:paraId="26EAFA8D" w14:textId="170DC46E" w:rsidR="00CE3B39" w:rsidRPr="00B33A7B" w:rsidRDefault="00CE3B39" w:rsidP="00993D09">
      <w:pPr>
        <w:pStyle w:val="ListParagraph"/>
        <w:numPr>
          <w:ilvl w:val="0"/>
          <w:numId w:val="20"/>
        </w:numPr>
        <w:ind w:left="720" w:right="360" w:hanging="720"/>
        <w:rPr>
          <w:rFonts w:cs="Arial"/>
        </w:rPr>
      </w:pPr>
      <w:r w:rsidRPr="00B33A7B">
        <w:rPr>
          <w:rFonts w:cs="Arial"/>
        </w:rPr>
        <w:t>In consideration for the IIG Award to the Recipient, there shall be a Covenant recorded against the fee interest of the real property site(s) of the Qualifying Infill Project</w:t>
      </w:r>
      <w:r w:rsidR="00A04DC5" w:rsidRPr="00B33A7B">
        <w:rPr>
          <w:rFonts w:cs="Arial"/>
        </w:rPr>
        <w:t xml:space="preserve"> </w:t>
      </w:r>
      <w:r w:rsidR="00B12716" w:rsidRPr="00B33A7B">
        <w:rPr>
          <w:rFonts w:cs="Arial"/>
        </w:rPr>
        <w:t>or</w:t>
      </w:r>
      <w:r w:rsidR="00A04DC5" w:rsidRPr="00B33A7B">
        <w:rPr>
          <w:rFonts w:cs="Arial"/>
        </w:rPr>
        <w:t xml:space="preserve"> Qualifying Infill Area</w:t>
      </w:r>
      <w:r w:rsidRPr="00B33A7B">
        <w:rPr>
          <w:rFonts w:cs="Arial"/>
        </w:rPr>
        <w:t xml:space="preserve">, which shall impose development, use, and affordability restrictions upon the real property. The Covenant shall be binding, effective and enforceable commencing upon its execution and shall continue in full force and effect for a period of not less than 55 years for Rental Affordable </w:t>
      </w:r>
      <w:r w:rsidRPr="00B33A7B">
        <w:rPr>
          <w:rFonts w:cs="Arial"/>
        </w:rPr>
        <w:lastRenderedPageBreak/>
        <w:t>Housing Developments (or 30 years for Homeownership Housing Developments) after a certificate of occupancy or its equivalent has been issued for the Affordable Housing Development by the local jurisdiction or, if no such certificate is issued, from the date of initial occupancy of the Affordable Housing Development.</w:t>
      </w:r>
    </w:p>
    <w:p w14:paraId="31CBAB2A" w14:textId="77777777" w:rsidR="00CE3B39" w:rsidRPr="00B33A7B" w:rsidRDefault="00CE3B39" w:rsidP="00CE3B39">
      <w:pPr>
        <w:rPr>
          <w:rFonts w:cs="Arial"/>
        </w:rPr>
      </w:pPr>
    </w:p>
    <w:p w14:paraId="2FE3A669" w14:textId="45657A88" w:rsidR="00321199" w:rsidRPr="00B33A7B" w:rsidRDefault="0062097B" w:rsidP="00993D09">
      <w:pPr>
        <w:pStyle w:val="ListParagraph"/>
        <w:numPr>
          <w:ilvl w:val="0"/>
          <w:numId w:val="20"/>
        </w:numPr>
        <w:ind w:left="720" w:right="360" w:hanging="720"/>
        <w:rPr>
          <w:rFonts w:cs="Arial"/>
        </w:rPr>
      </w:pPr>
      <w:r w:rsidRPr="00B33A7B">
        <w:rPr>
          <w:rFonts w:cs="Arial"/>
        </w:rPr>
        <w:t xml:space="preserve">Where </w:t>
      </w:r>
      <w:r w:rsidR="00B31A6D" w:rsidRPr="00B33A7B">
        <w:rPr>
          <w:rFonts w:cs="Arial"/>
        </w:rPr>
        <w:t xml:space="preserve">the </w:t>
      </w:r>
      <w:r w:rsidR="00B31A6D" w:rsidRPr="00B33A7B">
        <w:t>Qualifying Infill Project</w:t>
      </w:r>
      <w:r w:rsidR="00B31A6D" w:rsidRPr="00B33A7B">
        <w:rPr>
          <w:rFonts w:cs="Arial"/>
        </w:rPr>
        <w:t xml:space="preserve"> </w:t>
      </w:r>
      <w:r w:rsidR="00B12716" w:rsidRPr="00B33A7B">
        <w:rPr>
          <w:rFonts w:cs="Arial"/>
        </w:rPr>
        <w:t>or</w:t>
      </w:r>
      <w:r w:rsidR="00A04DC5" w:rsidRPr="00B33A7B">
        <w:rPr>
          <w:rFonts w:cs="Arial"/>
        </w:rPr>
        <w:t xml:space="preserve"> Qualifying Infill Area </w:t>
      </w:r>
      <w:r w:rsidR="00B31A6D" w:rsidRPr="00B33A7B">
        <w:rPr>
          <w:rFonts w:cs="Arial"/>
        </w:rPr>
        <w:t xml:space="preserve">is receiving low-income housing tax credits, the Recipient may provide Program funds to the Sponsor of the </w:t>
      </w:r>
      <w:r w:rsidR="00B31A6D" w:rsidRPr="00B33A7B">
        <w:t>Qualifying Infill Project</w:t>
      </w:r>
      <w:r w:rsidR="00B31A6D" w:rsidRPr="00B33A7B">
        <w:rPr>
          <w:rFonts w:cs="Arial"/>
        </w:rPr>
        <w:t xml:space="preserve"> </w:t>
      </w:r>
      <w:r w:rsidR="009C37C9" w:rsidRPr="00B33A7B">
        <w:rPr>
          <w:rFonts w:cs="Arial"/>
        </w:rPr>
        <w:t xml:space="preserve">or Qualifying Infill Area </w:t>
      </w:r>
      <w:r w:rsidR="00B31A6D" w:rsidRPr="00B33A7B">
        <w:rPr>
          <w:rFonts w:cs="Arial"/>
        </w:rPr>
        <w:t xml:space="preserve">in the form of a zero percent deferred payment loan, with a term of at least 55 years. The loan may be secured by a deed of trust, which may be recorded with the local county recorder’s office, </w:t>
      </w:r>
      <w:r w:rsidR="002D1B29" w:rsidRPr="00B33A7B">
        <w:rPr>
          <w:rFonts w:cs="Arial"/>
        </w:rPr>
        <w:t>p</w:t>
      </w:r>
      <w:r w:rsidRPr="00B33A7B">
        <w:rPr>
          <w:rFonts w:cs="Arial"/>
        </w:rPr>
        <w:t>rovide</w:t>
      </w:r>
      <w:r w:rsidR="00B3409D" w:rsidRPr="00B33A7B">
        <w:rPr>
          <w:rFonts w:cs="Arial"/>
        </w:rPr>
        <w:t xml:space="preserve">d </w:t>
      </w:r>
      <w:r w:rsidRPr="00B33A7B">
        <w:rPr>
          <w:rFonts w:cs="Arial"/>
        </w:rPr>
        <w:t xml:space="preserve">the </w:t>
      </w:r>
      <w:r w:rsidR="00F260A8" w:rsidRPr="00B33A7B">
        <w:rPr>
          <w:rFonts w:cs="Arial"/>
        </w:rPr>
        <w:t xml:space="preserve">beneficiary of the loan shall not under any circumstances exercise any remedy, including, without limitation, foreclosure, under the deed of trust without the prior written consent of the Department, in its sole and absolute discretion. The loan may not be sold, assigned, assumed, conveyed, or transferred to any third party </w:t>
      </w:r>
      <w:r w:rsidRPr="00B33A7B">
        <w:rPr>
          <w:rFonts w:cs="Arial"/>
        </w:rPr>
        <w:t xml:space="preserve">without prior written </w:t>
      </w:r>
      <w:r w:rsidR="00F85806" w:rsidRPr="00B33A7B">
        <w:rPr>
          <w:rFonts w:cs="Arial"/>
        </w:rPr>
        <w:t>Department approval,</w:t>
      </w:r>
      <w:r w:rsidRPr="00B33A7B">
        <w:rPr>
          <w:rFonts w:cs="Arial"/>
        </w:rPr>
        <w:t xml:space="preserve"> </w:t>
      </w:r>
      <w:r w:rsidR="00DF4F0D" w:rsidRPr="00B33A7B">
        <w:rPr>
          <w:rFonts w:cs="Arial"/>
        </w:rPr>
        <w:t xml:space="preserve">which is </w:t>
      </w:r>
      <w:r w:rsidR="00393F77" w:rsidRPr="00B33A7B">
        <w:rPr>
          <w:rFonts w:cs="Arial"/>
        </w:rPr>
        <w:t xml:space="preserve">at the Department’s </w:t>
      </w:r>
      <w:r w:rsidRPr="00B33A7B">
        <w:rPr>
          <w:rFonts w:cs="Arial"/>
        </w:rPr>
        <w:t xml:space="preserve">sole and absolute discretion. For </w:t>
      </w:r>
      <w:r w:rsidR="007E61B0" w:rsidRPr="00B33A7B">
        <w:rPr>
          <w:rFonts w:cs="Arial"/>
        </w:rPr>
        <w:t xml:space="preserve">Qualifying Infill </w:t>
      </w:r>
      <w:r w:rsidRPr="00B33A7B">
        <w:rPr>
          <w:rFonts w:cs="Arial"/>
        </w:rPr>
        <w:t xml:space="preserve">Projects </w:t>
      </w:r>
      <w:r w:rsidR="00B12716" w:rsidRPr="00B33A7B">
        <w:rPr>
          <w:rFonts w:cs="Arial"/>
        </w:rPr>
        <w:t>or</w:t>
      </w:r>
      <w:r w:rsidR="004A69EB" w:rsidRPr="00B33A7B">
        <w:rPr>
          <w:rFonts w:cs="Arial"/>
        </w:rPr>
        <w:t xml:space="preserve"> Qualifying Infill Areas </w:t>
      </w:r>
      <w:r w:rsidRPr="00B33A7B">
        <w:rPr>
          <w:rFonts w:cs="Arial"/>
        </w:rPr>
        <w:t>assisted by other Department funding programs, repayment of the loan between the Recipient</w:t>
      </w:r>
      <w:r w:rsidR="007E61B0" w:rsidRPr="00B33A7B">
        <w:rPr>
          <w:rFonts w:cs="Arial"/>
        </w:rPr>
        <w:t>/Sponsor</w:t>
      </w:r>
      <w:r w:rsidR="004559AB" w:rsidRPr="00B33A7B">
        <w:rPr>
          <w:rFonts w:cs="Arial"/>
        </w:rPr>
        <w:t xml:space="preserve"> </w:t>
      </w:r>
      <w:r w:rsidRPr="00B33A7B">
        <w:rPr>
          <w:rFonts w:cs="Arial"/>
        </w:rPr>
        <w:t xml:space="preserve">shall be limited to (1) no repayments to the Recipient until the maturity date or (2) repayment only from </w:t>
      </w:r>
      <w:r w:rsidR="005E5FBC">
        <w:rPr>
          <w:rFonts w:cs="Arial"/>
        </w:rPr>
        <w:t>d</w:t>
      </w:r>
      <w:r w:rsidR="005E5FBC" w:rsidRPr="00B33A7B">
        <w:rPr>
          <w:rFonts w:cs="Arial"/>
        </w:rPr>
        <w:t>istributions</w:t>
      </w:r>
      <w:r w:rsidRPr="00B33A7B">
        <w:rPr>
          <w:rFonts w:cs="Arial"/>
        </w:rPr>
        <w:t xml:space="preserve"> from the </w:t>
      </w:r>
      <w:r w:rsidR="00F013FF" w:rsidRPr="00B33A7B">
        <w:rPr>
          <w:rFonts w:cs="Arial"/>
        </w:rPr>
        <w:t xml:space="preserve">Qualifying Infill </w:t>
      </w:r>
      <w:r w:rsidR="004559AB" w:rsidRPr="00B33A7B">
        <w:rPr>
          <w:rFonts w:cs="Arial"/>
        </w:rPr>
        <w:t xml:space="preserve">Project </w:t>
      </w:r>
      <w:r w:rsidR="00B12716" w:rsidRPr="00B33A7B">
        <w:rPr>
          <w:rFonts w:cs="Arial"/>
        </w:rPr>
        <w:t>or</w:t>
      </w:r>
      <w:r w:rsidR="00B010FA" w:rsidRPr="00B33A7B">
        <w:rPr>
          <w:rFonts w:cs="Arial"/>
        </w:rPr>
        <w:t xml:space="preserve"> Qualifying Infill Area </w:t>
      </w:r>
      <w:r w:rsidRPr="00B33A7B">
        <w:rPr>
          <w:rFonts w:cs="Arial"/>
        </w:rPr>
        <w:t xml:space="preserve">within the meaning of </w:t>
      </w:r>
      <w:r w:rsidR="00F00CA9" w:rsidRPr="00B33A7B">
        <w:rPr>
          <w:rFonts w:cs="Arial"/>
        </w:rPr>
        <w:t xml:space="preserve">25 CCR </w:t>
      </w:r>
      <w:r w:rsidR="005B73D8" w:rsidRPr="00B33A7B">
        <w:rPr>
          <w:rFonts w:cs="Arial"/>
        </w:rPr>
        <w:t xml:space="preserve">Section </w:t>
      </w:r>
      <w:r w:rsidRPr="00B33A7B">
        <w:rPr>
          <w:rFonts w:cs="Arial"/>
        </w:rPr>
        <w:t>8301(</w:t>
      </w:r>
      <w:r w:rsidR="005B73D8" w:rsidRPr="00B33A7B">
        <w:rPr>
          <w:rFonts w:cs="Arial"/>
        </w:rPr>
        <w:t>h</w:t>
      </w:r>
      <w:r w:rsidRPr="00B33A7B">
        <w:rPr>
          <w:rFonts w:cs="Arial"/>
        </w:rPr>
        <w:t>). The Recipient shall be responsible for all aspects of establishing and servicing the loan.</w:t>
      </w:r>
      <w:r w:rsidR="00DF0303" w:rsidRPr="00B33A7B">
        <w:rPr>
          <w:rFonts w:cs="Arial"/>
        </w:rPr>
        <w:t xml:space="preserve"> </w:t>
      </w:r>
      <w:r w:rsidRPr="00B33A7B">
        <w:rPr>
          <w:rFonts w:cs="Arial"/>
        </w:rPr>
        <w:t>The provisions governing the loan shall be entirely consistent with these Guidelines and all documents required by the Department with respect to the use and disbursement of Program funds. All documents governing the loan between the Recipient</w:t>
      </w:r>
      <w:r w:rsidR="00311B95" w:rsidRPr="00B33A7B">
        <w:rPr>
          <w:rFonts w:cs="Arial"/>
        </w:rPr>
        <w:t>/Sponsor</w:t>
      </w:r>
      <w:r w:rsidRPr="00B33A7B">
        <w:rPr>
          <w:rFonts w:cs="Arial"/>
        </w:rPr>
        <w:t xml:space="preserve"> shall contain all the terms and conditions set forth in this subdivision and shall be subject to the review and approval of the Department prior to making the loan. This subdivision shall apply to any </w:t>
      </w:r>
      <w:r w:rsidR="00DF6948" w:rsidRPr="00B33A7B">
        <w:rPr>
          <w:rFonts w:cs="Arial"/>
        </w:rPr>
        <w:t>Qualifying Infill Project</w:t>
      </w:r>
      <w:r w:rsidR="00B010FA" w:rsidRPr="00B33A7B">
        <w:rPr>
          <w:rFonts w:cs="Arial"/>
        </w:rPr>
        <w:t xml:space="preserve"> </w:t>
      </w:r>
      <w:r w:rsidR="00B12716" w:rsidRPr="00B33A7B">
        <w:rPr>
          <w:rFonts w:cs="Arial"/>
        </w:rPr>
        <w:t>or</w:t>
      </w:r>
      <w:r w:rsidR="00B010FA" w:rsidRPr="00B33A7B">
        <w:rPr>
          <w:rFonts w:cs="Arial"/>
        </w:rPr>
        <w:t xml:space="preserve"> Qualifying Infill Area</w:t>
      </w:r>
      <w:r w:rsidRPr="00B33A7B">
        <w:rPr>
          <w:rFonts w:cs="Arial"/>
        </w:rPr>
        <w:t xml:space="preserve"> receiving </w:t>
      </w:r>
      <w:r w:rsidR="008C49B0" w:rsidRPr="00B33A7B">
        <w:rPr>
          <w:rFonts w:cs="Arial"/>
        </w:rPr>
        <w:t>low-</w:t>
      </w:r>
      <w:r w:rsidRPr="00B33A7B">
        <w:rPr>
          <w:rFonts w:cs="Arial"/>
        </w:rPr>
        <w:t xml:space="preserve">income housing tax credits regardless of the date of the Program </w:t>
      </w:r>
      <w:r w:rsidR="00F23BE3" w:rsidRPr="00B33A7B">
        <w:rPr>
          <w:rFonts w:cs="Arial"/>
        </w:rPr>
        <w:t>Award</w:t>
      </w:r>
      <w:r w:rsidRPr="00B33A7B">
        <w:rPr>
          <w:rFonts w:cs="Arial"/>
        </w:rPr>
        <w:t>.</w:t>
      </w:r>
    </w:p>
    <w:p w14:paraId="36EFD860" w14:textId="2FAD25C7" w:rsidR="00321199" w:rsidRPr="00B33A7B" w:rsidRDefault="00321199" w:rsidP="00EE3190">
      <w:pPr>
        <w:pStyle w:val="ListParagraph"/>
        <w:ind w:right="360"/>
        <w:rPr>
          <w:rFonts w:cs="Arial"/>
        </w:rPr>
      </w:pPr>
    </w:p>
    <w:p w14:paraId="71A17723" w14:textId="2AAFA409" w:rsidR="001042C7" w:rsidRPr="00B33A7B" w:rsidRDefault="6BC8B584" w:rsidP="00993D09">
      <w:pPr>
        <w:pStyle w:val="ListParagraph"/>
        <w:numPr>
          <w:ilvl w:val="0"/>
          <w:numId w:val="20"/>
        </w:numPr>
        <w:ind w:left="720" w:right="360" w:hanging="720"/>
        <w:rPr>
          <w:rFonts w:cs="Arial"/>
        </w:rPr>
      </w:pPr>
      <w:r w:rsidRPr="00B33A7B">
        <w:rPr>
          <w:rFonts w:cs="Arial"/>
        </w:rPr>
        <w:t>C</w:t>
      </w:r>
      <w:r w:rsidR="129922E8" w:rsidRPr="00B33A7B">
        <w:rPr>
          <w:rFonts w:cs="Arial"/>
        </w:rPr>
        <w:t xml:space="preserve">onditions precedent to the </w:t>
      </w:r>
      <w:r w:rsidR="06A114A9" w:rsidRPr="00B33A7B">
        <w:rPr>
          <w:rFonts w:cs="Arial"/>
        </w:rPr>
        <w:t>initial</w:t>
      </w:r>
      <w:r w:rsidR="129922E8" w:rsidRPr="00B33A7B">
        <w:rPr>
          <w:rFonts w:cs="Arial"/>
        </w:rPr>
        <w:t xml:space="preserve"> disbursement of Program funds shall include</w:t>
      </w:r>
      <w:r w:rsidR="644FCC41" w:rsidRPr="00B33A7B">
        <w:rPr>
          <w:rFonts w:cs="Arial"/>
        </w:rPr>
        <w:t xml:space="preserve"> </w:t>
      </w:r>
      <w:r w:rsidR="129922E8" w:rsidRPr="00B33A7B">
        <w:rPr>
          <w:rFonts w:cs="Arial"/>
        </w:rPr>
        <w:t xml:space="preserve">receipt of all required public agency entitlements and all required funding commitments for </w:t>
      </w:r>
      <w:r w:rsidR="467276AA" w:rsidRPr="00B33A7B">
        <w:rPr>
          <w:rFonts w:cs="Arial"/>
        </w:rPr>
        <w:t xml:space="preserve">any proposed </w:t>
      </w:r>
      <w:r w:rsidR="1DBD202B" w:rsidRPr="00B33A7B">
        <w:rPr>
          <w:rFonts w:cs="Arial"/>
        </w:rPr>
        <w:t>Qualifying Infill Project</w:t>
      </w:r>
      <w:r w:rsidR="129922E8" w:rsidRPr="00B33A7B">
        <w:rPr>
          <w:rFonts w:cs="Arial"/>
        </w:rPr>
        <w:t xml:space="preserve"> </w:t>
      </w:r>
      <w:r w:rsidR="46401D0C" w:rsidRPr="00B33A7B">
        <w:rPr>
          <w:rFonts w:cs="Arial"/>
        </w:rPr>
        <w:t>or</w:t>
      </w:r>
      <w:r w:rsidR="2EE46575" w:rsidRPr="00B33A7B">
        <w:rPr>
          <w:rFonts w:cs="Arial"/>
        </w:rPr>
        <w:t xml:space="preserve"> Qualifying Infill Area </w:t>
      </w:r>
      <w:r w:rsidR="129922E8" w:rsidRPr="00B33A7B">
        <w:rPr>
          <w:rFonts w:cs="Arial"/>
        </w:rPr>
        <w:t>supported by the Capital Improvement Project.</w:t>
      </w:r>
      <w:r w:rsidR="36AC5966" w:rsidRPr="00B33A7B">
        <w:rPr>
          <w:rFonts w:cs="Arial"/>
        </w:rPr>
        <w:t xml:space="preserve"> </w:t>
      </w:r>
    </w:p>
    <w:p w14:paraId="2ECE8419" w14:textId="17976156" w:rsidR="00321199" w:rsidRPr="00B33A7B" w:rsidRDefault="00321199" w:rsidP="00EE3190">
      <w:pPr>
        <w:pStyle w:val="ListParagraph"/>
        <w:ind w:right="360"/>
        <w:rPr>
          <w:rFonts w:cs="Arial"/>
        </w:rPr>
      </w:pPr>
    </w:p>
    <w:p w14:paraId="43AE7D56" w14:textId="7BC6AADD" w:rsidR="00321199" w:rsidRPr="00B33A7B" w:rsidRDefault="00CB7A91" w:rsidP="00993D09">
      <w:pPr>
        <w:pStyle w:val="ListParagraph"/>
        <w:numPr>
          <w:ilvl w:val="0"/>
          <w:numId w:val="20"/>
        </w:numPr>
        <w:ind w:left="720" w:right="360" w:hanging="720"/>
        <w:rPr>
          <w:rFonts w:cs="Arial"/>
        </w:rPr>
      </w:pPr>
      <w:r w:rsidRPr="00B33A7B">
        <w:rPr>
          <w:rFonts w:cs="Arial"/>
        </w:rPr>
        <w:t>Grant f</w:t>
      </w:r>
      <w:r w:rsidR="00321199" w:rsidRPr="00B33A7B">
        <w:rPr>
          <w:rFonts w:cs="Arial"/>
        </w:rPr>
        <w:t xml:space="preserve">unds will be disbursed as progress payments for approved eligible costs incurred subject to the requirements of these Guidelines. </w:t>
      </w:r>
    </w:p>
    <w:p w14:paraId="180B264F" w14:textId="77777777" w:rsidR="00321199" w:rsidRPr="00B33A7B" w:rsidRDefault="00321199" w:rsidP="00EE3190">
      <w:pPr>
        <w:pStyle w:val="ListParagraph"/>
        <w:ind w:right="360"/>
        <w:rPr>
          <w:rFonts w:cs="Arial"/>
        </w:rPr>
      </w:pPr>
    </w:p>
    <w:p w14:paraId="7EC964E9" w14:textId="7F0C530F" w:rsidR="00321199" w:rsidRPr="00B33A7B" w:rsidRDefault="00321199" w:rsidP="00993D09">
      <w:pPr>
        <w:pStyle w:val="ListParagraph"/>
        <w:numPr>
          <w:ilvl w:val="0"/>
          <w:numId w:val="20"/>
        </w:numPr>
        <w:ind w:left="720" w:right="360" w:hanging="720"/>
        <w:rPr>
          <w:rFonts w:cs="Arial"/>
        </w:rPr>
      </w:pPr>
      <w:r w:rsidRPr="00B33A7B">
        <w:rPr>
          <w:rFonts w:cs="Arial"/>
        </w:rPr>
        <w:t>Where approval by a local public wor</w:t>
      </w:r>
      <w:r w:rsidR="00EB54E7" w:rsidRPr="00B33A7B">
        <w:rPr>
          <w:rFonts w:cs="Arial"/>
        </w:rPr>
        <w:t>ks department, or an entity with equivalent jurisdiction</w:t>
      </w:r>
      <w:r w:rsidRPr="00B33A7B">
        <w:rPr>
          <w:rFonts w:cs="Arial"/>
        </w:rPr>
        <w:t>, is required for the Ca</w:t>
      </w:r>
      <w:r w:rsidR="00203E29" w:rsidRPr="00B33A7B">
        <w:rPr>
          <w:rFonts w:cs="Arial"/>
        </w:rPr>
        <w:t>pital Improvement Project,</w:t>
      </w:r>
      <w:r w:rsidR="00EB54E7" w:rsidRPr="00B33A7B">
        <w:rPr>
          <w:rFonts w:cs="Arial"/>
        </w:rPr>
        <w:t xml:space="preserve"> the Recipient</w:t>
      </w:r>
      <w:r w:rsidRPr="00B33A7B">
        <w:rPr>
          <w:rFonts w:cs="Arial"/>
        </w:rPr>
        <w:t xml:space="preserve"> must submit, prior to the disbursement of grant funds, a </w:t>
      </w:r>
      <w:r w:rsidR="00EB54E7" w:rsidRPr="00B33A7B">
        <w:rPr>
          <w:rFonts w:cs="Arial"/>
        </w:rPr>
        <w:t xml:space="preserve">statement </w:t>
      </w:r>
      <w:r w:rsidRPr="00B33A7B">
        <w:rPr>
          <w:rFonts w:cs="Arial"/>
        </w:rPr>
        <w:t>or other documentation acceptable to the Department, indicating that the Capital Improvement Project is consistent with all applicable policies and plans enforced or implemented by that department</w:t>
      </w:r>
      <w:r w:rsidR="009235C1" w:rsidRPr="00B33A7B">
        <w:rPr>
          <w:rFonts w:cs="Arial"/>
        </w:rPr>
        <w:t xml:space="preserve"> or entity</w:t>
      </w:r>
      <w:r w:rsidRPr="00B33A7B">
        <w:rPr>
          <w:rFonts w:cs="Arial"/>
        </w:rPr>
        <w:t>.</w:t>
      </w:r>
    </w:p>
    <w:p w14:paraId="582E89A7" w14:textId="0C63B52C" w:rsidR="0092370F" w:rsidRPr="00B33A7B" w:rsidRDefault="0092370F" w:rsidP="00EE3190">
      <w:pPr>
        <w:pStyle w:val="ListParagraph"/>
        <w:ind w:right="360"/>
        <w:rPr>
          <w:rFonts w:cs="Arial"/>
        </w:rPr>
      </w:pPr>
    </w:p>
    <w:p w14:paraId="1C433C47" w14:textId="79F6E600" w:rsidR="005B7FAE" w:rsidRPr="00B33A7B" w:rsidRDefault="4D8923C9" w:rsidP="00993D09">
      <w:pPr>
        <w:pStyle w:val="ListParagraph"/>
        <w:numPr>
          <w:ilvl w:val="0"/>
          <w:numId w:val="20"/>
        </w:numPr>
        <w:ind w:left="720" w:right="360" w:hanging="720"/>
        <w:rPr>
          <w:rFonts w:cs="Arial"/>
        </w:rPr>
      </w:pPr>
      <w:r w:rsidRPr="00B33A7B">
        <w:rPr>
          <w:rFonts w:cs="Arial"/>
        </w:rPr>
        <w:lastRenderedPageBreak/>
        <w:t xml:space="preserve">The </w:t>
      </w:r>
      <w:r w:rsidR="7C402DBB" w:rsidRPr="00B33A7B">
        <w:rPr>
          <w:rFonts w:cs="Arial"/>
        </w:rPr>
        <w:t xml:space="preserve">Department shall record an affordability </w:t>
      </w:r>
      <w:r w:rsidR="003B3139">
        <w:rPr>
          <w:rFonts w:cs="Arial"/>
        </w:rPr>
        <w:t>C</w:t>
      </w:r>
      <w:r w:rsidR="003B3139" w:rsidRPr="00B33A7B">
        <w:rPr>
          <w:rFonts w:cs="Arial"/>
        </w:rPr>
        <w:t xml:space="preserve">ovenant </w:t>
      </w:r>
      <w:r w:rsidRPr="00B33A7B">
        <w:rPr>
          <w:rFonts w:cs="Arial"/>
        </w:rPr>
        <w:t xml:space="preserve">against the fee </w:t>
      </w:r>
      <w:r w:rsidR="04C32E5F" w:rsidRPr="00B33A7B">
        <w:rPr>
          <w:rFonts w:cs="Arial"/>
        </w:rPr>
        <w:t>estate</w:t>
      </w:r>
      <w:r w:rsidRPr="00B33A7B">
        <w:rPr>
          <w:rFonts w:cs="Arial"/>
        </w:rPr>
        <w:t xml:space="preserve">. The </w:t>
      </w:r>
      <w:r w:rsidR="04C32E5F" w:rsidRPr="00B33A7B">
        <w:rPr>
          <w:rFonts w:cs="Arial"/>
        </w:rPr>
        <w:t xml:space="preserve">affordability </w:t>
      </w:r>
      <w:r w:rsidR="003B3139">
        <w:rPr>
          <w:rFonts w:cs="Arial"/>
        </w:rPr>
        <w:t>C</w:t>
      </w:r>
      <w:r w:rsidR="003B3139" w:rsidRPr="00B33A7B">
        <w:rPr>
          <w:rFonts w:cs="Arial"/>
        </w:rPr>
        <w:t xml:space="preserve">ovenant </w:t>
      </w:r>
      <w:r w:rsidR="04C32E5F" w:rsidRPr="00B33A7B">
        <w:rPr>
          <w:rFonts w:cs="Arial"/>
        </w:rPr>
        <w:t xml:space="preserve">shall be </w:t>
      </w:r>
      <w:r w:rsidRPr="00B33A7B">
        <w:rPr>
          <w:rFonts w:cs="Arial"/>
        </w:rPr>
        <w:t xml:space="preserve">subject </w:t>
      </w:r>
      <w:r w:rsidR="05017E3F" w:rsidRPr="00B33A7B">
        <w:rPr>
          <w:rFonts w:cs="Arial"/>
        </w:rPr>
        <w:t xml:space="preserve">only to those </w:t>
      </w:r>
      <w:r w:rsidRPr="00B33A7B">
        <w:rPr>
          <w:rFonts w:cs="Arial"/>
        </w:rPr>
        <w:t xml:space="preserve">liens, encumbrances and other matters of record approved by the Department pursuant to UMR sections 8310(f) and 8315. </w:t>
      </w:r>
      <w:r w:rsidR="11D5CF54" w:rsidRPr="00B33A7B">
        <w:rPr>
          <w:rFonts w:cs="Arial"/>
        </w:rPr>
        <w:t xml:space="preserve">This recorded affordability </w:t>
      </w:r>
      <w:r w:rsidR="004C4F2D">
        <w:rPr>
          <w:rFonts w:cs="Arial"/>
        </w:rPr>
        <w:t>C</w:t>
      </w:r>
      <w:r w:rsidR="004C4F2D" w:rsidRPr="00B33A7B">
        <w:rPr>
          <w:rFonts w:cs="Arial"/>
        </w:rPr>
        <w:t xml:space="preserve">ovenant </w:t>
      </w:r>
      <w:r w:rsidR="11D5CF54" w:rsidRPr="00B33A7B">
        <w:rPr>
          <w:rFonts w:cs="Arial"/>
        </w:rPr>
        <w:t xml:space="preserve">shall be in place prior to initial disbursement of funds. </w:t>
      </w:r>
      <w:r w:rsidR="00492CAC" w:rsidRPr="00B33A7B">
        <w:rPr>
          <w:rFonts w:cs="Arial"/>
        </w:rPr>
        <w:cr/>
      </w:r>
    </w:p>
    <w:p w14:paraId="7B855CB8" w14:textId="249736B0" w:rsidR="00A8589A" w:rsidRPr="00B33A7B" w:rsidRDefault="08A24F6F" w:rsidP="00993D09">
      <w:pPr>
        <w:pStyle w:val="ListParagraph"/>
        <w:numPr>
          <w:ilvl w:val="0"/>
          <w:numId w:val="20"/>
        </w:numPr>
        <w:ind w:left="720" w:right="360" w:hanging="720"/>
        <w:rPr>
          <w:rFonts w:cs="Arial"/>
        </w:rPr>
      </w:pPr>
      <w:r w:rsidRPr="00B33A7B">
        <w:rPr>
          <w:rFonts w:cs="Arial"/>
        </w:rPr>
        <w:t>G</w:t>
      </w:r>
      <w:r w:rsidR="6E50A9ED" w:rsidRPr="00B33A7B">
        <w:rPr>
          <w:rFonts w:cs="Arial"/>
        </w:rPr>
        <w:t xml:space="preserve">rant </w:t>
      </w:r>
      <w:r w:rsidR="38A678A8" w:rsidRPr="00B33A7B">
        <w:rPr>
          <w:rFonts w:cs="Arial"/>
        </w:rPr>
        <w:t>A</w:t>
      </w:r>
      <w:r w:rsidR="6E50A9ED" w:rsidRPr="00B33A7B">
        <w:rPr>
          <w:rFonts w:cs="Arial"/>
        </w:rPr>
        <w:t xml:space="preserve">wards that are not encumbered within two years of the </w:t>
      </w:r>
      <w:r w:rsidR="4985203A" w:rsidRPr="00B33A7B">
        <w:rPr>
          <w:rFonts w:cs="Arial"/>
        </w:rPr>
        <w:t xml:space="preserve">fiscal year in which </w:t>
      </w:r>
      <w:r w:rsidR="6E50A9ED" w:rsidRPr="00B33A7B">
        <w:rPr>
          <w:rFonts w:cs="Arial"/>
        </w:rPr>
        <w:t xml:space="preserve">an </w:t>
      </w:r>
      <w:r w:rsidR="4985203A" w:rsidRPr="00B33A7B">
        <w:rPr>
          <w:rFonts w:cs="Arial"/>
        </w:rPr>
        <w:t>A</w:t>
      </w:r>
      <w:r w:rsidR="6E50A9ED" w:rsidRPr="00B33A7B">
        <w:rPr>
          <w:rFonts w:cs="Arial"/>
        </w:rPr>
        <w:t>ward was made</w:t>
      </w:r>
      <w:r w:rsidRPr="00B33A7B">
        <w:rPr>
          <w:rFonts w:cs="Arial"/>
        </w:rPr>
        <w:t xml:space="preserve"> </w:t>
      </w:r>
      <w:r w:rsidR="00E63AA5" w:rsidRPr="00B33A7B">
        <w:rPr>
          <w:rFonts w:cs="Arial"/>
        </w:rPr>
        <w:t xml:space="preserve">will revert </w:t>
      </w:r>
      <w:r w:rsidR="00F008CE" w:rsidRPr="00B33A7B">
        <w:rPr>
          <w:rFonts w:cs="Arial"/>
        </w:rPr>
        <w:t>to the Department</w:t>
      </w:r>
      <w:r w:rsidR="55881176" w:rsidRPr="00B33A7B">
        <w:rPr>
          <w:rFonts w:cs="Arial"/>
        </w:rPr>
        <w:t xml:space="preserve">, </w:t>
      </w:r>
      <w:r w:rsidR="4985203A" w:rsidRPr="00B33A7B">
        <w:rPr>
          <w:rFonts w:cs="Arial"/>
        </w:rPr>
        <w:t xml:space="preserve">as required by </w:t>
      </w:r>
      <w:r w:rsidR="6702F99A" w:rsidRPr="00B33A7B">
        <w:rPr>
          <w:rFonts w:cs="Arial"/>
        </w:rPr>
        <w:t>HSC</w:t>
      </w:r>
      <w:r w:rsidR="4985203A" w:rsidRPr="00B33A7B">
        <w:rPr>
          <w:rFonts w:cs="Arial"/>
        </w:rPr>
        <w:t xml:space="preserve"> Section </w:t>
      </w:r>
      <w:r w:rsidR="008D46C7" w:rsidRPr="00B33A7B">
        <w:rPr>
          <w:rFonts w:cs="Arial"/>
        </w:rPr>
        <w:t>53559</w:t>
      </w:r>
      <w:r w:rsidR="4985203A" w:rsidRPr="00B33A7B">
        <w:rPr>
          <w:rFonts w:cs="Arial"/>
        </w:rPr>
        <w:t>, subdivision (</w:t>
      </w:r>
      <w:r w:rsidR="007C4763" w:rsidRPr="00B33A7B">
        <w:rPr>
          <w:rFonts w:cs="Arial"/>
        </w:rPr>
        <w:t>g</w:t>
      </w:r>
      <w:r w:rsidR="4985203A" w:rsidRPr="00B33A7B">
        <w:rPr>
          <w:rFonts w:cs="Arial"/>
        </w:rPr>
        <w:t>).</w:t>
      </w:r>
    </w:p>
    <w:p w14:paraId="121FCE0B" w14:textId="77777777" w:rsidR="00A8589A" w:rsidRPr="00B33A7B" w:rsidRDefault="00A8589A" w:rsidP="00A8589A">
      <w:pPr>
        <w:pStyle w:val="ListParagraph"/>
        <w:ind w:right="360"/>
        <w:rPr>
          <w:rFonts w:cs="Arial"/>
        </w:rPr>
      </w:pPr>
    </w:p>
    <w:p w14:paraId="59BB11D2" w14:textId="482735BA" w:rsidR="007B2CD4" w:rsidRPr="00B33A7B" w:rsidRDefault="00A8589A" w:rsidP="00993D09">
      <w:pPr>
        <w:pStyle w:val="ListParagraph"/>
        <w:numPr>
          <w:ilvl w:val="0"/>
          <w:numId w:val="20"/>
        </w:numPr>
        <w:ind w:left="720" w:right="360" w:hanging="720"/>
        <w:rPr>
          <w:rFonts w:cs="Arial"/>
        </w:rPr>
      </w:pPr>
      <w:r w:rsidRPr="00B33A7B">
        <w:rPr>
          <w:rFonts w:cs="Arial"/>
        </w:rPr>
        <w:t>G</w:t>
      </w:r>
      <w:r w:rsidR="007B2CD4" w:rsidRPr="00B33A7B">
        <w:rPr>
          <w:rFonts w:cs="Arial"/>
        </w:rPr>
        <w:t>rants awarded</w:t>
      </w:r>
      <w:r w:rsidR="00520C79" w:rsidRPr="00B33A7B">
        <w:rPr>
          <w:rFonts w:cs="Arial"/>
        </w:rPr>
        <w:t xml:space="preserve">, but </w:t>
      </w:r>
      <w:r w:rsidR="007B2CD4" w:rsidRPr="00B33A7B">
        <w:rPr>
          <w:rFonts w:cs="Arial"/>
        </w:rPr>
        <w:t xml:space="preserve">for which development of the related housing </w:t>
      </w:r>
      <w:r w:rsidR="0075542A" w:rsidRPr="00B33A7B">
        <w:rPr>
          <w:rFonts w:cs="Arial"/>
        </w:rPr>
        <w:t>U</w:t>
      </w:r>
      <w:r w:rsidR="007B2CD4" w:rsidRPr="00B33A7B">
        <w:rPr>
          <w:rFonts w:cs="Arial"/>
        </w:rPr>
        <w:t xml:space="preserve">nits has not progressed in a reasonable period of time from the date of the grant </w:t>
      </w:r>
      <w:r w:rsidR="00C6067C" w:rsidRPr="00B33A7B">
        <w:rPr>
          <w:rFonts w:cs="Arial"/>
        </w:rPr>
        <w:t>A</w:t>
      </w:r>
      <w:r w:rsidR="007B2CD4" w:rsidRPr="00B33A7B">
        <w:rPr>
          <w:rFonts w:cs="Arial"/>
        </w:rPr>
        <w:t xml:space="preserve">ward, </w:t>
      </w:r>
      <w:r w:rsidR="00C6067C" w:rsidRPr="00B33A7B">
        <w:rPr>
          <w:rFonts w:cs="Arial"/>
        </w:rPr>
        <w:t>shall</w:t>
      </w:r>
      <w:r w:rsidR="00520C79" w:rsidRPr="00B33A7B">
        <w:rPr>
          <w:rFonts w:cs="Arial"/>
        </w:rPr>
        <w:t xml:space="preserve"> </w:t>
      </w:r>
      <w:r w:rsidRPr="00B33A7B">
        <w:rPr>
          <w:rFonts w:cs="Arial"/>
        </w:rPr>
        <w:t xml:space="preserve">be </w:t>
      </w:r>
      <w:r w:rsidR="00520C79" w:rsidRPr="00B33A7B">
        <w:rPr>
          <w:rFonts w:cs="Arial"/>
        </w:rPr>
        <w:t xml:space="preserve">recaptured, </w:t>
      </w:r>
      <w:r w:rsidR="007B2CD4" w:rsidRPr="00B33A7B">
        <w:rPr>
          <w:rFonts w:cs="Arial"/>
        </w:rPr>
        <w:t xml:space="preserve">as </w:t>
      </w:r>
      <w:r w:rsidR="007D66D0" w:rsidRPr="00B33A7B">
        <w:rPr>
          <w:rFonts w:cs="Arial"/>
        </w:rPr>
        <w:t xml:space="preserve">required by </w:t>
      </w:r>
      <w:r w:rsidR="00A85E00" w:rsidRPr="00B33A7B">
        <w:rPr>
          <w:rFonts w:cs="Arial"/>
        </w:rPr>
        <w:t>HSC</w:t>
      </w:r>
      <w:r w:rsidR="007D66D0" w:rsidRPr="00B33A7B">
        <w:rPr>
          <w:rFonts w:cs="Arial"/>
        </w:rPr>
        <w:t xml:space="preserve"> Section 535</w:t>
      </w:r>
      <w:r w:rsidR="007C4763" w:rsidRPr="00B33A7B">
        <w:rPr>
          <w:rFonts w:cs="Arial"/>
        </w:rPr>
        <w:t>59</w:t>
      </w:r>
      <w:r w:rsidR="007D66D0" w:rsidRPr="00B33A7B">
        <w:rPr>
          <w:rFonts w:cs="Arial"/>
        </w:rPr>
        <w:t>, subdivision (</w:t>
      </w:r>
      <w:r w:rsidR="00870558" w:rsidRPr="00B33A7B">
        <w:rPr>
          <w:rFonts w:cs="Arial"/>
        </w:rPr>
        <w:t>g</w:t>
      </w:r>
      <w:r w:rsidR="00A16233" w:rsidRPr="00B33A7B">
        <w:rPr>
          <w:rFonts w:cs="Arial"/>
        </w:rPr>
        <w:t>)</w:t>
      </w:r>
      <w:r w:rsidR="007D66D0" w:rsidRPr="00B33A7B">
        <w:rPr>
          <w:rFonts w:cs="Arial"/>
        </w:rPr>
        <w:t>.</w:t>
      </w:r>
    </w:p>
    <w:p w14:paraId="44BE0C5E" w14:textId="77777777" w:rsidR="00A846C8" w:rsidRPr="00B33A7B" w:rsidRDefault="00A846C8" w:rsidP="007B2CD4">
      <w:pPr>
        <w:pStyle w:val="ListParagraph"/>
        <w:ind w:right="360"/>
        <w:rPr>
          <w:rFonts w:cs="Arial"/>
        </w:rPr>
      </w:pPr>
    </w:p>
    <w:p w14:paraId="0B52EDC2" w14:textId="32920E07" w:rsidR="00CA7DFC" w:rsidRPr="00B33A7B" w:rsidRDefault="00CA7DFC" w:rsidP="008A4F06">
      <w:pPr>
        <w:pStyle w:val="Style2"/>
        <w:outlineLvl w:val="0"/>
      </w:pPr>
      <w:bookmarkStart w:id="21" w:name="_Toc89870850"/>
      <w:bookmarkStart w:id="22" w:name="_Toc106173290"/>
      <w:r w:rsidRPr="00B33A7B">
        <w:t>A</w:t>
      </w:r>
      <w:r w:rsidR="008A4F06" w:rsidRPr="00B33A7B">
        <w:t>rticle</w:t>
      </w:r>
      <w:r w:rsidRPr="00B33A7B">
        <w:t xml:space="preserve"> 3.  </w:t>
      </w:r>
      <w:bookmarkEnd w:id="21"/>
      <w:r w:rsidR="008A4F06" w:rsidRPr="00B33A7B">
        <w:t>General Requirements</w:t>
      </w:r>
      <w:r w:rsidR="00D61258" w:rsidRPr="00B33A7B">
        <w:t>.</w:t>
      </w:r>
      <w:bookmarkEnd w:id="22"/>
    </w:p>
    <w:p w14:paraId="0777DF7B" w14:textId="77777777" w:rsidR="00CA7DFC" w:rsidRPr="00B33A7B" w:rsidRDefault="00CA7DFC" w:rsidP="00CA7DFC">
      <w:pPr>
        <w:pStyle w:val="Style2"/>
        <w:rPr>
          <w:color w:val="auto"/>
        </w:rPr>
      </w:pPr>
    </w:p>
    <w:p w14:paraId="1CC52769" w14:textId="1E9C8184" w:rsidR="00CA7DFC" w:rsidRPr="00B33A7B" w:rsidRDefault="00CA7DFC" w:rsidP="008A4F06">
      <w:pPr>
        <w:pStyle w:val="Style2"/>
        <w:outlineLvl w:val="1"/>
        <w:rPr>
          <w:color w:val="auto"/>
        </w:rPr>
      </w:pPr>
      <w:bookmarkStart w:id="23" w:name="_Toc89870851"/>
      <w:bookmarkStart w:id="24" w:name="_Toc106173291"/>
      <w:r w:rsidRPr="00B33A7B">
        <w:rPr>
          <w:color w:val="auto"/>
        </w:rPr>
        <w:t>Section 300.  State and Federal Laws, Rules, Guidelines and Regulations.</w:t>
      </w:r>
      <w:bookmarkEnd w:id="23"/>
      <w:bookmarkEnd w:id="24"/>
    </w:p>
    <w:p w14:paraId="5285A3B0" w14:textId="77777777" w:rsidR="00CA7DFC" w:rsidRPr="00B33A7B" w:rsidRDefault="00CA7DFC" w:rsidP="00CA7DFC">
      <w:pPr>
        <w:pStyle w:val="BodyText"/>
        <w:spacing w:after="0"/>
        <w:ind w:left="810" w:hanging="720"/>
        <w:rPr>
          <w:rFonts w:cs="Arial"/>
          <w:b/>
          <w:color w:val="FF0000"/>
        </w:rPr>
      </w:pPr>
    </w:p>
    <w:p w14:paraId="6BE567C8" w14:textId="0FA19DAA" w:rsidR="00CA7DFC" w:rsidRPr="00D70C50" w:rsidRDefault="00CA7DFC" w:rsidP="00CA7DFC">
      <w:pPr>
        <w:pStyle w:val="BodyText"/>
        <w:spacing w:after="0"/>
        <w:rPr>
          <w:rFonts w:cs="Arial"/>
          <w:color w:val="C00000"/>
        </w:rPr>
      </w:pPr>
      <w:r w:rsidRPr="00D70C50">
        <w:rPr>
          <w:rFonts w:cs="Arial"/>
          <w:color w:val="C00000"/>
        </w:rPr>
        <w:t>The</w:t>
      </w:r>
      <w:r w:rsidRPr="00B33A7B">
        <w:rPr>
          <w:rFonts w:cs="Arial"/>
          <w:color w:val="FF0000"/>
        </w:rPr>
        <w:t xml:space="preserve"> </w:t>
      </w:r>
      <w:r w:rsidR="00B90EBE" w:rsidRPr="00B33A7B">
        <w:rPr>
          <w:rFonts w:cs="Arial"/>
        </w:rPr>
        <w:t>Recipient/</w:t>
      </w:r>
      <w:r w:rsidR="00B90EBE" w:rsidRPr="00D70C50">
        <w:rPr>
          <w:rFonts w:cs="Arial"/>
          <w:color w:val="C00000"/>
        </w:rPr>
        <w:t>Sponsor agrees to comply with all applicable state and federal laws, rules, guidelines and</w:t>
      </w:r>
      <w:r w:rsidR="00B90EBE" w:rsidRPr="00D70C50">
        <w:rPr>
          <w:rFonts w:cs="Arial"/>
          <w:color w:val="C00000"/>
          <w:spacing w:val="1"/>
        </w:rPr>
        <w:t xml:space="preserve"> </w:t>
      </w:r>
      <w:r w:rsidR="00B90EBE" w:rsidRPr="00D70C50">
        <w:rPr>
          <w:rFonts w:cs="Arial"/>
          <w:color w:val="C00000"/>
        </w:rPr>
        <w:t xml:space="preserve">regulations that pertain to construction, health and safety, labor, fair employment practices, equal opportunity applicable to the project, and all other matters applicable to the </w:t>
      </w:r>
      <w:r w:rsidR="00B90EBE" w:rsidRPr="00B33A7B">
        <w:t>Capital Improvement Projects</w:t>
      </w:r>
      <w:r w:rsidR="00475A56" w:rsidRPr="00B33A7B">
        <w:t xml:space="preserve">, </w:t>
      </w:r>
      <w:r w:rsidR="00B90EBE" w:rsidRPr="00B33A7B">
        <w:t>Qualifying Infill Project</w:t>
      </w:r>
      <w:r w:rsidR="00B90EBE" w:rsidRPr="00B33A7B">
        <w:rPr>
          <w:rFonts w:cs="Arial"/>
        </w:rPr>
        <w:t xml:space="preserve">, </w:t>
      </w:r>
      <w:r w:rsidR="00B12716" w:rsidRPr="00B33A7B">
        <w:rPr>
          <w:rFonts w:cs="Arial"/>
        </w:rPr>
        <w:t>or</w:t>
      </w:r>
      <w:r w:rsidR="00475A56" w:rsidRPr="00B33A7B">
        <w:rPr>
          <w:rFonts w:cs="Arial"/>
        </w:rPr>
        <w:t xml:space="preserve"> Qualifying Infill Area, </w:t>
      </w:r>
      <w:r w:rsidR="00B90EBE" w:rsidRPr="00B33A7B">
        <w:rPr>
          <w:rFonts w:cs="Arial"/>
        </w:rPr>
        <w:t>the Recipient/</w:t>
      </w:r>
      <w:r w:rsidR="00B90EBE" w:rsidRPr="00D70C50">
        <w:rPr>
          <w:rFonts w:cs="Arial"/>
          <w:color w:val="C00000"/>
        </w:rPr>
        <w:t>Sponsor, its contractors or</w:t>
      </w:r>
      <w:r w:rsidR="00B90EBE" w:rsidRPr="00D70C50">
        <w:rPr>
          <w:rFonts w:cs="Arial"/>
          <w:color w:val="C00000"/>
          <w:spacing w:val="1"/>
        </w:rPr>
        <w:t xml:space="preserve"> </w:t>
      </w:r>
      <w:r w:rsidR="00B90EBE" w:rsidRPr="00D70C50">
        <w:rPr>
          <w:rFonts w:cs="Arial"/>
          <w:color w:val="C00000"/>
        </w:rPr>
        <w:t>subcontractors,</w:t>
      </w:r>
      <w:r w:rsidR="00B90EBE" w:rsidRPr="00D70C50">
        <w:rPr>
          <w:rFonts w:cs="Arial"/>
          <w:color w:val="C00000"/>
          <w:spacing w:val="-3"/>
        </w:rPr>
        <w:t xml:space="preserve"> </w:t>
      </w:r>
      <w:r w:rsidR="00B90EBE" w:rsidRPr="00D70C50">
        <w:rPr>
          <w:rFonts w:cs="Arial"/>
          <w:color w:val="C00000"/>
        </w:rPr>
        <w:t>and</w:t>
      </w:r>
      <w:r w:rsidR="00B90EBE" w:rsidRPr="00D70C50">
        <w:rPr>
          <w:rFonts w:cs="Arial"/>
          <w:color w:val="C00000"/>
          <w:spacing w:val="1"/>
        </w:rPr>
        <w:t xml:space="preserve"> </w:t>
      </w:r>
      <w:r w:rsidR="00B90EBE" w:rsidRPr="00D70C50">
        <w:rPr>
          <w:rFonts w:cs="Arial"/>
          <w:color w:val="C00000"/>
        </w:rPr>
        <w:t xml:space="preserve">any </w:t>
      </w:r>
      <w:r w:rsidR="00B90EBE" w:rsidRPr="00B33A7B">
        <w:rPr>
          <w:rFonts w:cs="Arial"/>
        </w:rPr>
        <w:t>grant</w:t>
      </w:r>
      <w:r w:rsidR="00B90EBE" w:rsidRPr="00B33A7B">
        <w:rPr>
          <w:rFonts w:cs="Arial"/>
          <w:color w:val="FF0000"/>
          <w:spacing w:val="1"/>
        </w:rPr>
        <w:t xml:space="preserve"> </w:t>
      </w:r>
      <w:r w:rsidR="00B90EBE" w:rsidRPr="00D70C50">
        <w:rPr>
          <w:rFonts w:cs="Arial"/>
          <w:color w:val="C00000"/>
        </w:rPr>
        <w:t>activity, including without limitation the following:</w:t>
      </w:r>
    </w:p>
    <w:p w14:paraId="462A3915" w14:textId="77777777" w:rsidR="00F05C29" w:rsidRPr="00D70C50" w:rsidRDefault="00F05C29" w:rsidP="00CA7DFC">
      <w:pPr>
        <w:pStyle w:val="BodyText"/>
        <w:spacing w:after="0"/>
        <w:rPr>
          <w:rFonts w:cs="Arial"/>
          <w:color w:val="C00000"/>
        </w:rPr>
      </w:pPr>
    </w:p>
    <w:p w14:paraId="47B46164" w14:textId="22D803B6" w:rsidR="00CA7DFC" w:rsidRPr="00D70C50" w:rsidRDefault="001E27AE" w:rsidP="00993D09">
      <w:pPr>
        <w:pStyle w:val="ListParagraph"/>
        <w:widowControl w:val="0"/>
        <w:numPr>
          <w:ilvl w:val="0"/>
          <w:numId w:val="37"/>
        </w:numPr>
        <w:tabs>
          <w:tab w:val="left" w:pos="911"/>
          <w:tab w:val="left" w:pos="912"/>
        </w:tabs>
        <w:autoSpaceDE w:val="0"/>
        <w:autoSpaceDN w:val="0"/>
        <w:ind w:left="720" w:hanging="720"/>
        <w:rPr>
          <w:rFonts w:cs="Arial"/>
          <w:color w:val="C00000"/>
        </w:rPr>
      </w:pPr>
      <w:r w:rsidRPr="00D70C50">
        <w:rPr>
          <w:rFonts w:cs="Arial"/>
          <w:color w:val="C00000"/>
        </w:rPr>
        <w:t xml:space="preserve">Nondiscrimination and </w:t>
      </w:r>
      <w:r w:rsidR="00CA7DFC" w:rsidRPr="00D70C50">
        <w:rPr>
          <w:rFonts w:cs="Arial"/>
          <w:color w:val="C00000"/>
        </w:rPr>
        <w:t>Fair</w:t>
      </w:r>
      <w:r w:rsidR="00CA7DFC" w:rsidRPr="00D70C50">
        <w:rPr>
          <w:rFonts w:cs="Arial"/>
          <w:color w:val="C00000"/>
          <w:spacing w:val="-3"/>
        </w:rPr>
        <w:t xml:space="preserve"> </w:t>
      </w:r>
      <w:r w:rsidR="00CA7DFC" w:rsidRPr="00D70C50">
        <w:rPr>
          <w:rFonts w:cs="Arial"/>
          <w:color w:val="C00000"/>
        </w:rPr>
        <w:t>Housing</w:t>
      </w:r>
      <w:r w:rsidR="00CA7DFC" w:rsidRPr="00D70C50">
        <w:rPr>
          <w:rFonts w:cs="Arial"/>
          <w:color w:val="C00000"/>
          <w:spacing w:val="-3"/>
        </w:rPr>
        <w:t xml:space="preserve"> </w:t>
      </w:r>
      <w:r w:rsidRPr="00D70C50">
        <w:rPr>
          <w:rFonts w:cs="Arial"/>
          <w:color w:val="C00000"/>
        </w:rPr>
        <w:t>Requirements</w:t>
      </w:r>
    </w:p>
    <w:p w14:paraId="6E090EE5" w14:textId="77777777" w:rsidR="00CA7DFC" w:rsidRPr="00B33A7B" w:rsidRDefault="00CA7DFC" w:rsidP="00CA7DFC">
      <w:pPr>
        <w:pStyle w:val="BodyText"/>
        <w:spacing w:after="0"/>
        <w:ind w:left="810" w:hanging="720"/>
        <w:rPr>
          <w:rFonts w:cs="Arial"/>
          <w:color w:val="FF0000"/>
        </w:rPr>
      </w:pPr>
    </w:p>
    <w:p w14:paraId="09A4EE87" w14:textId="1095C5C9" w:rsidR="00A9500C" w:rsidRPr="00B33A7B" w:rsidRDefault="00C66EF7" w:rsidP="005C5CA4">
      <w:pPr>
        <w:pStyle w:val="BodyText"/>
        <w:ind w:left="720" w:right="-3"/>
        <w:rPr>
          <w:color w:val="FF0000"/>
        </w:rPr>
      </w:pPr>
      <w:r w:rsidRPr="00B33A7B">
        <w:t>Recipient</w:t>
      </w:r>
      <w:r w:rsidR="00AA3DF0" w:rsidRPr="00B33A7B">
        <w:t>s/</w:t>
      </w:r>
      <w:r w:rsidR="00A9500C" w:rsidRPr="00B62106">
        <w:rPr>
          <w:color w:val="C00000"/>
        </w:rPr>
        <w:t xml:space="preserve">Sponsors </w:t>
      </w:r>
      <w:r w:rsidR="004D1855" w:rsidRPr="00B62106">
        <w:rPr>
          <w:color w:val="C00000"/>
        </w:rPr>
        <w:t xml:space="preserve">shall adopt a written non-discrimination policy requiring that no person shall, on the grounds of race, color, religion, sex, gender, gender identity, gender expression, sexual orientation, marital status, national origin, ancestry, familial status, source of income, Disability, age, medical condition, genetic information, citizenship, primary language, immigration status (except where explicitly prohibited by federal law), arbitrary characteristics, and all other classes of individuals protected from discrimination under federal or state fair housing laws, individuals perceived to be a member of any of the preceding classes, or any individual or person associated with any of the preceding classes be excluded from participation in, be denied the benefits of, or be subjected to discrimination under, any program or activity funded in whole or in part with Program funds. </w:t>
      </w:r>
      <w:r w:rsidR="004D1855" w:rsidRPr="00B33A7B">
        <w:t>Recipients/</w:t>
      </w:r>
      <w:r w:rsidR="004D1855" w:rsidRPr="00B62106">
        <w:rPr>
          <w:color w:val="C00000"/>
        </w:rPr>
        <w:t xml:space="preserve">Sponsors shall adopt written policies for providing reasonable accommodations, reasonable modifications, and auxiliary aids and services for effective communications with residents and </w:t>
      </w:r>
      <w:r w:rsidR="00067B12" w:rsidRPr="00B62106">
        <w:rPr>
          <w:color w:val="C00000"/>
        </w:rPr>
        <w:t>a</w:t>
      </w:r>
      <w:r w:rsidR="004D1855" w:rsidRPr="00B62106">
        <w:rPr>
          <w:color w:val="C00000"/>
        </w:rPr>
        <w:t>pplicants with disabilities.</w:t>
      </w:r>
    </w:p>
    <w:p w14:paraId="175F6BB7" w14:textId="06107555" w:rsidR="00A9500C" w:rsidRPr="00B62106" w:rsidRDefault="00C66EF7" w:rsidP="005C5CA4">
      <w:pPr>
        <w:pStyle w:val="BodyText"/>
        <w:spacing w:after="0"/>
        <w:ind w:left="720" w:right="-3"/>
        <w:rPr>
          <w:color w:val="C00000"/>
        </w:rPr>
      </w:pPr>
      <w:r w:rsidRPr="00B33A7B">
        <w:t>Recipients</w:t>
      </w:r>
      <w:r w:rsidR="00AA3DF0" w:rsidRPr="00B33A7B">
        <w:t>/</w:t>
      </w:r>
      <w:r w:rsidR="00A9500C" w:rsidRPr="00B62106">
        <w:rPr>
          <w:color w:val="C00000"/>
        </w:rPr>
        <w:t xml:space="preserve">Sponsors </w:t>
      </w:r>
      <w:r w:rsidR="007477BA" w:rsidRPr="00B62106">
        <w:rPr>
          <w:color w:val="C00000"/>
        </w:rPr>
        <w:t xml:space="preserve">shall comply with all applicable state and federal law, including, without limitation, the requirements of Title VI of the Civil Rights Act of 1964 (42 U.S.C. § 2000d et seq.); the Americans with Disabilities Act of 1990; the Fair Housing Act; the Fair Housing Amendments Act of 1988; the California Fair Employment and Housing Act; the Unruh Civil Rights Act; </w:t>
      </w:r>
      <w:r w:rsidR="00CA72D5" w:rsidRPr="00B62106">
        <w:rPr>
          <w:color w:val="C00000"/>
        </w:rPr>
        <w:t>G</w:t>
      </w:r>
      <w:r w:rsidR="00B35922" w:rsidRPr="00B62106">
        <w:rPr>
          <w:color w:val="C00000"/>
        </w:rPr>
        <w:t xml:space="preserve">overnment </w:t>
      </w:r>
      <w:r w:rsidR="00CA72D5" w:rsidRPr="00B62106">
        <w:rPr>
          <w:color w:val="C00000"/>
        </w:rPr>
        <w:t>C</w:t>
      </w:r>
      <w:r w:rsidR="00B35922" w:rsidRPr="00B62106">
        <w:rPr>
          <w:color w:val="C00000"/>
        </w:rPr>
        <w:t>ode</w:t>
      </w:r>
      <w:r w:rsidR="007477BA" w:rsidRPr="00B62106">
        <w:rPr>
          <w:color w:val="C00000"/>
        </w:rPr>
        <w:t xml:space="preserve"> </w:t>
      </w:r>
      <w:r w:rsidR="0003427E" w:rsidRPr="00B62106">
        <w:rPr>
          <w:color w:val="C00000"/>
        </w:rPr>
        <w:t>S</w:t>
      </w:r>
      <w:r w:rsidR="007477BA" w:rsidRPr="00B62106">
        <w:rPr>
          <w:color w:val="C00000"/>
        </w:rPr>
        <w:t xml:space="preserve">ection 11135; Section 504 of the Rehabilitation Act of 1973; and all regulations </w:t>
      </w:r>
      <w:r w:rsidR="007477BA" w:rsidRPr="00B62106">
        <w:rPr>
          <w:color w:val="C00000"/>
        </w:rPr>
        <w:lastRenderedPageBreak/>
        <w:t>promulgated pursuant to those statutes (including 24 C.F.R. § 100, 24 C.F.R. § 8, and 28 C.F.R. § 35).</w:t>
      </w:r>
    </w:p>
    <w:p w14:paraId="0482C4F2" w14:textId="77777777" w:rsidR="00CA7DFC" w:rsidRPr="00B62106" w:rsidRDefault="00CA7DFC" w:rsidP="00CA7DFC">
      <w:pPr>
        <w:pStyle w:val="BodyText"/>
        <w:spacing w:after="0"/>
        <w:ind w:left="810" w:hanging="720"/>
        <w:rPr>
          <w:rFonts w:cs="Arial"/>
          <w:color w:val="C00000"/>
        </w:rPr>
      </w:pPr>
    </w:p>
    <w:p w14:paraId="27CA37D4" w14:textId="3D4D49E0" w:rsidR="00CA7DFC" w:rsidRPr="00B62106" w:rsidRDefault="00CA7DFC" w:rsidP="005C5CA4">
      <w:pPr>
        <w:pStyle w:val="ListParagraph"/>
        <w:widowControl w:val="0"/>
        <w:numPr>
          <w:ilvl w:val="0"/>
          <w:numId w:val="37"/>
        </w:numPr>
        <w:autoSpaceDE w:val="0"/>
        <w:autoSpaceDN w:val="0"/>
        <w:ind w:left="720" w:hanging="630"/>
        <w:rPr>
          <w:rFonts w:cs="Arial"/>
          <w:color w:val="C00000"/>
        </w:rPr>
      </w:pPr>
      <w:r w:rsidRPr="00B62106">
        <w:rPr>
          <w:rFonts w:cs="Arial"/>
          <w:color w:val="C00000"/>
        </w:rPr>
        <w:t>Americans</w:t>
      </w:r>
      <w:r w:rsidRPr="00B62106">
        <w:rPr>
          <w:rFonts w:cs="Arial"/>
          <w:color w:val="C00000"/>
          <w:spacing w:val="-4"/>
        </w:rPr>
        <w:t xml:space="preserve"> </w:t>
      </w:r>
      <w:r w:rsidRPr="00B62106">
        <w:rPr>
          <w:rFonts w:cs="Arial"/>
          <w:color w:val="C00000"/>
        </w:rPr>
        <w:t>with</w:t>
      </w:r>
      <w:r w:rsidRPr="00B62106">
        <w:rPr>
          <w:rFonts w:cs="Arial"/>
          <w:color w:val="C00000"/>
          <w:spacing w:val="-3"/>
        </w:rPr>
        <w:t xml:space="preserve"> </w:t>
      </w:r>
      <w:r w:rsidRPr="00B62106">
        <w:rPr>
          <w:rFonts w:cs="Arial"/>
          <w:color w:val="C00000"/>
        </w:rPr>
        <w:t>Disabilities</w:t>
      </w:r>
      <w:r w:rsidRPr="00B62106">
        <w:rPr>
          <w:rFonts w:cs="Arial"/>
          <w:color w:val="C00000"/>
          <w:spacing w:val="-4"/>
        </w:rPr>
        <w:t xml:space="preserve"> </w:t>
      </w:r>
      <w:r w:rsidRPr="00B62106">
        <w:rPr>
          <w:rFonts w:cs="Arial"/>
          <w:color w:val="C00000"/>
        </w:rPr>
        <w:t>Act</w:t>
      </w:r>
      <w:r w:rsidRPr="00B62106">
        <w:rPr>
          <w:rFonts w:cs="Arial"/>
          <w:color w:val="C00000"/>
          <w:spacing w:val="-2"/>
        </w:rPr>
        <w:t xml:space="preserve"> </w:t>
      </w:r>
      <w:r w:rsidRPr="00B62106">
        <w:rPr>
          <w:rFonts w:cs="Arial"/>
          <w:color w:val="C00000"/>
        </w:rPr>
        <w:t>and</w:t>
      </w:r>
      <w:r w:rsidR="009708AC" w:rsidRPr="00B62106">
        <w:rPr>
          <w:rFonts w:cs="Arial"/>
          <w:color w:val="C00000"/>
        </w:rPr>
        <w:t xml:space="preserve"> Physical</w:t>
      </w:r>
      <w:r w:rsidRPr="00B62106">
        <w:rPr>
          <w:rFonts w:cs="Arial"/>
          <w:color w:val="C00000"/>
          <w:spacing w:val="-5"/>
        </w:rPr>
        <w:t xml:space="preserve"> </w:t>
      </w:r>
      <w:r w:rsidRPr="00B62106">
        <w:rPr>
          <w:rFonts w:cs="Arial"/>
          <w:color w:val="C00000"/>
        </w:rPr>
        <w:t>Accessibility</w:t>
      </w:r>
      <w:r w:rsidR="009708AC" w:rsidRPr="00B62106">
        <w:rPr>
          <w:rFonts w:cs="Arial"/>
          <w:color w:val="C00000"/>
        </w:rPr>
        <w:t xml:space="preserve"> Requirements</w:t>
      </w:r>
    </w:p>
    <w:p w14:paraId="13CC9789" w14:textId="77777777" w:rsidR="00CA7DFC" w:rsidRPr="00B33A7B" w:rsidRDefault="00CA7DFC" w:rsidP="00CA7DFC">
      <w:pPr>
        <w:pStyle w:val="BodyText"/>
        <w:spacing w:after="0"/>
        <w:ind w:left="810" w:hanging="720"/>
        <w:jc w:val="both"/>
        <w:rPr>
          <w:rFonts w:cs="Arial"/>
          <w:color w:val="FF0000"/>
        </w:rPr>
      </w:pPr>
    </w:p>
    <w:p w14:paraId="33F74B52" w14:textId="5277195B" w:rsidR="004C70A4" w:rsidRPr="00B62106" w:rsidRDefault="00CA7DFC" w:rsidP="005C5CA4">
      <w:pPr>
        <w:pStyle w:val="BodyText"/>
        <w:ind w:left="720" w:right="-3"/>
        <w:rPr>
          <w:color w:val="C00000"/>
        </w:rPr>
      </w:pPr>
      <w:r w:rsidRPr="00B62106">
        <w:rPr>
          <w:color w:val="C00000"/>
        </w:rPr>
        <w:t>The</w:t>
      </w:r>
      <w:r w:rsidRPr="00B33A7B">
        <w:rPr>
          <w:color w:val="FF0000"/>
        </w:rPr>
        <w:t xml:space="preserve"> </w:t>
      </w:r>
      <w:r w:rsidR="004C70A4" w:rsidRPr="00B33A7B">
        <w:t>Recipient/</w:t>
      </w:r>
      <w:r w:rsidR="004C70A4" w:rsidRPr="00B62106">
        <w:rPr>
          <w:color w:val="C00000"/>
        </w:rPr>
        <w:t xml:space="preserve">Sponsor shall ensure compliance with all applicable state and federal building codes and accessibility laws and standards. All developments shall adhere to the accessibility requirements set forth in: (i) California Building Code Chapters 11A and 11B; (ii) the federal Fair Housing Act (42 U.S.C. § 3601 et seq.) and its regulations at 24 Code of Federal Regulations part 100 (particularly 24 C.F.R. § 100.205), and its design and construction requirements, including: ANSI A117.1-1986, and the Fair Housing Accessibility Guidelines, March 6, 1991, in conjunction with the Supplement to Notice of Fair Housing Accessibility Guidelines: Questions and Answers About the Guidelines, June 28, 1994;  and (iii) the Americans with Disabilities Act of 1990 (42 U.S.C. §12101 et seq.) and its Title II and Title III regulations at 28 Code of Federal Regulations parts 35 and 36; and Section 504 of the Rehabilitation Act of 1973 (29 U.S.C. § 794) and the implementing HUD regulations at 24 Code of Federal Regulations Part 8. In addition, developments shall adhere to either the Uniform Federal Accessibility Standards (UFAS) (24 C.F.R. § 8.32), or HUD's Alternative Accessibility Standard. In addition, the </w:t>
      </w:r>
      <w:r w:rsidR="004C70A4" w:rsidRPr="00B33A7B">
        <w:t>Recipient/</w:t>
      </w:r>
      <w:r w:rsidR="004C70A4" w:rsidRPr="00B62106">
        <w:rPr>
          <w:color w:val="C00000"/>
        </w:rPr>
        <w:t xml:space="preserve">Sponsor shall ensure that the </w:t>
      </w:r>
      <w:r w:rsidR="00EB5FDD" w:rsidRPr="00B62106">
        <w:rPr>
          <w:color w:val="C00000"/>
        </w:rPr>
        <w:t>p</w:t>
      </w:r>
      <w:r w:rsidR="004C70A4" w:rsidRPr="00B62106">
        <w:rPr>
          <w:color w:val="C00000"/>
        </w:rPr>
        <w:t>roject meets the following requirements:</w:t>
      </w:r>
    </w:p>
    <w:p w14:paraId="25EE3637" w14:textId="77777777" w:rsidR="00CA7DFC" w:rsidRPr="00B62106" w:rsidRDefault="00CA7DFC" w:rsidP="00CA7DFC">
      <w:pPr>
        <w:pStyle w:val="BodyText"/>
        <w:spacing w:after="0"/>
        <w:ind w:left="720"/>
        <w:jc w:val="both"/>
        <w:rPr>
          <w:rFonts w:cs="Arial"/>
          <w:color w:val="C00000"/>
        </w:rPr>
      </w:pPr>
    </w:p>
    <w:p w14:paraId="3EA29E98" w14:textId="13E704B0" w:rsidR="00CA7DFC" w:rsidRPr="00B62106" w:rsidRDefault="00CA7DFC" w:rsidP="00993D09">
      <w:pPr>
        <w:pStyle w:val="ListParagraph"/>
        <w:widowControl w:val="0"/>
        <w:numPr>
          <w:ilvl w:val="1"/>
          <w:numId w:val="37"/>
        </w:numPr>
        <w:autoSpaceDE w:val="0"/>
        <w:autoSpaceDN w:val="0"/>
        <w:ind w:left="1440" w:hanging="720"/>
        <w:rPr>
          <w:rFonts w:cs="Arial"/>
          <w:color w:val="C00000"/>
        </w:rPr>
      </w:pPr>
      <w:r w:rsidRPr="00B62106">
        <w:rPr>
          <w:rFonts w:cs="Arial"/>
          <w:color w:val="C00000"/>
        </w:rPr>
        <w:t xml:space="preserve">New </w:t>
      </w:r>
      <w:r w:rsidR="00716032" w:rsidRPr="00B62106">
        <w:rPr>
          <w:rFonts w:cs="Arial"/>
          <w:color w:val="C00000"/>
        </w:rPr>
        <w:t>c</w:t>
      </w:r>
      <w:r w:rsidRPr="00B62106">
        <w:rPr>
          <w:rFonts w:cs="Arial"/>
          <w:color w:val="C00000"/>
        </w:rPr>
        <w:t xml:space="preserve">onstruction projects: </w:t>
      </w:r>
      <w:r w:rsidR="009973B3" w:rsidRPr="00B62106">
        <w:rPr>
          <w:color w:val="C00000"/>
        </w:rPr>
        <w:t>All new construction projects must provide a minimum of fifteen percent (15%) of the Restricted Units with mobility features, and a minimum of ten percent (10%) of the Restricted Units with hearing and vision features.</w:t>
      </w:r>
    </w:p>
    <w:p w14:paraId="7FAAF30C" w14:textId="77777777" w:rsidR="00CA7DFC" w:rsidRPr="00B62106" w:rsidRDefault="00CA7DFC" w:rsidP="00CA7DFC">
      <w:pPr>
        <w:pStyle w:val="ListParagraph"/>
        <w:widowControl w:val="0"/>
        <w:autoSpaceDE w:val="0"/>
        <w:autoSpaceDN w:val="0"/>
        <w:ind w:left="1440"/>
        <w:rPr>
          <w:rFonts w:cs="Arial"/>
          <w:color w:val="C00000"/>
        </w:rPr>
      </w:pPr>
    </w:p>
    <w:p w14:paraId="7AAC7418" w14:textId="18F3BEF4" w:rsidR="00A06934" w:rsidRPr="00B62106" w:rsidRDefault="0074334E" w:rsidP="00993D09">
      <w:pPr>
        <w:pStyle w:val="ListParagraph"/>
        <w:widowControl w:val="0"/>
        <w:numPr>
          <w:ilvl w:val="1"/>
          <w:numId w:val="37"/>
        </w:numPr>
        <w:autoSpaceDE w:val="0"/>
        <w:autoSpaceDN w:val="0"/>
        <w:ind w:left="1440" w:hanging="720"/>
        <w:rPr>
          <w:color w:val="C00000"/>
        </w:rPr>
      </w:pPr>
      <w:r w:rsidRPr="00B62106">
        <w:rPr>
          <w:color w:val="C00000"/>
        </w:rPr>
        <w:t xml:space="preserve">Rehabilitation </w:t>
      </w:r>
      <w:r w:rsidR="00EB5FDD" w:rsidRPr="00B62106">
        <w:rPr>
          <w:color w:val="C00000"/>
        </w:rPr>
        <w:t>p</w:t>
      </w:r>
      <w:r w:rsidRPr="00B62106">
        <w:rPr>
          <w:color w:val="C00000"/>
        </w:rPr>
        <w:t xml:space="preserve">roject: </w:t>
      </w:r>
      <w:r w:rsidR="00A06934" w:rsidRPr="00B62106">
        <w:rPr>
          <w:color w:val="C00000"/>
        </w:rPr>
        <w:t xml:space="preserve">All Rehabilitation </w:t>
      </w:r>
      <w:r w:rsidR="00EB5FDD" w:rsidRPr="00B62106">
        <w:rPr>
          <w:color w:val="C00000"/>
        </w:rPr>
        <w:t>p</w:t>
      </w:r>
      <w:r w:rsidR="00A06934" w:rsidRPr="00B62106">
        <w:rPr>
          <w:color w:val="C00000"/>
        </w:rPr>
        <w:t xml:space="preserve">rojects must provide a minimum of ten percent (10%) of the Restricted Units with mobility features, and a minimum of four percent (4%) of the Restricted Units with hearing and vision features. At least one of each common area facility type and amenity, as well as paths of travel between Accessible Housing Units and such facilities and amenities, the building entry and public right of way, and the leasing office or area shall also be made accessible utilizing CBC Chapter 11(B) as a design standard. In all other respects, applicable building code will apply. The Director may approve a partial or full exemption to the requirements for the number of Accessible Housing Units in excess of those required by the ADA, Section 504, or </w:t>
      </w:r>
      <w:r w:rsidR="00DE3315" w:rsidRPr="00B62106">
        <w:rPr>
          <w:color w:val="C00000"/>
        </w:rPr>
        <w:t>California Building Code (</w:t>
      </w:r>
      <w:r w:rsidR="00A06934" w:rsidRPr="00B62106">
        <w:rPr>
          <w:color w:val="C00000"/>
        </w:rPr>
        <w:t>CBC</w:t>
      </w:r>
      <w:r w:rsidR="00DE3315" w:rsidRPr="00B62106">
        <w:rPr>
          <w:color w:val="C00000"/>
        </w:rPr>
        <w:t>)</w:t>
      </w:r>
      <w:r w:rsidR="00A06934" w:rsidRPr="00B62106">
        <w:rPr>
          <w:color w:val="C00000"/>
        </w:rPr>
        <w:t xml:space="preserve"> Chapter 11B provided:</w:t>
      </w:r>
    </w:p>
    <w:p w14:paraId="707DC5B9" w14:textId="77777777" w:rsidR="00A06934" w:rsidRPr="00B62106" w:rsidRDefault="00A06934" w:rsidP="00A06934">
      <w:pPr>
        <w:widowControl w:val="0"/>
        <w:autoSpaceDE w:val="0"/>
        <w:autoSpaceDN w:val="0"/>
        <w:rPr>
          <w:color w:val="C00000"/>
        </w:rPr>
      </w:pPr>
    </w:p>
    <w:p w14:paraId="44EEC756" w14:textId="7E20791E" w:rsidR="00A06934" w:rsidRPr="00B62106" w:rsidRDefault="00A06934" w:rsidP="00993D09">
      <w:pPr>
        <w:pStyle w:val="ListParagraph"/>
        <w:numPr>
          <w:ilvl w:val="0"/>
          <w:numId w:val="71"/>
        </w:numPr>
        <w:ind w:left="2160" w:right="90" w:hanging="720"/>
        <w:rPr>
          <w:color w:val="C00000"/>
        </w:rPr>
      </w:pPr>
      <w:r w:rsidRPr="00B62106">
        <w:rPr>
          <w:color w:val="C00000"/>
        </w:rPr>
        <w:t>The exemption does not pertain to any accessibility features required by applicable building codes, the CBC Chapter 11B, or federal law, including the required minimum 5</w:t>
      </w:r>
      <w:r w:rsidR="00BE5B17" w:rsidRPr="00B62106">
        <w:rPr>
          <w:color w:val="C00000"/>
        </w:rPr>
        <w:t xml:space="preserve"> percent </w:t>
      </w:r>
      <w:r w:rsidRPr="00B62106">
        <w:rPr>
          <w:color w:val="C00000"/>
        </w:rPr>
        <w:t>Units with mobility features and 2</w:t>
      </w:r>
      <w:r w:rsidR="00BE5B17" w:rsidRPr="00B62106">
        <w:rPr>
          <w:color w:val="C00000"/>
        </w:rPr>
        <w:t xml:space="preserve"> percent </w:t>
      </w:r>
      <w:r w:rsidRPr="00B62106">
        <w:rPr>
          <w:color w:val="C00000"/>
        </w:rPr>
        <w:t xml:space="preserve">Units with hearing and vision features. These CBC Chapter 11B and federal law minimums are calculated on all Units in the project, not just Restricted Units, and </w:t>
      </w:r>
    </w:p>
    <w:p w14:paraId="17620995" w14:textId="77777777" w:rsidR="00A06934" w:rsidRPr="00B62106" w:rsidRDefault="00A06934" w:rsidP="00A06934">
      <w:pPr>
        <w:pStyle w:val="ListParagraph"/>
        <w:ind w:left="2160" w:right="90"/>
        <w:rPr>
          <w:color w:val="C00000"/>
        </w:rPr>
      </w:pPr>
    </w:p>
    <w:p w14:paraId="27165CB7" w14:textId="1A36613E" w:rsidR="00A06934" w:rsidRPr="00B62106" w:rsidRDefault="00A06934" w:rsidP="00993D09">
      <w:pPr>
        <w:pStyle w:val="ListParagraph"/>
        <w:numPr>
          <w:ilvl w:val="0"/>
          <w:numId w:val="71"/>
        </w:numPr>
        <w:ind w:left="2160" w:right="90" w:hanging="720"/>
        <w:rPr>
          <w:color w:val="C00000"/>
        </w:rPr>
      </w:pPr>
      <w:r w:rsidRPr="00B62106">
        <w:rPr>
          <w:color w:val="C00000"/>
        </w:rPr>
        <w:lastRenderedPageBreak/>
        <w:t>The</w:t>
      </w:r>
      <w:r w:rsidRPr="00B33A7B">
        <w:rPr>
          <w:color w:val="FF0000"/>
        </w:rPr>
        <w:t xml:space="preserve"> </w:t>
      </w:r>
      <w:r w:rsidRPr="00B33A7B">
        <w:t>Recipient/</w:t>
      </w:r>
      <w:r w:rsidRPr="00B62106">
        <w:rPr>
          <w:color w:val="C00000"/>
        </w:rPr>
        <w:t xml:space="preserve">Sponsor and </w:t>
      </w:r>
      <w:r w:rsidR="00EB5FDD" w:rsidRPr="00B62106">
        <w:rPr>
          <w:color w:val="C00000"/>
        </w:rPr>
        <w:t>p</w:t>
      </w:r>
      <w:r w:rsidRPr="00B62106">
        <w:rPr>
          <w:color w:val="C00000"/>
        </w:rPr>
        <w:t>roject’s architect demonstrate that full compliance with requirements that exceed those otherwise required by building codes or state or federal law would be infeasible or create an undue financial and administrative burden. Accessibility must be provided to the maximum extent feasible.</w:t>
      </w:r>
    </w:p>
    <w:p w14:paraId="1175AF81" w14:textId="77777777" w:rsidR="00A06934" w:rsidRPr="00B62106" w:rsidRDefault="00A06934" w:rsidP="00A06934">
      <w:pPr>
        <w:pStyle w:val="ListParagraph"/>
        <w:widowControl w:val="0"/>
        <w:autoSpaceDE w:val="0"/>
        <w:autoSpaceDN w:val="0"/>
        <w:ind w:left="1260"/>
        <w:rPr>
          <w:rFonts w:cs="Arial"/>
          <w:color w:val="C00000"/>
        </w:rPr>
      </w:pPr>
    </w:p>
    <w:p w14:paraId="5C3B1EA6" w14:textId="0AB001F7" w:rsidR="00CA7DFC" w:rsidRPr="00B62106" w:rsidRDefault="00384021" w:rsidP="00993D09">
      <w:pPr>
        <w:pStyle w:val="ListParagraph"/>
        <w:widowControl w:val="0"/>
        <w:numPr>
          <w:ilvl w:val="1"/>
          <w:numId w:val="37"/>
        </w:numPr>
        <w:autoSpaceDE w:val="0"/>
        <w:autoSpaceDN w:val="0"/>
        <w:ind w:left="1440" w:hanging="720"/>
        <w:rPr>
          <w:rFonts w:cs="Arial"/>
          <w:color w:val="C00000"/>
        </w:rPr>
      </w:pPr>
      <w:r w:rsidRPr="00B62106">
        <w:rPr>
          <w:rFonts w:cs="Arial"/>
          <w:color w:val="C00000"/>
        </w:rPr>
        <w:t xml:space="preserve">Senior </w:t>
      </w:r>
      <w:r w:rsidR="00EB5FDD" w:rsidRPr="00B62106">
        <w:rPr>
          <w:color w:val="C00000"/>
        </w:rPr>
        <w:t>p</w:t>
      </w:r>
      <w:r w:rsidRPr="00B62106">
        <w:rPr>
          <w:color w:val="C00000"/>
        </w:rPr>
        <w:t xml:space="preserve">rojects: </w:t>
      </w:r>
      <w:r w:rsidR="006348F2" w:rsidRPr="00B62106">
        <w:rPr>
          <w:color w:val="C00000"/>
        </w:rPr>
        <w:t xml:space="preserve">Senior new construction projects must provide a minimum of fifty percent (50%) of all Restricted Units with mobility features. Senior Rehabilitation </w:t>
      </w:r>
      <w:r w:rsidR="00067977" w:rsidRPr="00B62106">
        <w:rPr>
          <w:color w:val="C00000"/>
        </w:rPr>
        <w:t>p</w:t>
      </w:r>
      <w:r w:rsidR="006348F2" w:rsidRPr="00B62106">
        <w:rPr>
          <w:color w:val="C00000"/>
        </w:rPr>
        <w:t xml:space="preserve">rojects must provide a minimum of twenty-five percent (25%) of all Restricted Units. The Department’s Director may approve a waiver for a Senior Rehabilitation </w:t>
      </w:r>
      <w:r w:rsidR="00067977" w:rsidRPr="00B62106">
        <w:rPr>
          <w:color w:val="C00000"/>
        </w:rPr>
        <w:t>p</w:t>
      </w:r>
      <w:r w:rsidR="006348F2" w:rsidRPr="00B62106">
        <w:rPr>
          <w:color w:val="C00000"/>
        </w:rPr>
        <w:t>roject pursuant to the provisions stated in the previous paragraph.</w:t>
      </w:r>
    </w:p>
    <w:p w14:paraId="630DFCD9" w14:textId="77777777" w:rsidR="003340A4" w:rsidRPr="00B62106" w:rsidRDefault="003340A4" w:rsidP="003340A4">
      <w:pPr>
        <w:pStyle w:val="ListParagraph"/>
        <w:rPr>
          <w:rFonts w:cs="Arial"/>
          <w:color w:val="C00000"/>
        </w:rPr>
      </w:pPr>
    </w:p>
    <w:p w14:paraId="0C2346F2" w14:textId="77777777" w:rsidR="00125FB9" w:rsidRPr="00B62106" w:rsidRDefault="00125FB9" w:rsidP="004758E8">
      <w:pPr>
        <w:pStyle w:val="ListParagraph"/>
        <w:widowControl w:val="0"/>
        <w:numPr>
          <w:ilvl w:val="1"/>
          <w:numId w:val="37"/>
        </w:numPr>
        <w:autoSpaceDE w:val="0"/>
        <w:autoSpaceDN w:val="0"/>
        <w:ind w:left="1440" w:hanging="720"/>
        <w:rPr>
          <w:color w:val="C00000"/>
        </w:rPr>
      </w:pPr>
      <w:r w:rsidRPr="00B62106">
        <w:rPr>
          <w:color w:val="C00000"/>
        </w:rPr>
        <w:t xml:space="preserve">All projects with elevators must comply with CBC Chapter 11(B) accessibility requirements for elevators. </w:t>
      </w:r>
    </w:p>
    <w:p w14:paraId="498EDE4D" w14:textId="77777777" w:rsidR="004758E8" w:rsidRPr="00B62106" w:rsidRDefault="004758E8" w:rsidP="004758E8">
      <w:pPr>
        <w:widowControl w:val="0"/>
        <w:autoSpaceDE w:val="0"/>
        <w:autoSpaceDN w:val="0"/>
        <w:rPr>
          <w:color w:val="C00000"/>
        </w:rPr>
      </w:pPr>
    </w:p>
    <w:p w14:paraId="359E51CB" w14:textId="735E2E5A" w:rsidR="00E117E1" w:rsidRPr="00B62106" w:rsidRDefault="00E117E1" w:rsidP="004758E8">
      <w:pPr>
        <w:pStyle w:val="ListParagraph"/>
        <w:widowControl w:val="0"/>
        <w:numPr>
          <w:ilvl w:val="1"/>
          <w:numId w:val="37"/>
        </w:numPr>
        <w:autoSpaceDE w:val="0"/>
        <w:autoSpaceDN w:val="0"/>
        <w:ind w:left="1440" w:hanging="720"/>
        <w:rPr>
          <w:color w:val="C00000"/>
        </w:rPr>
      </w:pPr>
      <w:r w:rsidRPr="00B62106">
        <w:rPr>
          <w:color w:val="C00000"/>
        </w:rPr>
        <w:t xml:space="preserve">All </w:t>
      </w:r>
      <w:r w:rsidR="00067977" w:rsidRPr="00B62106">
        <w:rPr>
          <w:color w:val="C00000"/>
        </w:rPr>
        <w:t>p</w:t>
      </w:r>
      <w:r w:rsidRPr="00B62106">
        <w:rPr>
          <w:color w:val="C00000"/>
        </w:rPr>
        <w:t xml:space="preserve">roject owners with adaptable dwelling Units must provide adequate and visible notice to tenants of their ability to request conversion of adaptable features in their Units to more accessible versions. </w:t>
      </w:r>
    </w:p>
    <w:p w14:paraId="77EC523A" w14:textId="77777777" w:rsidR="004758E8" w:rsidRPr="00B62106" w:rsidRDefault="004758E8" w:rsidP="004758E8">
      <w:pPr>
        <w:widowControl w:val="0"/>
        <w:autoSpaceDE w:val="0"/>
        <w:autoSpaceDN w:val="0"/>
        <w:rPr>
          <w:color w:val="C00000"/>
        </w:rPr>
      </w:pPr>
    </w:p>
    <w:p w14:paraId="6A414657" w14:textId="52926A53" w:rsidR="004758E8" w:rsidRPr="00B62106" w:rsidRDefault="005E697A" w:rsidP="004758E8">
      <w:pPr>
        <w:pStyle w:val="ListParagraph"/>
        <w:widowControl w:val="0"/>
        <w:numPr>
          <w:ilvl w:val="1"/>
          <w:numId w:val="37"/>
        </w:numPr>
        <w:autoSpaceDE w:val="0"/>
        <w:autoSpaceDN w:val="0"/>
        <w:ind w:left="1440" w:hanging="720"/>
        <w:rPr>
          <w:color w:val="C00000"/>
        </w:rPr>
      </w:pPr>
      <w:r w:rsidRPr="00B62106">
        <w:rPr>
          <w:color w:val="C00000"/>
        </w:rPr>
        <w:t>Percentage requirements shall be calculated based on the number of Restricted Units (as defined in UMR) in the building and rounded up to the nearest whole number. However, CBC Chapter 11B and federal laws requiring a minimum 5</w:t>
      </w:r>
      <w:r w:rsidR="00BE5B17" w:rsidRPr="00B62106">
        <w:rPr>
          <w:color w:val="C00000"/>
        </w:rPr>
        <w:t xml:space="preserve"> percent </w:t>
      </w:r>
      <w:r w:rsidRPr="00B62106">
        <w:rPr>
          <w:color w:val="C00000"/>
        </w:rPr>
        <w:t>Units with mobility features and 2</w:t>
      </w:r>
      <w:r w:rsidR="00BE5B17" w:rsidRPr="00B62106">
        <w:rPr>
          <w:color w:val="C00000"/>
        </w:rPr>
        <w:t xml:space="preserve"> percent </w:t>
      </w:r>
      <w:r w:rsidRPr="00B62106">
        <w:rPr>
          <w:color w:val="C00000"/>
        </w:rPr>
        <w:t>Units with hearing and vision features are calculated on all Units in the project, not just Restricted Units. The required number of Units shall be the higher of these two calculations.</w:t>
      </w:r>
    </w:p>
    <w:p w14:paraId="2C0CF35A" w14:textId="77777777" w:rsidR="004758E8" w:rsidRPr="00B62106" w:rsidRDefault="004758E8" w:rsidP="004758E8">
      <w:pPr>
        <w:widowControl w:val="0"/>
        <w:autoSpaceDE w:val="0"/>
        <w:autoSpaceDN w:val="0"/>
        <w:rPr>
          <w:color w:val="C00000"/>
        </w:rPr>
      </w:pPr>
    </w:p>
    <w:p w14:paraId="643CFC5D" w14:textId="77777777" w:rsidR="006210BD" w:rsidRPr="00B62106" w:rsidRDefault="006210BD" w:rsidP="004758E8">
      <w:pPr>
        <w:pStyle w:val="ListParagraph"/>
        <w:widowControl w:val="0"/>
        <w:numPr>
          <w:ilvl w:val="1"/>
          <w:numId w:val="37"/>
        </w:numPr>
        <w:autoSpaceDE w:val="0"/>
        <w:autoSpaceDN w:val="0"/>
        <w:ind w:left="1440" w:hanging="720"/>
        <w:rPr>
          <w:color w:val="C00000"/>
        </w:rPr>
      </w:pPr>
      <w:r w:rsidRPr="00B62106">
        <w:rPr>
          <w:color w:val="C00000"/>
        </w:rPr>
        <w:t xml:space="preserve">Accessible Housing Units shall, to the maximum extent feasible and subject to reasonable health and safety requirements, be distributed throughout the project and be available in a sufficient range of sizes and amenities so that an individual with disabilities’ choice of living arrangements is, as a whole, comparable to that of other persons eligible for housing assistance under the same project consistent with 24 C.F.R. Section 8.26. </w:t>
      </w:r>
    </w:p>
    <w:p w14:paraId="1D98B8E7" w14:textId="77777777" w:rsidR="004758E8" w:rsidRPr="00601F02" w:rsidRDefault="004758E8" w:rsidP="004758E8">
      <w:pPr>
        <w:widowControl w:val="0"/>
        <w:autoSpaceDE w:val="0"/>
        <w:autoSpaceDN w:val="0"/>
        <w:rPr>
          <w:color w:val="C00000"/>
        </w:rPr>
      </w:pPr>
    </w:p>
    <w:p w14:paraId="482D8C32" w14:textId="2777DAD3" w:rsidR="0021707C" w:rsidRPr="00601F02" w:rsidRDefault="0021707C" w:rsidP="004758E8">
      <w:pPr>
        <w:pStyle w:val="ListParagraph"/>
        <w:widowControl w:val="0"/>
        <w:numPr>
          <w:ilvl w:val="1"/>
          <w:numId w:val="37"/>
        </w:numPr>
        <w:autoSpaceDE w:val="0"/>
        <w:autoSpaceDN w:val="0"/>
        <w:ind w:left="1440" w:hanging="720"/>
        <w:rPr>
          <w:color w:val="C00000"/>
        </w:rPr>
      </w:pPr>
      <w:r w:rsidRPr="00601F02">
        <w:rPr>
          <w:color w:val="C00000"/>
        </w:rPr>
        <w:t xml:space="preserve">Compliance and Verification: Prior to loan closing but after construction completion, the </w:t>
      </w:r>
      <w:r w:rsidRPr="00B33A7B">
        <w:t>Recipient/</w:t>
      </w:r>
      <w:r w:rsidRPr="00601F02">
        <w:rPr>
          <w:color w:val="C00000"/>
        </w:rPr>
        <w:t xml:space="preserve">Sponsor shall provide a certification of compliance, signed by the </w:t>
      </w:r>
      <w:r w:rsidRPr="00B33A7B">
        <w:t xml:space="preserve">entity which owns the Qualifying Infill Project </w:t>
      </w:r>
      <w:r w:rsidR="00CE4A1A" w:rsidRPr="00B33A7B">
        <w:t xml:space="preserve">or Qualifying Infill </w:t>
      </w:r>
      <w:r w:rsidR="00CE4A1A" w:rsidRPr="00601F02">
        <w:rPr>
          <w:color w:val="C00000"/>
        </w:rPr>
        <w:t xml:space="preserve">Area </w:t>
      </w:r>
      <w:r w:rsidRPr="00601F02">
        <w:rPr>
          <w:color w:val="C00000"/>
        </w:rPr>
        <w:t>and the project architect as well as third party documentation confirming compliance (by a Certified Access Specialist (CAS)</w:t>
      </w:r>
      <w:r w:rsidR="003538E4" w:rsidRPr="00601F02">
        <w:rPr>
          <w:color w:val="C00000"/>
        </w:rPr>
        <w:t xml:space="preserve"> </w:t>
      </w:r>
      <w:r w:rsidRPr="00601F02">
        <w:rPr>
          <w:color w:val="C00000"/>
        </w:rPr>
        <w:t>with demonstrated experience meeting federal accessibility standards, or by an architect with demonstrated experience meeting federal accessibility standards.</w:t>
      </w:r>
    </w:p>
    <w:p w14:paraId="560A3A97" w14:textId="77777777" w:rsidR="004758E8" w:rsidRPr="00601F02" w:rsidRDefault="004758E8" w:rsidP="004758E8">
      <w:pPr>
        <w:widowControl w:val="0"/>
        <w:autoSpaceDE w:val="0"/>
        <w:autoSpaceDN w:val="0"/>
        <w:rPr>
          <w:color w:val="C00000"/>
        </w:rPr>
      </w:pPr>
    </w:p>
    <w:p w14:paraId="18E895A6" w14:textId="656974F2" w:rsidR="004524F0" w:rsidRPr="00601F02" w:rsidRDefault="004524F0" w:rsidP="004758E8">
      <w:pPr>
        <w:pStyle w:val="ListParagraph"/>
        <w:widowControl w:val="0"/>
        <w:numPr>
          <w:ilvl w:val="1"/>
          <w:numId w:val="37"/>
        </w:numPr>
        <w:autoSpaceDE w:val="0"/>
        <w:autoSpaceDN w:val="0"/>
        <w:ind w:left="1440" w:hanging="720"/>
        <w:rPr>
          <w:color w:val="C00000"/>
        </w:rPr>
      </w:pPr>
      <w:r w:rsidRPr="00601F02">
        <w:rPr>
          <w:color w:val="C00000"/>
        </w:rPr>
        <w:t xml:space="preserve">Accessible Housing Units: All new and existing projects with fully Accessible Housing Units shall adopt suitable means to assure that information regarding the availability of Accessible Housing Units reaches eligible individuals with disabilities and shall take reasonable nondiscriminatory steps to maximize the </w:t>
      </w:r>
      <w:r w:rsidRPr="00601F02">
        <w:rPr>
          <w:color w:val="C00000"/>
        </w:rPr>
        <w:lastRenderedPageBreak/>
        <w:t xml:space="preserve">utilization of such Units by eligible individuals whose Disability requires the accessibility features of the particular Unit. Such information shall be included in marketing plans. To this end, when an Accessible Housing Unit becomes vacant, before offering such Unit to an applicant who does not need the features of the Unit, the </w:t>
      </w:r>
      <w:r w:rsidR="00EB5FDD" w:rsidRPr="00601F02">
        <w:rPr>
          <w:color w:val="C00000"/>
        </w:rPr>
        <w:t>p</w:t>
      </w:r>
      <w:r w:rsidRPr="00601F02">
        <w:rPr>
          <w:color w:val="C00000"/>
        </w:rPr>
        <w:t>roject shall offer such Unit:  </w:t>
      </w:r>
    </w:p>
    <w:p w14:paraId="78223E1F" w14:textId="77777777" w:rsidR="004758E8" w:rsidRPr="00601F02" w:rsidRDefault="004758E8" w:rsidP="004758E8">
      <w:pPr>
        <w:widowControl w:val="0"/>
        <w:autoSpaceDE w:val="0"/>
        <w:autoSpaceDN w:val="0"/>
        <w:rPr>
          <w:color w:val="C00000"/>
        </w:rPr>
      </w:pPr>
    </w:p>
    <w:p w14:paraId="2DC1C69D" w14:textId="615E2D47" w:rsidR="004524F0" w:rsidRPr="00601F02" w:rsidRDefault="004524F0" w:rsidP="00993D09">
      <w:pPr>
        <w:pStyle w:val="ListParagraph"/>
        <w:numPr>
          <w:ilvl w:val="0"/>
          <w:numId w:val="72"/>
        </w:numPr>
        <w:ind w:left="2160" w:right="90" w:hanging="720"/>
        <w:rPr>
          <w:color w:val="C00000"/>
        </w:rPr>
      </w:pPr>
      <w:r w:rsidRPr="00601F02">
        <w:rPr>
          <w:color w:val="C00000"/>
        </w:rPr>
        <w:t>First, to a current occupant of another Unit of the same project having a Disability requiring the accessibility features of the vacant Unit and occupying a Unit not having such features, or if no such occupant exists, then  </w:t>
      </w:r>
    </w:p>
    <w:p w14:paraId="74FBEB9C" w14:textId="77777777" w:rsidR="004524F0" w:rsidRPr="00601F02" w:rsidRDefault="004524F0" w:rsidP="004524F0">
      <w:pPr>
        <w:pStyle w:val="ListParagraph"/>
        <w:ind w:left="2160" w:right="90"/>
        <w:rPr>
          <w:color w:val="C00000"/>
        </w:rPr>
      </w:pPr>
    </w:p>
    <w:p w14:paraId="7DED4F8C" w14:textId="7F8AB24F" w:rsidR="004524F0" w:rsidRPr="00601F02" w:rsidRDefault="004524F0" w:rsidP="00993D09">
      <w:pPr>
        <w:pStyle w:val="ListParagraph"/>
        <w:numPr>
          <w:ilvl w:val="0"/>
          <w:numId w:val="72"/>
        </w:numPr>
        <w:ind w:left="2160" w:right="90" w:hanging="720"/>
        <w:rPr>
          <w:color w:val="C00000"/>
        </w:rPr>
      </w:pPr>
      <w:r w:rsidRPr="00601F02">
        <w:rPr>
          <w:color w:val="C00000"/>
        </w:rPr>
        <w:t xml:space="preserve">Second, to an eligible qualified applicant on the waiting list having a Disability requiring the accessibility features of the vacant Unit. </w:t>
      </w:r>
    </w:p>
    <w:p w14:paraId="06E77D9C" w14:textId="77777777" w:rsidR="004524F0" w:rsidRPr="00601F02" w:rsidRDefault="004524F0" w:rsidP="004524F0">
      <w:pPr>
        <w:ind w:right="90"/>
        <w:rPr>
          <w:color w:val="C00000"/>
        </w:rPr>
      </w:pPr>
    </w:p>
    <w:p w14:paraId="141197E3" w14:textId="0278F6A3" w:rsidR="004524F0" w:rsidRPr="00601F02" w:rsidRDefault="004524F0" w:rsidP="00993D09">
      <w:pPr>
        <w:pStyle w:val="ListParagraph"/>
        <w:numPr>
          <w:ilvl w:val="0"/>
          <w:numId w:val="72"/>
        </w:numPr>
        <w:ind w:left="2160" w:right="90" w:hanging="720"/>
        <w:rPr>
          <w:color w:val="C00000"/>
        </w:rPr>
      </w:pPr>
      <w:r w:rsidRPr="00601F02">
        <w:rPr>
          <w:color w:val="C00000"/>
        </w:rPr>
        <w:t xml:space="preserve">If no applicant meeting the criteria in subsections (A) or (B) is available, the Accessible Housing Unit may be offered to a tenant or </w:t>
      </w:r>
      <w:r w:rsidR="004E6DE7" w:rsidRPr="00601F02">
        <w:rPr>
          <w:color w:val="C00000"/>
        </w:rPr>
        <w:t>a</w:t>
      </w:r>
      <w:r w:rsidRPr="00601F02">
        <w:rPr>
          <w:color w:val="C00000"/>
        </w:rPr>
        <w:t>pplicant who does not need the Unit’s accessibility features.</w:t>
      </w:r>
    </w:p>
    <w:p w14:paraId="18810C43" w14:textId="77777777" w:rsidR="004524F0" w:rsidRPr="00601F02" w:rsidRDefault="004524F0" w:rsidP="004524F0">
      <w:pPr>
        <w:ind w:right="90"/>
        <w:rPr>
          <w:color w:val="C00000"/>
        </w:rPr>
      </w:pPr>
    </w:p>
    <w:p w14:paraId="01FC93D8" w14:textId="137F4BAD" w:rsidR="004524F0" w:rsidRPr="00601F02" w:rsidRDefault="004524F0" w:rsidP="00993D09">
      <w:pPr>
        <w:pStyle w:val="ListParagraph"/>
        <w:numPr>
          <w:ilvl w:val="0"/>
          <w:numId w:val="72"/>
        </w:numPr>
        <w:ind w:left="2160" w:right="90" w:hanging="720"/>
        <w:rPr>
          <w:color w:val="C00000"/>
        </w:rPr>
      </w:pPr>
      <w:r w:rsidRPr="00601F02">
        <w:rPr>
          <w:color w:val="C00000"/>
        </w:rPr>
        <w:t xml:space="preserve">When offering an Accessible Housing Unit to an applicant not having a Disability requiring the accessibility features of the Unit, the owner or manager shall require the applicant to agree to move to a non-accessible Unit when </w:t>
      </w:r>
      <w:r w:rsidR="0047334E" w:rsidRPr="00601F02">
        <w:rPr>
          <w:color w:val="C00000"/>
        </w:rPr>
        <w:t xml:space="preserve">a </w:t>
      </w:r>
      <w:r w:rsidRPr="00601F02">
        <w:rPr>
          <w:color w:val="C00000"/>
        </w:rPr>
        <w:t xml:space="preserve">comparable Unit is available. This agreement shall be incorporated in the lease or a lease addendum. </w:t>
      </w:r>
    </w:p>
    <w:p w14:paraId="10D8333E" w14:textId="77777777" w:rsidR="00590AEC" w:rsidRPr="00601F02" w:rsidRDefault="00590AEC" w:rsidP="00CA7DFC">
      <w:pPr>
        <w:widowControl w:val="0"/>
        <w:autoSpaceDE w:val="0"/>
        <w:autoSpaceDN w:val="0"/>
        <w:rPr>
          <w:rFonts w:cs="Arial"/>
          <w:color w:val="C00000"/>
        </w:rPr>
      </w:pPr>
    </w:p>
    <w:p w14:paraId="1BC8AFD0" w14:textId="77777777" w:rsidR="00CA7DFC" w:rsidRPr="00601F02" w:rsidRDefault="00CA7DFC" w:rsidP="00993D09">
      <w:pPr>
        <w:pStyle w:val="ListParagraph"/>
        <w:widowControl w:val="0"/>
        <w:numPr>
          <w:ilvl w:val="0"/>
          <w:numId w:val="37"/>
        </w:numPr>
        <w:tabs>
          <w:tab w:val="left" w:pos="911"/>
          <w:tab w:val="left" w:pos="912"/>
        </w:tabs>
        <w:autoSpaceDE w:val="0"/>
        <w:autoSpaceDN w:val="0"/>
        <w:ind w:left="720" w:hanging="720"/>
        <w:rPr>
          <w:rFonts w:cs="Arial"/>
          <w:color w:val="C00000"/>
        </w:rPr>
      </w:pPr>
      <w:r w:rsidRPr="00601F02">
        <w:rPr>
          <w:rFonts w:cs="Arial"/>
          <w:color w:val="C00000"/>
        </w:rPr>
        <w:t>Violence</w:t>
      </w:r>
      <w:r w:rsidRPr="00601F02">
        <w:rPr>
          <w:rFonts w:cs="Arial"/>
          <w:color w:val="C00000"/>
          <w:spacing w:val="-4"/>
        </w:rPr>
        <w:t xml:space="preserve"> </w:t>
      </w:r>
      <w:r w:rsidRPr="00601F02">
        <w:rPr>
          <w:rFonts w:cs="Arial"/>
          <w:color w:val="C00000"/>
        </w:rPr>
        <w:t>Against</w:t>
      </w:r>
      <w:r w:rsidRPr="00601F02">
        <w:rPr>
          <w:rFonts w:cs="Arial"/>
          <w:color w:val="C00000"/>
          <w:spacing w:val="-4"/>
        </w:rPr>
        <w:t xml:space="preserve"> </w:t>
      </w:r>
      <w:r w:rsidRPr="00601F02">
        <w:rPr>
          <w:rFonts w:cs="Arial"/>
          <w:color w:val="C00000"/>
        </w:rPr>
        <w:t>Women</w:t>
      </w:r>
      <w:r w:rsidRPr="00601F02">
        <w:rPr>
          <w:rFonts w:cs="Arial"/>
          <w:color w:val="C00000"/>
          <w:spacing w:val="-1"/>
        </w:rPr>
        <w:t xml:space="preserve"> </w:t>
      </w:r>
      <w:r w:rsidRPr="00601F02">
        <w:rPr>
          <w:rFonts w:cs="Arial"/>
          <w:color w:val="C00000"/>
        </w:rPr>
        <w:t>Act</w:t>
      </w:r>
    </w:p>
    <w:p w14:paraId="7D0D8478" w14:textId="77777777" w:rsidR="00CA7DFC" w:rsidRPr="00B33A7B" w:rsidRDefault="00CA7DFC" w:rsidP="00CA7DFC">
      <w:pPr>
        <w:pStyle w:val="BodyText"/>
        <w:spacing w:after="0"/>
        <w:ind w:left="810" w:hanging="720"/>
        <w:rPr>
          <w:rFonts w:cs="Arial"/>
          <w:color w:val="FF0000"/>
        </w:rPr>
      </w:pPr>
    </w:p>
    <w:p w14:paraId="106E8ED4" w14:textId="77777777" w:rsidR="007818EC" w:rsidRPr="00B33A7B" w:rsidRDefault="007818EC" w:rsidP="007818EC">
      <w:pPr>
        <w:pStyle w:val="BodyText"/>
        <w:spacing w:after="0"/>
        <w:ind w:left="720"/>
        <w:rPr>
          <w:color w:val="FF0000"/>
        </w:rPr>
      </w:pPr>
      <w:r w:rsidRPr="00601F02">
        <w:rPr>
          <w:color w:val="C00000"/>
        </w:rPr>
        <w:t xml:space="preserve">Where applicable, </w:t>
      </w:r>
      <w:r w:rsidRPr="00B33A7B">
        <w:t>Recipients/</w:t>
      </w:r>
      <w:r w:rsidRPr="00601F02">
        <w:rPr>
          <w:color w:val="C00000"/>
        </w:rPr>
        <w:t xml:space="preserve">Sponsors shall ensure individuals are not denied assistance, evicted, or have their assistance terminated because of their status as survivors of domestic violence, dating violence, sexual assault, or stalking, or for being affiliated with a victim, pursuant to 34 USC Section 12491. </w:t>
      </w:r>
    </w:p>
    <w:p w14:paraId="7C6A025A" w14:textId="77777777" w:rsidR="007818EC" w:rsidRPr="00601F02" w:rsidRDefault="007818EC" w:rsidP="007818EC">
      <w:pPr>
        <w:pStyle w:val="BodyText"/>
        <w:spacing w:after="0"/>
        <w:ind w:left="720"/>
        <w:rPr>
          <w:color w:val="C00000"/>
        </w:rPr>
      </w:pPr>
      <w:r w:rsidRPr="00B33A7B">
        <w:t>Recipients/</w:t>
      </w:r>
      <w:r w:rsidRPr="00601F02">
        <w:rPr>
          <w:color w:val="C00000"/>
        </w:rPr>
        <w:t xml:space="preserve">Sponsors and owners have an obligation to inform such prospective and existing tenants of the rights and protections available to them under federal law by providing them with a Notice of Occupancy Rights Form HUD-5380 and VAWA Self-Certification Form HUD-5382. Notice must be given at the time an applicant is denied housing, at the time an applicant is admitted to housing, or when a tenant is notified of eviction or termination. </w:t>
      </w:r>
      <w:r w:rsidRPr="00B33A7B">
        <w:t>Recipients/</w:t>
      </w:r>
      <w:r w:rsidRPr="00601F02">
        <w:rPr>
          <w:color w:val="C00000"/>
        </w:rPr>
        <w:t>Sponsors and owners are also required to comply with additional protections afforded to survivors under state law pursuant to CIV Section 1946.7 (early lease termination without penalty) and CIV Sections 1941.5 and 1941.6.</w:t>
      </w:r>
    </w:p>
    <w:p w14:paraId="6E85AEB4" w14:textId="77777777" w:rsidR="007818EC" w:rsidRPr="00601F02" w:rsidRDefault="007818EC" w:rsidP="00CA7DFC">
      <w:pPr>
        <w:pStyle w:val="BodyText"/>
        <w:spacing w:after="0"/>
        <w:ind w:left="720"/>
        <w:rPr>
          <w:rFonts w:cs="Arial"/>
          <w:color w:val="C00000"/>
        </w:rPr>
      </w:pPr>
    </w:p>
    <w:p w14:paraId="6A1B57AC" w14:textId="77777777" w:rsidR="00CA7DFC" w:rsidRPr="00601F02" w:rsidRDefault="00CA7DFC" w:rsidP="00993D09">
      <w:pPr>
        <w:pStyle w:val="ListParagraph"/>
        <w:widowControl w:val="0"/>
        <w:numPr>
          <w:ilvl w:val="0"/>
          <w:numId w:val="37"/>
        </w:numPr>
        <w:autoSpaceDE w:val="0"/>
        <w:autoSpaceDN w:val="0"/>
        <w:ind w:left="720" w:hanging="720"/>
        <w:rPr>
          <w:rFonts w:cs="Arial"/>
          <w:color w:val="C00000"/>
        </w:rPr>
      </w:pPr>
      <w:r w:rsidRPr="00601F02">
        <w:rPr>
          <w:rFonts w:cs="Arial"/>
          <w:color w:val="C00000"/>
        </w:rPr>
        <w:t>Pet</w:t>
      </w:r>
      <w:r w:rsidRPr="00601F02">
        <w:rPr>
          <w:rFonts w:cs="Arial"/>
          <w:color w:val="C00000"/>
          <w:spacing w:val="-4"/>
        </w:rPr>
        <w:t xml:space="preserve"> </w:t>
      </w:r>
      <w:r w:rsidRPr="00601F02">
        <w:rPr>
          <w:rFonts w:cs="Arial"/>
          <w:color w:val="C00000"/>
        </w:rPr>
        <w:t>Friendly</w:t>
      </w:r>
      <w:r w:rsidRPr="00601F02">
        <w:rPr>
          <w:rFonts w:cs="Arial"/>
          <w:color w:val="C00000"/>
          <w:spacing w:val="-3"/>
        </w:rPr>
        <w:t xml:space="preserve"> </w:t>
      </w:r>
      <w:r w:rsidRPr="00601F02">
        <w:rPr>
          <w:rFonts w:cs="Arial"/>
          <w:color w:val="C00000"/>
        </w:rPr>
        <w:t>Housing</w:t>
      </w:r>
      <w:r w:rsidRPr="00601F02">
        <w:rPr>
          <w:rFonts w:cs="Arial"/>
          <w:color w:val="C00000"/>
          <w:spacing w:val="-2"/>
        </w:rPr>
        <w:t xml:space="preserve"> </w:t>
      </w:r>
      <w:r w:rsidRPr="00601F02">
        <w:rPr>
          <w:rFonts w:cs="Arial"/>
          <w:color w:val="C00000"/>
        </w:rPr>
        <w:t>Act</w:t>
      </w:r>
    </w:p>
    <w:p w14:paraId="35FF63A3" w14:textId="77777777" w:rsidR="00CA7DFC" w:rsidRPr="00B33A7B" w:rsidRDefault="00CA7DFC" w:rsidP="00CA7DFC">
      <w:pPr>
        <w:pStyle w:val="BodyText"/>
        <w:spacing w:after="0"/>
        <w:ind w:left="810" w:hanging="720"/>
        <w:rPr>
          <w:rFonts w:cs="Arial"/>
          <w:color w:val="FF0000"/>
        </w:rPr>
      </w:pPr>
    </w:p>
    <w:p w14:paraId="2FA101D4" w14:textId="678585D5" w:rsidR="005E489F" w:rsidRPr="00601F02" w:rsidRDefault="005E489F" w:rsidP="00CA7DFC">
      <w:pPr>
        <w:pStyle w:val="BodyText"/>
        <w:spacing w:after="0"/>
        <w:ind w:left="720"/>
        <w:rPr>
          <w:rFonts w:cs="Arial"/>
          <w:color w:val="C00000"/>
        </w:rPr>
      </w:pPr>
      <w:r w:rsidRPr="00B33A7B">
        <w:rPr>
          <w:rFonts w:cs="Arial"/>
        </w:rPr>
        <w:t>Recipient/</w:t>
      </w:r>
      <w:r w:rsidRPr="00601F02">
        <w:rPr>
          <w:rFonts w:cs="Arial"/>
          <w:color w:val="C00000"/>
        </w:rPr>
        <w:t>Sponsor shall authorize residents of the housing development to own or otherwise maintain one  or more common household pets pursuant to the Pet Friendly Housing Act of 2017 (</w:t>
      </w:r>
      <w:r w:rsidR="00A85E00" w:rsidRPr="00601F02">
        <w:rPr>
          <w:rFonts w:cs="Arial"/>
          <w:color w:val="C00000"/>
        </w:rPr>
        <w:t>HSC</w:t>
      </w:r>
      <w:r w:rsidRPr="00601F02">
        <w:rPr>
          <w:rFonts w:cs="Arial"/>
          <w:color w:val="C00000"/>
        </w:rPr>
        <w:t xml:space="preserve"> Section 50466).</w:t>
      </w:r>
    </w:p>
    <w:p w14:paraId="4BEDF138" w14:textId="77777777" w:rsidR="00CA7DFC" w:rsidRPr="00601F02" w:rsidRDefault="00CA7DFC" w:rsidP="00CA7DFC">
      <w:pPr>
        <w:pStyle w:val="BodyText"/>
        <w:spacing w:after="0"/>
        <w:ind w:hanging="720"/>
        <w:rPr>
          <w:rFonts w:cs="Arial"/>
          <w:color w:val="C00000"/>
        </w:rPr>
      </w:pPr>
    </w:p>
    <w:p w14:paraId="024BC950" w14:textId="77777777" w:rsidR="00CA7DFC" w:rsidRPr="00601F02" w:rsidRDefault="00CA7DFC" w:rsidP="00993D09">
      <w:pPr>
        <w:pStyle w:val="ListParagraph"/>
        <w:widowControl w:val="0"/>
        <w:numPr>
          <w:ilvl w:val="0"/>
          <w:numId w:val="37"/>
        </w:numPr>
        <w:tabs>
          <w:tab w:val="left" w:pos="911"/>
          <w:tab w:val="left" w:pos="912"/>
        </w:tabs>
        <w:autoSpaceDE w:val="0"/>
        <w:autoSpaceDN w:val="0"/>
        <w:ind w:left="720" w:hanging="720"/>
        <w:rPr>
          <w:rFonts w:cs="Arial"/>
          <w:color w:val="C00000"/>
        </w:rPr>
      </w:pPr>
      <w:r w:rsidRPr="00601F02">
        <w:rPr>
          <w:rFonts w:cs="Arial"/>
          <w:color w:val="C00000"/>
        </w:rPr>
        <w:t>California</w:t>
      </w:r>
      <w:r w:rsidRPr="00601F02">
        <w:rPr>
          <w:rFonts w:cs="Arial"/>
          <w:color w:val="C00000"/>
          <w:spacing w:val="-3"/>
        </w:rPr>
        <w:t xml:space="preserve"> </w:t>
      </w:r>
      <w:r w:rsidRPr="00601F02">
        <w:rPr>
          <w:rFonts w:cs="Arial"/>
          <w:color w:val="C00000"/>
        </w:rPr>
        <w:t>State</w:t>
      </w:r>
      <w:r w:rsidRPr="00601F02">
        <w:rPr>
          <w:rFonts w:cs="Arial"/>
          <w:color w:val="C00000"/>
          <w:spacing w:val="-4"/>
        </w:rPr>
        <w:t xml:space="preserve"> </w:t>
      </w:r>
      <w:r w:rsidRPr="00601F02">
        <w:rPr>
          <w:rFonts w:cs="Arial"/>
          <w:color w:val="C00000"/>
        </w:rPr>
        <w:t>Prevailing</w:t>
      </w:r>
      <w:r w:rsidRPr="00601F02">
        <w:rPr>
          <w:rFonts w:cs="Arial"/>
          <w:color w:val="C00000"/>
          <w:spacing w:val="-2"/>
        </w:rPr>
        <w:t xml:space="preserve"> </w:t>
      </w:r>
      <w:r w:rsidRPr="00601F02">
        <w:rPr>
          <w:rFonts w:cs="Arial"/>
          <w:color w:val="C00000"/>
        </w:rPr>
        <w:t>Wage</w:t>
      </w:r>
      <w:r w:rsidRPr="00601F02">
        <w:rPr>
          <w:rFonts w:cs="Arial"/>
          <w:color w:val="C00000"/>
          <w:spacing w:val="-3"/>
        </w:rPr>
        <w:t xml:space="preserve"> </w:t>
      </w:r>
      <w:r w:rsidRPr="00601F02">
        <w:rPr>
          <w:rFonts w:cs="Arial"/>
          <w:color w:val="C00000"/>
        </w:rPr>
        <w:t>Law</w:t>
      </w:r>
    </w:p>
    <w:p w14:paraId="3076BEFB" w14:textId="77777777" w:rsidR="00CA7DFC" w:rsidRPr="00B33A7B" w:rsidRDefault="00CA7DFC" w:rsidP="00CA7DFC">
      <w:pPr>
        <w:pStyle w:val="BodyText"/>
        <w:spacing w:after="0"/>
        <w:ind w:left="810" w:hanging="720"/>
        <w:rPr>
          <w:rFonts w:cs="Arial"/>
          <w:color w:val="FF0000"/>
        </w:rPr>
      </w:pPr>
    </w:p>
    <w:p w14:paraId="1B8FD3BF" w14:textId="390AAE74" w:rsidR="00B2242E" w:rsidRPr="00B33A7B" w:rsidRDefault="00B2242E" w:rsidP="00C339C8">
      <w:pPr>
        <w:pStyle w:val="BodyText"/>
        <w:spacing w:after="0"/>
        <w:ind w:left="720"/>
        <w:rPr>
          <w:rFonts w:cs="Arial"/>
        </w:rPr>
      </w:pPr>
      <w:r w:rsidRPr="00B33A7B">
        <w:rPr>
          <w:rFonts w:cs="Arial"/>
        </w:rPr>
        <w:t xml:space="preserve">For the purposes of California’s prevailing wage law (Lab. Code, Section 1720 et seq.), an IIG Capital Improvement Project shall be considered a public work that is paid for in whole or in part out of public funds. As such, it is subject to California’s prevailing wage law. Program funding of a Capital Improvement Project shall not necessarily, in and of itself, be considered public funding of a Qualifying Infill Project </w:t>
      </w:r>
      <w:r w:rsidR="007D7473" w:rsidRPr="00B33A7B">
        <w:rPr>
          <w:rFonts w:cs="Arial"/>
        </w:rPr>
        <w:t xml:space="preserve">or Qualifying Infill Area </w:t>
      </w:r>
      <w:r w:rsidRPr="00B33A7B">
        <w:rPr>
          <w:rFonts w:cs="Arial"/>
        </w:rPr>
        <w:t xml:space="preserve">unless such funding is considered public funding under California’s prevailing wage law. </w:t>
      </w:r>
      <w:r w:rsidR="00BC507C" w:rsidRPr="00B33A7B">
        <w:rPr>
          <w:rFonts w:cs="Arial"/>
        </w:rPr>
        <w:t xml:space="preserve"> </w:t>
      </w:r>
    </w:p>
    <w:p w14:paraId="71AE2D73" w14:textId="77777777" w:rsidR="00CA7DFC" w:rsidRPr="00B33A7B" w:rsidRDefault="00CA7DFC" w:rsidP="00CA7DFC">
      <w:pPr>
        <w:ind w:hanging="720"/>
        <w:rPr>
          <w:rFonts w:cs="Arial"/>
        </w:rPr>
      </w:pPr>
    </w:p>
    <w:p w14:paraId="6BC27C03" w14:textId="77777777" w:rsidR="00C339C8" w:rsidRPr="00B33A7B" w:rsidRDefault="00C339C8" w:rsidP="00C339C8">
      <w:pPr>
        <w:pStyle w:val="BodyText"/>
        <w:spacing w:after="0"/>
        <w:ind w:left="720"/>
        <w:rPr>
          <w:rFonts w:cs="Arial"/>
        </w:rPr>
      </w:pPr>
      <w:r w:rsidRPr="00B33A7B">
        <w:rPr>
          <w:rFonts w:cs="Arial"/>
        </w:rPr>
        <w:t>Although the use of Program funds does not require compliance with the federal Davis-Bacon Act, other funding sources may require compliance with the federal Davis-Bacon Act.</w:t>
      </w:r>
    </w:p>
    <w:p w14:paraId="5C24075D" w14:textId="77777777" w:rsidR="00CA7DFC" w:rsidRPr="00B33A7B" w:rsidRDefault="00CA7DFC" w:rsidP="00CA7DFC">
      <w:pPr>
        <w:pStyle w:val="BodyText"/>
        <w:spacing w:after="0"/>
        <w:ind w:left="810" w:hanging="720"/>
        <w:rPr>
          <w:rFonts w:cs="Arial"/>
        </w:rPr>
      </w:pPr>
    </w:p>
    <w:p w14:paraId="6D3B5A17" w14:textId="57689573" w:rsidR="00CA7DFC" w:rsidRPr="00B33A7B" w:rsidRDefault="00CA7DFC" w:rsidP="00812B87">
      <w:pPr>
        <w:pStyle w:val="Style2"/>
        <w:outlineLvl w:val="1"/>
        <w:rPr>
          <w:color w:val="auto"/>
        </w:rPr>
      </w:pPr>
      <w:bookmarkStart w:id="25" w:name="Section_7315._Relocation_Requirements."/>
      <w:bookmarkStart w:id="26" w:name="_bookmark18"/>
      <w:bookmarkStart w:id="27" w:name="_Toc89870852"/>
      <w:bookmarkStart w:id="28" w:name="_Toc106173292"/>
      <w:bookmarkEnd w:id="25"/>
      <w:bookmarkEnd w:id="26"/>
      <w:r w:rsidRPr="00B33A7B">
        <w:rPr>
          <w:color w:val="auto"/>
        </w:rPr>
        <w:t>Section 301.  Relocation Requirements.</w:t>
      </w:r>
      <w:bookmarkEnd w:id="27"/>
      <w:bookmarkEnd w:id="28"/>
    </w:p>
    <w:p w14:paraId="18FC265C" w14:textId="77777777" w:rsidR="00CA7DFC" w:rsidRPr="00601F02" w:rsidRDefault="00CA7DFC" w:rsidP="00CA7DFC">
      <w:pPr>
        <w:ind w:hanging="720"/>
        <w:rPr>
          <w:rFonts w:cs="Arial"/>
          <w:color w:val="C00000"/>
        </w:rPr>
      </w:pPr>
    </w:p>
    <w:p w14:paraId="27A31C5C" w14:textId="0C6D7BCC" w:rsidR="003E3AF7" w:rsidRPr="00B33A7B" w:rsidRDefault="003E3AF7" w:rsidP="00993D09">
      <w:pPr>
        <w:pStyle w:val="ListParagraph"/>
        <w:widowControl w:val="0"/>
        <w:numPr>
          <w:ilvl w:val="0"/>
          <w:numId w:val="73"/>
        </w:numPr>
        <w:tabs>
          <w:tab w:val="left" w:pos="911"/>
          <w:tab w:val="left" w:pos="912"/>
        </w:tabs>
        <w:autoSpaceDE w:val="0"/>
        <w:autoSpaceDN w:val="0"/>
        <w:ind w:left="720" w:hanging="720"/>
        <w:rPr>
          <w:rFonts w:cs="Arial"/>
          <w:color w:val="FF0000"/>
        </w:rPr>
      </w:pPr>
      <w:r w:rsidRPr="00601F02">
        <w:rPr>
          <w:rFonts w:cs="Arial"/>
          <w:color w:val="C00000"/>
        </w:rPr>
        <w:t xml:space="preserve">The </w:t>
      </w:r>
      <w:r w:rsidRPr="00B33A7B">
        <w:rPr>
          <w:rFonts w:cs="Arial"/>
        </w:rPr>
        <w:t>Recipient/</w:t>
      </w:r>
      <w:r w:rsidRPr="00601F02">
        <w:rPr>
          <w:rFonts w:cs="Arial"/>
          <w:color w:val="C00000"/>
        </w:rPr>
        <w:t>Sponsor</w:t>
      </w:r>
      <w:r w:rsidRPr="00B33A7B">
        <w:rPr>
          <w:rFonts w:cs="Arial"/>
          <w:color w:val="FF0000"/>
        </w:rPr>
        <w:t xml:space="preserve"> </w:t>
      </w:r>
      <w:r w:rsidRPr="00B33A7B">
        <w:rPr>
          <w:rFonts w:cs="Arial"/>
        </w:rPr>
        <w:t>who develops a Qualifying Infill Project</w:t>
      </w:r>
      <w:r w:rsidR="003060AF" w:rsidRPr="00B33A7B">
        <w:rPr>
          <w:rFonts w:cs="Arial"/>
        </w:rPr>
        <w:t xml:space="preserve">, Qualifying Infill Area, </w:t>
      </w:r>
      <w:r w:rsidRPr="00B33A7B">
        <w:rPr>
          <w:rFonts w:cs="Arial"/>
        </w:rPr>
        <w:t xml:space="preserve"> or Capital Improvement Project</w:t>
      </w:r>
      <w:r w:rsidRPr="00B33A7B">
        <w:rPr>
          <w:rFonts w:cs="Arial"/>
          <w:color w:val="FF0000"/>
        </w:rPr>
        <w:t xml:space="preserve"> </w:t>
      </w:r>
      <w:r w:rsidRPr="00601F02">
        <w:rPr>
          <w:rFonts w:cs="Arial"/>
          <w:color w:val="C00000"/>
        </w:rPr>
        <w:t xml:space="preserve">resulting in displacement of persons, businesses or farm operations shall be solely responsible for providing the assistance and benefits set forth in this section and in applicable state and federal law, and shall agree to indemnify and hold harmless the Department from any liabilities or claims for relocation-related costs. </w:t>
      </w:r>
      <w:r w:rsidR="00BC507C" w:rsidRPr="00601F02">
        <w:rPr>
          <w:rFonts w:cs="Arial"/>
          <w:color w:val="C00000"/>
        </w:rPr>
        <w:t xml:space="preserve"> </w:t>
      </w:r>
    </w:p>
    <w:p w14:paraId="3783ABD2" w14:textId="77777777" w:rsidR="003E3AF7" w:rsidRPr="00B33A7B" w:rsidRDefault="003E3AF7" w:rsidP="003E3AF7">
      <w:pPr>
        <w:pStyle w:val="ListParagraph"/>
        <w:widowControl w:val="0"/>
        <w:tabs>
          <w:tab w:val="left" w:pos="911"/>
          <w:tab w:val="left" w:pos="912"/>
        </w:tabs>
        <w:autoSpaceDE w:val="0"/>
        <w:autoSpaceDN w:val="0"/>
        <w:rPr>
          <w:rFonts w:cs="Arial"/>
          <w:color w:val="FF0000"/>
        </w:rPr>
      </w:pPr>
    </w:p>
    <w:p w14:paraId="51636C2F" w14:textId="69D363AB" w:rsidR="003E3AF7" w:rsidRPr="00601F02" w:rsidRDefault="003E3AF7" w:rsidP="00993D09">
      <w:pPr>
        <w:pStyle w:val="ListParagraph"/>
        <w:widowControl w:val="0"/>
        <w:numPr>
          <w:ilvl w:val="0"/>
          <w:numId w:val="73"/>
        </w:numPr>
        <w:tabs>
          <w:tab w:val="left" w:pos="911"/>
          <w:tab w:val="left" w:pos="912"/>
        </w:tabs>
        <w:autoSpaceDE w:val="0"/>
        <w:autoSpaceDN w:val="0"/>
        <w:ind w:left="720" w:hanging="720"/>
        <w:rPr>
          <w:rFonts w:cs="Arial"/>
          <w:color w:val="C00000"/>
        </w:rPr>
      </w:pPr>
      <w:r w:rsidRPr="00601F02">
        <w:rPr>
          <w:rFonts w:cs="Arial"/>
          <w:color w:val="C00000"/>
        </w:rPr>
        <w:t xml:space="preserve">All persons, businesses or farm operations that are displaced as a direct result of the development of a </w:t>
      </w:r>
      <w:r w:rsidRPr="00B33A7B">
        <w:rPr>
          <w:rFonts w:cs="Arial"/>
        </w:rPr>
        <w:t>Qualifying Infill Project</w:t>
      </w:r>
      <w:r w:rsidR="003060AF" w:rsidRPr="00B33A7B">
        <w:rPr>
          <w:rFonts w:cs="Arial"/>
        </w:rPr>
        <w:t>, Qualifying Infill Area,</w:t>
      </w:r>
      <w:r w:rsidRPr="00B33A7B">
        <w:rPr>
          <w:rFonts w:cs="Arial"/>
        </w:rPr>
        <w:t xml:space="preserve"> or Capital Improvement Project </w:t>
      </w:r>
      <w:r w:rsidRPr="00601F02">
        <w:rPr>
          <w:rFonts w:cs="Arial"/>
          <w:color w:val="C00000"/>
        </w:rPr>
        <w:t xml:space="preserve">shall be entitled to relocation benefits and assistance as provided in Title 1, </w:t>
      </w:r>
      <w:r w:rsidR="00CA72D5" w:rsidRPr="00601F02">
        <w:rPr>
          <w:rFonts w:cs="Arial"/>
          <w:color w:val="C00000"/>
        </w:rPr>
        <w:t>GC</w:t>
      </w:r>
      <w:r w:rsidRPr="00601F02">
        <w:rPr>
          <w:rFonts w:cs="Arial"/>
          <w:color w:val="C00000"/>
        </w:rPr>
        <w:t>, Division 7, Chapter 16, commencing at Section 7260, and Title 25 CCR, Subchapter 1, Chapter 6, commencing at Section 6000. Additionally, to the extent applicable, local relocation law as well as the Federal Uniform Relocation Assistance and Real Property Acquisition Act, 49 C.F.R. Part 24, including Appendix A to Part 24, shall apply. To the extent of any variation in the applicable relocation laws, the stricter standard shall apply. Displaced tenants who are not replaced with Eligible Households under this Program shall be provided relocation benefits and assistance from funds other than Program funds.</w:t>
      </w:r>
      <w:r w:rsidR="00BC507C" w:rsidRPr="00601F02">
        <w:rPr>
          <w:rFonts w:cs="Arial"/>
          <w:color w:val="C00000"/>
        </w:rPr>
        <w:t xml:space="preserve">  </w:t>
      </w:r>
    </w:p>
    <w:p w14:paraId="6E3A1931" w14:textId="77777777" w:rsidR="003E3AF7" w:rsidRPr="00601F02" w:rsidRDefault="003E3AF7" w:rsidP="003E3AF7">
      <w:pPr>
        <w:pStyle w:val="ListParagraph"/>
        <w:widowControl w:val="0"/>
        <w:tabs>
          <w:tab w:val="left" w:pos="911"/>
          <w:tab w:val="left" w:pos="912"/>
        </w:tabs>
        <w:autoSpaceDE w:val="0"/>
        <w:autoSpaceDN w:val="0"/>
        <w:rPr>
          <w:rFonts w:cs="Arial"/>
          <w:color w:val="C00000"/>
        </w:rPr>
      </w:pPr>
    </w:p>
    <w:p w14:paraId="45E57000" w14:textId="77777777" w:rsidR="003E3AF7" w:rsidRPr="00601F02" w:rsidRDefault="003E3AF7" w:rsidP="00993D09">
      <w:pPr>
        <w:pStyle w:val="ListParagraph"/>
        <w:widowControl w:val="0"/>
        <w:numPr>
          <w:ilvl w:val="0"/>
          <w:numId w:val="73"/>
        </w:numPr>
        <w:tabs>
          <w:tab w:val="left" w:pos="911"/>
          <w:tab w:val="left" w:pos="912"/>
        </w:tabs>
        <w:autoSpaceDE w:val="0"/>
        <w:autoSpaceDN w:val="0"/>
        <w:ind w:left="720" w:hanging="720"/>
        <w:rPr>
          <w:rFonts w:cs="Arial"/>
          <w:color w:val="C00000"/>
        </w:rPr>
      </w:pPr>
      <w:r w:rsidRPr="00601F02">
        <w:rPr>
          <w:rFonts w:cs="Arial"/>
          <w:color w:val="C00000"/>
        </w:rPr>
        <w:t xml:space="preserve">The </w:t>
      </w:r>
      <w:r w:rsidRPr="00B33A7B">
        <w:rPr>
          <w:rFonts w:cs="Arial"/>
        </w:rPr>
        <w:t>Recipient/</w:t>
      </w:r>
      <w:r w:rsidRPr="00601F02">
        <w:rPr>
          <w:rFonts w:cs="Arial"/>
          <w:color w:val="C00000"/>
        </w:rPr>
        <w:t>Sponsor shall prepare or update a relocation plan in conformance with the provisions of Title 25 CCR, Section 6038, and any other application relocation laws. The relocation plan shall be subject to the review and approval by the Department prior to the disbursement of Program funds and prior to actual displacement of persons, businesses or farm operations.</w:t>
      </w:r>
    </w:p>
    <w:p w14:paraId="0E068BF1" w14:textId="77777777" w:rsidR="003E3AF7" w:rsidRPr="00601F02" w:rsidRDefault="003E3AF7" w:rsidP="003E3AF7">
      <w:pPr>
        <w:pStyle w:val="ListParagraph"/>
        <w:widowControl w:val="0"/>
        <w:tabs>
          <w:tab w:val="left" w:pos="911"/>
          <w:tab w:val="left" w:pos="912"/>
        </w:tabs>
        <w:autoSpaceDE w:val="0"/>
        <w:autoSpaceDN w:val="0"/>
        <w:rPr>
          <w:rFonts w:cs="Arial"/>
          <w:color w:val="C00000"/>
        </w:rPr>
      </w:pPr>
    </w:p>
    <w:p w14:paraId="2C334B28" w14:textId="6DA3748E" w:rsidR="003E3AF7" w:rsidRPr="00601F02" w:rsidRDefault="003E3AF7" w:rsidP="00993D09">
      <w:pPr>
        <w:pStyle w:val="ListParagraph"/>
        <w:widowControl w:val="0"/>
        <w:numPr>
          <w:ilvl w:val="0"/>
          <w:numId w:val="73"/>
        </w:numPr>
        <w:tabs>
          <w:tab w:val="left" w:pos="911"/>
          <w:tab w:val="left" w:pos="912"/>
        </w:tabs>
        <w:autoSpaceDE w:val="0"/>
        <w:autoSpaceDN w:val="0"/>
        <w:ind w:left="720" w:hanging="720"/>
        <w:rPr>
          <w:rFonts w:cs="Arial"/>
          <w:color w:val="C00000"/>
        </w:rPr>
      </w:pPr>
      <w:r w:rsidRPr="00601F02">
        <w:rPr>
          <w:rFonts w:cs="Arial"/>
          <w:color w:val="C00000"/>
        </w:rPr>
        <w:t xml:space="preserve">All Eligible Households who are temporarily displaced as a direct result of the development of the </w:t>
      </w:r>
      <w:r w:rsidRPr="00B33A7B">
        <w:rPr>
          <w:rFonts w:cs="Arial"/>
        </w:rPr>
        <w:t>Qualifying Infill Project</w:t>
      </w:r>
      <w:r w:rsidR="003060AF" w:rsidRPr="00B33A7B">
        <w:rPr>
          <w:rFonts w:cs="Arial"/>
        </w:rPr>
        <w:t>, Qualifying Infill Area,</w:t>
      </w:r>
      <w:r w:rsidRPr="00B33A7B">
        <w:rPr>
          <w:rFonts w:cs="Arial"/>
        </w:rPr>
        <w:t xml:space="preserve"> or Capital Improvement Project </w:t>
      </w:r>
      <w:r w:rsidRPr="00601F02">
        <w:rPr>
          <w:rFonts w:cs="Arial"/>
          <w:color w:val="C00000"/>
        </w:rPr>
        <w:t xml:space="preserve">shall be entitled, upon initial occupancy of the Rental Housing Development, to occupy Assisted Units meeting the tenant occupancy standards set forth in UMR Section 8305. </w:t>
      </w:r>
      <w:r w:rsidR="00BC507C" w:rsidRPr="00601F02">
        <w:rPr>
          <w:rFonts w:cs="Arial"/>
          <w:color w:val="C00000"/>
        </w:rPr>
        <w:t xml:space="preserve"> </w:t>
      </w:r>
    </w:p>
    <w:p w14:paraId="46D7169F" w14:textId="77777777" w:rsidR="003E3AF7" w:rsidRPr="00601F02" w:rsidRDefault="003E3AF7" w:rsidP="003E3AF7">
      <w:pPr>
        <w:pStyle w:val="ListParagraph"/>
        <w:widowControl w:val="0"/>
        <w:tabs>
          <w:tab w:val="left" w:pos="911"/>
          <w:tab w:val="left" w:pos="912"/>
        </w:tabs>
        <w:autoSpaceDE w:val="0"/>
        <w:autoSpaceDN w:val="0"/>
        <w:rPr>
          <w:rFonts w:cs="Arial"/>
          <w:color w:val="C00000"/>
        </w:rPr>
      </w:pPr>
    </w:p>
    <w:p w14:paraId="448BAA7A" w14:textId="32BB58D5" w:rsidR="003E3AF7" w:rsidRPr="00601F02" w:rsidRDefault="003E3AF7" w:rsidP="00993D09">
      <w:pPr>
        <w:pStyle w:val="ListParagraph"/>
        <w:widowControl w:val="0"/>
        <w:numPr>
          <w:ilvl w:val="0"/>
          <w:numId w:val="73"/>
        </w:numPr>
        <w:tabs>
          <w:tab w:val="left" w:pos="911"/>
          <w:tab w:val="left" w:pos="912"/>
        </w:tabs>
        <w:autoSpaceDE w:val="0"/>
        <w:autoSpaceDN w:val="0"/>
        <w:ind w:left="720" w:hanging="720"/>
        <w:rPr>
          <w:rFonts w:cs="Arial"/>
          <w:color w:val="C00000"/>
        </w:rPr>
      </w:pPr>
      <w:r w:rsidRPr="00601F02">
        <w:rPr>
          <w:rFonts w:cs="Arial"/>
          <w:color w:val="C00000"/>
        </w:rPr>
        <w:t xml:space="preserve">All ineligible households who are temporarily displaced as a direct result of the </w:t>
      </w:r>
      <w:r w:rsidRPr="00601F02">
        <w:rPr>
          <w:rFonts w:cs="Arial"/>
          <w:color w:val="C00000"/>
        </w:rPr>
        <w:lastRenderedPageBreak/>
        <w:t xml:space="preserve">development of the </w:t>
      </w:r>
      <w:r w:rsidRPr="00B33A7B">
        <w:rPr>
          <w:rFonts w:cs="Arial"/>
        </w:rPr>
        <w:t>Qualifying Infill Project</w:t>
      </w:r>
      <w:r w:rsidR="003060AF" w:rsidRPr="00B33A7B">
        <w:rPr>
          <w:rFonts w:cs="Arial"/>
        </w:rPr>
        <w:t>, Qualifying Infill Area,</w:t>
      </w:r>
      <w:r w:rsidRPr="00B33A7B">
        <w:rPr>
          <w:rFonts w:cs="Arial"/>
        </w:rPr>
        <w:t xml:space="preserve"> or Capital Improvement Project </w:t>
      </w:r>
      <w:r w:rsidRPr="00601F02">
        <w:rPr>
          <w:rFonts w:cs="Arial"/>
          <w:color w:val="C00000"/>
        </w:rPr>
        <w:t>shall be entitled, upon initial occupancy of the Rental Housing Development, to occupy any available non-Assisted Units for which they qualify.</w:t>
      </w:r>
      <w:r w:rsidR="00BC507C" w:rsidRPr="00601F02">
        <w:rPr>
          <w:rFonts w:cs="Arial"/>
          <w:color w:val="C00000"/>
        </w:rPr>
        <w:t xml:space="preserve"> </w:t>
      </w:r>
    </w:p>
    <w:p w14:paraId="3D17E68F" w14:textId="77777777" w:rsidR="003E3AF7" w:rsidRPr="00601F02" w:rsidRDefault="003E3AF7" w:rsidP="003E3AF7">
      <w:pPr>
        <w:pStyle w:val="ListParagraph"/>
        <w:widowControl w:val="0"/>
        <w:tabs>
          <w:tab w:val="left" w:pos="911"/>
          <w:tab w:val="left" w:pos="912"/>
        </w:tabs>
        <w:autoSpaceDE w:val="0"/>
        <w:autoSpaceDN w:val="0"/>
        <w:rPr>
          <w:rFonts w:cs="Arial"/>
          <w:color w:val="C00000"/>
        </w:rPr>
      </w:pPr>
    </w:p>
    <w:p w14:paraId="58F4C66D" w14:textId="77777777" w:rsidR="003E3AF7" w:rsidRPr="00601F02" w:rsidRDefault="003E3AF7" w:rsidP="00993D09">
      <w:pPr>
        <w:pStyle w:val="ListParagraph"/>
        <w:widowControl w:val="0"/>
        <w:numPr>
          <w:ilvl w:val="0"/>
          <w:numId w:val="73"/>
        </w:numPr>
        <w:tabs>
          <w:tab w:val="left" w:pos="918"/>
          <w:tab w:val="left" w:pos="919"/>
        </w:tabs>
        <w:autoSpaceDE w:val="0"/>
        <w:autoSpaceDN w:val="0"/>
        <w:ind w:left="720" w:hanging="720"/>
        <w:rPr>
          <w:rFonts w:cs="Arial"/>
          <w:color w:val="C00000"/>
        </w:rPr>
      </w:pPr>
      <w:r w:rsidRPr="00601F02">
        <w:rPr>
          <w:rFonts w:cs="Arial"/>
          <w:color w:val="C00000"/>
        </w:rPr>
        <w:t>Notwithstanding the preceding subparagraphs, tenants who are notified in writing prior to their occupancy of an existing Unit that the Unit may be demolished as a result of funding provided under the Program shall not be eligible for relocation benefits and assistance under this section. The form of any notices used for this purpose shall be subject to Department approval.</w:t>
      </w:r>
    </w:p>
    <w:p w14:paraId="65133F76" w14:textId="77777777" w:rsidR="00D462E0" w:rsidRPr="00B33A7B" w:rsidRDefault="00D462E0" w:rsidP="00D462E0">
      <w:pPr>
        <w:pStyle w:val="ListParagraph"/>
        <w:rPr>
          <w:rFonts w:cs="Arial"/>
          <w:color w:val="FF0000"/>
        </w:rPr>
      </w:pPr>
    </w:p>
    <w:p w14:paraId="2F62EB45" w14:textId="34FCF14B" w:rsidR="00321199" w:rsidRPr="00B33A7B" w:rsidRDefault="00E83057" w:rsidP="00812B87">
      <w:pPr>
        <w:pStyle w:val="Style2"/>
        <w:outlineLvl w:val="0"/>
      </w:pPr>
      <w:bookmarkStart w:id="29" w:name="_Toc106173293"/>
      <w:r w:rsidRPr="00B33A7B">
        <w:t xml:space="preserve">Article </w:t>
      </w:r>
      <w:r w:rsidR="00933018" w:rsidRPr="00B33A7B">
        <w:t>4</w:t>
      </w:r>
      <w:r w:rsidR="00F45907" w:rsidRPr="00B33A7B">
        <w:t xml:space="preserve">. </w:t>
      </w:r>
      <w:r w:rsidRPr="00B33A7B">
        <w:t>Application Requirements</w:t>
      </w:r>
      <w:bookmarkEnd w:id="29"/>
      <w:r w:rsidRPr="00B33A7B">
        <w:t xml:space="preserve"> </w:t>
      </w:r>
    </w:p>
    <w:p w14:paraId="7164B14D" w14:textId="77777777" w:rsidR="00F61A47" w:rsidRPr="00B33A7B" w:rsidRDefault="00F61A47">
      <w:pPr>
        <w:rPr>
          <w:rFonts w:cs="Arial"/>
        </w:rPr>
      </w:pPr>
    </w:p>
    <w:p w14:paraId="3EF2C425" w14:textId="3337D35C" w:rsidR="00321199" w:rsidRPr="00B33A7B" w:rsidRDefault="00D71146" w:rsidP="00812B87">
      <w:pPr>
        <w:pStyle w:val="Style2"/>
        <w:outlineLvl w:val="1"/>
        <w:rPr>
          <w:color w:val="auto"/>
        </w:rPr>
      </w:pPr>
      <w:bookmarkStart w:id="30" w:name="_Toc21277644"/>
      <w:bookmarkStart w:id="31" w:name="_Toc106173294"/>
      <w:r w:rsidRPr="00B33A7B">
        <w:rPr>
          <w:color w:val="auto"/>
        </w:rPr>
        <w:t xml:space="preserve">Section </w:t>
      </w:r>
      <w:r w:rsidR="00AC3662" w:rsidRPr="00B33A7B">
        <w:rPr>
          <w:color w:val="auto"/>
        </w:rPr>
        <w:t>400</w:t>
      </w:r>
      <w:r w:rsidRPr="00B33A7B">
        <w:rPr>
          <w:color w:val="auto"/>
        </w:rPr>
        <w:t>.</w:t>
      </w:r>
      <w:r w:rsidR="00321199" w:rsidRPr="00B33A7B">
        <w:rPr>
          <w:color w:val="auto"/>
        </w:rPr>
        <w:t xml:space="preserve"> Application Process</w:t>
      </w:r>
      <w:bookmarkEnd w:id="30"/>
      <w:r w:rsidR="00D61258" w:rsidRPr="00B33A7B">
        <w:rPr>
          <w:color w:val="auto"/>
        </w:rPr>
        <w:t>.</w:t>
      </w:r>
      <w:bookmarkEnd w:id="31"/>
    </w:p>
    <w:p w14:paraId="5316354E" w14:textId="77777777" w:rsidR="007F61FA" w:rsidRPr="00B33A7B" w:rsidRDefault="007F61FA" w:rsidP="00C64CFE">
      <w:pPr>
        <w:pStyle w:val="ListParagraph"/>
        <w:ind w:right="360"/>
        <w:rPr>
          <w:rFonts w:cs="Arial"/>
        </w:rPr>
      </w:pPr>
    </w:p>
    <w:p w14:paraId="3DA854A4" w14:textId="34B1AA6B" w:rsidR="007F61FA" w:rsidRPr="00B33A7B" w:rsidRDefault="00AF24E8" w:rsidP="00993D09">
      <w:pPr>
        <w:pStyle w:val="ListParagraph"/>
        <w:widowControl w:val="0"/>
        <w:numPr>
          <w:ilvl w:val="0"/>
          <w:numId w:val="15"/>
        </w:numPr>
        <w:autoSpaceDE w:val="0"/>
        <w:autoSpaceDN w:val="0"/>
        <w:ind w:left="720" w:right="90" w:hanging="720"/>
        <w:rPr>
          <w:rFonts w:cs="Arial"/>
        </w:rPr>
      </w:pPr>
      <w:r w:rsidRPr="00601F02">
        <w:rPr>
          <w:rFonts w:cs="Arial"/>
          <w:color w:val="C00000"/>
        </w:rPr>
        <w:t xml:space="preserve">The Department shall periodically issue a NOFA that specifies, </w:t>
      </w:r>
      <w:r w:rsidRPr="00601F02">
        <w:rPr>
          <w:color w:val="C00000"/>
        </w:rPr>
        <w:t>among other things, the amount</w:t>
      </w:r>
      <w:r w:rsidRPr="00601F02">
        <w:rPr>
          <w:color w:val="C00000"/>
          <w:spacing w:val="1"/>
        </w:rPr>
        <w:t xml:space="preserve"> </w:t>
      </w:r>
      <w:r w:rsidRPr="00601F02">
        <w:rPr>
          <w:color w:val="C00000"/>
        </w:rPr>
        <w:t>of funds available, summary application requirements, the criteria of rating points, minimum eligibility</w:t>
      </w:r>
      <w:r w:rsidRPr="00601F02">
        <w:rPr>
          <w:color w:val="C00000"/>
          <w:spacing w:val="1"/>
        </w:rPr>
        <w:t xml:space="preserve"> </w:t>
      </w:r>
      <w:r w:rsidRPr="00601F02">
        <w:rPr>
          <w:color w:val="C00000"/>
        </w:rPr>
        <w:t>threshold point scores, the deadline for submittal of applications, the schedule for rating and ranking applications and awarding funds, and the general terms and conditions of funding</w:t>
      </w:r>
      <w:r w:rsidRPr="00601F02">
        <w:rPr>
          <w:color w:val="C00000"/>
          <w:spacing w:val="1"/>
        </w:rPr>
        <w:t xml:space="preserve"> </w:t>
      </w:r>
      <w:r w:rsidRPr="00601F02">
        <w:rPr>
          <w:color w:val="C00000"/>
        </w:rPr>
        <w:t>commitments. A NOFA may declare as ineligible those Project applications for which the</w:t>
      </w:r>
      <w:r w:rsidRPr="00601F02">
        <w:rPr>
          <w:color w:val="C00000"/>
          <w:spacing w:val="1"/>
        </w:rPr>
        <w:t xml:space="preserve"> </w:t>
      </w:r>
      <w:r w:rsidRPr="00601F02">
        <w:rPr>
          <w:color w:val="C00000"/>
        </w:rPr>
        <w:t>Department</w:t>
      </w:r>
      <w:r w:rsidRPr="00601F02">
        <w:rPr>
          <w:color w:val="C00000"/>
          <w:spacing w:val="-5"/>
        </w:rPr>
        <w:t xml:space="preserve"> </w:t>
      </w:r>
      <w:r w:rsidRPr="00601F02">
        <w:rPr>
          <w:color w:val="C00000"/>
        </w:rPr>
        <w:t>has</w:t>
      </w:r>
      <w:r w:rsidRPr="00601F02">
        <w:rPr>
          <w:color w:val="C00000"/>
          <w:spacing w:val="-5"/>
        </w:rPr>
        <w:t xml:space="preserve"> </w:t>
      </w:r>
      <w:r w:rsidRPr="00601F02">
        <w:rPr>
          <w:color w:val="C00000"/>
        </w:rPr>
        <w:t>issued,</w:t>
      </w:r>
      <w:r w:rsidRPr="00601F02">
        <w:rPr>
          <w:color w:val="C00000"/>
          <w:spacing w:val="-3"/>
        </w:rPr>
        <w:t xml:space="preserve"> </w:t>
      </w:r>
      <w:r w:rsidRPr="00601F02">
        <w:rPr>
          <w:color w:val="C00000"/>
        </w:rPr>
        <w:t>or</w:t>
      </w:r>
      <w:r w:rsidRPr="00601F02">
        <w:rPr>
          <w:color w:val="C00000"/>
          <w:spacing w:val="-4"/>
        </w:rPr>
        <w:t xml:space="preserve"> </w:t>
      </w:r>
      <w:r w:rsidRPr="00601F02">
        <w:rPr>
          <w:color w:val="C00000"/>
        </w:rPr>
        <w:t>concurrently</w:t>
      </w:r>
      <w:r w:rsidRPr="00601F02">
        <w:rPr>
          <w:color w:val="C00000"/>
          <w:spacing w:val="-3"/>
        </w:rPr>
        <w:t xml:space="preserve"> </w:t>
      </w:r>
      <w:r w:rsidRPr="00601F02">
        <w:rPr>
          <w:color w:val="C00000"/>
        </w:rPr>
        <w:t>will</w:t>
      </w:r>
      <w:r w:rsidRPr="00601F02">
        <w:rPr>
          <w:color w:val="C00000"/>
          <w:spacing w:val="-3"/>
        </w:rPr>
        <w:t xml:space="preserve"> </w:t>
      </w:r>
      <w:r w:rsidRPr="00601F02">
        <w:rPr>
          <w:color w:val="C00000"/>
        </w:rPr>
        <w:t>issue,</w:t>
      </w:r>
      <w:r w:rsidRPr="00601F02">
        <w:rPr>
          <w:color w:val="C00000"/>
          <w:spacing w:val="-5"/>
        </w:rPr>
        <w:t xml:space="preserve"> </w:t>
      </w:r>
      <w:r w:rsidRPr="00601F02">
        <w:rPr>
          <w:color w:val="C00000"/>
        </w:rPr>
        <w:t>a</w:t>
      </w:r>
      <w:r w:rsidRPr="00601F02">
        <w:rPr>
          <w:color w:val="C00000"/>
          <w:spacing w:val="-2"/>
        </w:rPr>
        <w:t xml:space="preserve"> </w:t>
      </w:r>
      <w:r w:rsidRPr="00601F02">
        <w:rPr>
          <w:color w:val="C00000"/>
        </w:rPr>
        <w:t>special</w:t>
      </w:r>
      <w:r w:rsidRPr="00601F02">
        <w:rPr>
          <w:color w:val="C00000"/>
          <w:spacing w:val="-3"/>
        </w:rPr>
        <w:t xml:space="preserve"> </w:t>
      </w:r>
      <w:r w:rsidRPr="00601F02">
        <w:rPr>
          <w:color w:val="C00000"/>
        </w:rPr>
        <w:t>NOFA</w:t>
      </w:r>
      <w:r w:rsidRPr="00601F02">
        <w:rPr>
          <w:color w:val="C00000"/>
          <w:spacing w:val="-5"/>
        </w:rPr>
        <w:t xml:space="preserve"> </w:t>
      </w:r>
      <w:r w:rsidRPr="00601F02">
        <w:rPr>
          <w:color w:val="C00000"/>
        </w:rPr>
        <w:t>pursuant</w:t>
      </w:r>
      <w:r w:rsidRPr="00601F02">
        <w:rPr>
          <w:color w:val="C00000"/>
          <w:spacing w:val="-3"/>
        </w:rPr>
        <w:t xml:space="preserve"> </w:t>
      </w:r>
      <w:r w:rsidRPr="00601F02">
        <w:rPr>
          <w:color w:val="C00000"/>
        </w:rPr>
        <w:t>to</w:t>
      </w:r>
      <w:r w:rsidRPr="00601F02">
        <w:rPr>
          <w:color w:val="C00000"/>
          <w:spacing w:val="-2"/>
        </w:rPr>
        <w:t xml:space="preserve"> </w:t>
      </w:r>
      <w:r w:rsidRPr="00601F02">
        <w:rPr>
          <w:color w:val="C00000"/>
        </w:rPr>
        <w:t>subsection</w:t>
      </w:r>
      <w:r w:rsidRPr="00601F02">
        <w:rPr>
          <w:color w:val="C00000"/>
          <w:spacing w:val="-4"/>
        </w:rPr>
        <w:t xml:space="preserve"> </w:t>
      </w:r>
      <w:r w:rsidRPr="00601F02">
        <w:rPr>
          <w:color w:val="C00000"/>
        </w:rPr>
        <w:t>(c)(4),</w:t>
      </w:r>
      <w:r w:rsidRPr="00601F02">
        <w:rPr>
          <w:color w:val="C00000"/>
          <w:spacing w:val="-64"/>
        </w:rPr>
        <w:t xml:space="preserve"> </w:t>
      </w:r>
      <w:r w:rsidRPr="00601F02">
        <w:rPr>
          <w:color w:val="C00000"/>
        </w:rPr>
        <w:t xml:space="preserve">below. Applications selected for funding shall be approved at </w:t>
      </w:r>
      <w:r w:rsidRPr="00B33A7B">
        <w:t xml:space="preserve">grant </w:t>
      </w:r>
      <w:r w:rsidRPr="00601F02">
        <w:rPr>
          <w:color w:val="C00000"/>
        </w:rPr>
        <w:t>amounts, terms, and</w:t>
      </w:r>
      <w:r w:rsidRPr="00601F02">
        <w:rPr>
          <w:color w:val="C00000"/>
          <w:spacing w:val="1"/>
        </w:rPr>
        <w:t xml:space="preserve"> </w:t>
      </w:r>
      <w:r w:rsidRPr="00601F02">
        <w:rPr>
          <w:color w:val="C00000"/>
        </w:rPr>
        <w:t>conditions specified by the Department. For each Project selected for funding, the Department</w:t>
      </w:r>
      <w:r w:rsidRPr="00601F02">
        <w:rPr>
          <w:color w:val="C00000"/>
          <w:spacing w:val="1"/>
        </w:rPr>
        <w:t xml:space="preserve"> </w:t>
      </w:r>
      <w:r w:rsidRPr="00601F02">
        <w:rPr>
          <w:color w:val="C00000"/>
        </w:rPr>
        <w:t>shall</w:t>
      </w:r>
      <w:r w:rsidRPr="00601F02">
        <w:rPr>
          <w:color w:val="C00000"/>
          <w:spacing w:val="-1"/>
        </w:rPr>
        <w:t xml:space="preserve"> </w:t>
      </w:r>
      <w:r w:rsidRPr="00601F02">
        <w:rPr>
          <w:color w:val="C00000"/>
        </w:rPr>
        <w:t>issue</w:t>
      </w:r>
      <w:r w:rsidRPr="00601F02">
        <w:rPr>
          <w:color w:val="C00000"/>
          <w:spacing w:val="-1"/>
        </w:rPr>
        <w:t xml:space="preserve"> </w:t>
      </w:r>
      <w:r w:rsidRPr="00601F02">
        <w:rPr>
          <w:color w:val="C00000"/>
        </w:rPr>
        <w:t>an</w:t>
      </w:r>
      <w:r w:rsidRPr="00601F02">
        <w:rPr>
          <w:color w:val="C00000"/>
          <w:spacing w:val="-1"/>
        </w:rPr>
        <w:t xml:space="preserve"> </w:t>
      </w:r>
      <w:r w:rsidRPr="00601F02">
        <w:rPr>
          <w:color w:val="C00000"/>
        </w:rPr>
        <w:t>Award letter</w:t>
      </w:r>
      <w:r w:rsidRPr="00601F02">
        <w:rPr>
          <w:color w:val="C00000"/>
          <w:spacing w:val="-1"/>
        </w:rPr>
        <w:t xml:space="preserve"> </w:t>
      </w:r>
      <w:r w:rsidRPr="00601F02">
        <w:rPr>
          <w:color w:val="C00000"/>
        </w:rPr>
        <w:t>and</w:t>
      </w:r>
      <w:r w:rsidRPr="00601F02">
        <w:rPr>
          <w:color w:val="C00000"/>
          <w:spacing w:val="1"/>
        </w:rPr>
        <w:t xml:space="preserve"> </w:t>
      </w:r>
      <w:r w:rsidR="0064047B" w:rsidRPr="00601F02">
        <w:rPr>
          <w:color w:val="C00000"/>
        </w:rPr>
        <w:t>S</w:t>
      </w:r>
      <w:r w:rsidRPr="00601F02">
        <w:rPr>
          <w:color w:val="C00000"/>
        </w:rPr>
        <w:t>tandard</w:t>
      </w:r>
      <w:r w:rsidRPr="00601F02">
        <w:rPr>
          <w:color w:val="C00000"/>
          <w:spacing w:val="1"/>
        </w:rPr>
        <w:t xml:space="preserve"> </w:t>
      </w:r>
      <w:r w:rsidR="0064047B" w:rsidRPr="00601F02">
        <w:rPr>
          <w:color w:val="C00000"/>
        </w:rPr>
        <w:t>A</w:t>
      </w:r>
      <w:r w:rsidRPr="00601F02">
        <w:rPr>
          <w:color w:val="C00000"/>
        </w:rPr>
        <w:t>greement</w:t>
      </w:r>
      <w:r w:rsidR="00C11667" w:rsidRPr="00601F02">
        <w:rPr>
          <w:rFonts w:cs="Arial"/>
          <w:color w:val="C00000"/>
        </w:rPr>
        <w:t xml:space="preserve">. </w:t>
      </w:r>
    </w:p>
    <w:p w14:paraId="7D3A1786" w14:textId="77777777" w:rsidR="005A07F5" w:rsidRPr="00B33A7B" w:rsidRDefault="005A07F5" w:rsidP="00606067">
      <w:pPr>
        <w:pStyle w:val="ListParagraph"/>
        <w:widowControl w:val="0"/>
        <w:autoSpaceDE w:val="0"/>
        <w:autoSpaceDN w:val="0"/>
        <w:ind w:right="90"/>
        <w:rPr>
          <w:rFonts w:cs="Arial"/>
        </w:rPr>
      </w:pPr>
    </w:p>
    <w:p w14:paraId="4FF5B4B8" w14:textId="77777777" w:rsidR="00AF24E8" w:rsidRPr="00601F02" w:rsidRDefault="00606067" w:rsidP="00993D09">
      <w:pPr>
        <w:pStyle w:val="ListParagraph"/>
        <w:widowControl w:val="0"/>
        <w:numPr>
          <w:ilvl w:val="0"/>
          <w:numId w:val="15"/>
        </w:numPr>
        <w:autoSpaceDE w:val="0"/>
        <w:autoSpaceDN w:val="0"/>
        <w:ind w:left="720" w:right="90" w:hanging="720"/>
        <w:rPr>
          <w:rFonts w:cs="Arial"/>
          <w:color w:val="C00000"/>
        </w:rPr>
      </w:pPr>
      <w:r w:rsidRPr="00601F02">
        <w:rPr>
          <w:rFonts w:cs="Arial"/>
          <w:color w:val="C00000"/>
        </w:rPr>
        <w:t xml:space="preserve">Substituting previously awarded Department funds is prohibited, except as provided </w:t>
      </w:r>
      <w:r w:rsidR="00AF24E8" w:rsidRPr="00601F02">
        <w:rPr>
          <w:rFonts w:cs="Arial"/>
          <w:color w:val="C00000"/>
        </w:rPr>
        <w:t>below</w:t>
      </w:r>
      <w:r w:rsidRPr="00601F02">
        <w:rPr>
          <w:rFonts w:cs="Arial"/>
          <w:color w:val="C00000"/>
        </w:rPr>
        <w:t xml:space="preserve">. </w:t>
      </w:r>
    </w:p>
    <w:p w14:paraId="2022EA03" w14:textId="77777777" w:rsidR="00AF24E8" w:rsidRPr="00B33A7B" w:rsidRDefault="00AF24E8" w:rsidP="00AF24E8">
      <w:pPr>
        <w:pStyle w:val="ListParagraph"/>
        <w:rPr>
          <w:rFonts w:cs="Arial"/>
          <w:color w:val="FF0000"/>
        </w:rPr>
      </w:pPr>
    </w:p>
    <w:p w14:paraId="1F3D59F7" w14:textId="7FDD0933" w:rsidR="00606067" w:rsidRPr="00601F02" w:rsidRDefault="00606067" w:rsidP="00993D09">
      <w:pPr>
        <w:pStyle w:val="ListParagraph"/>
        <w:numPr>
          <w:ilvl w:val="0"/>
          <w:numId w:val="16"/>
        </w:numPr>
        <w:ind w:right="360" w:hanging="720"/>
        <w:rPr>
          <w:rFonts w:cs="Arial"/>
          <w:color w:val="C00000"/>
        </w:rPr>
      </w:pPr>
      <w:r w:rsidRPr="00601F02">
        <w:rPr>
          <w:rFonts w:cs="Arial"/>
          <w:color w:val="C00000"/>
        </w:rPr>
        <w:t xml:space="preserve">Applicants </w:t>
      </w:r>
      <w:r w:rsidR="00294450" w:rsidRPr="00601F02">
        <w:rPr>
          <w:color w:val="C00000"/>
        </w:rPr>
        <w:t>seeking to substitute previously awarded funds must request withdrawal of their prior Award in writing and provide reasonable justification that the substitution is necessary to ensure</w:t>
      </w:r>
      <w:r w:rsidR="00294450" w:rsidRPr="00601F02">
        <w:rPr>
          <w:color w:val="C00000"/>
          <w:spacing w:val="1"/>
        </w:rPr>
        <w:t xml:space="preserve"> </w:t>
      </w:r>
      <w:r w:rsidR="00294450" w:rsidRPr="00601F02">
        <w:rPr>
          <w:color w:val="C00000"/>
        </w:rPr>
        <w:t xml:space="preserve">project feasibility. Substitutions based solely upon </w:t>
      </w:r>
      <w:r w:rsidR="00294450" w:rsidRPr="00B33A7B">
        <w:t xml:space="preserve">Applicants’ </w:t>
      </w:r>
      <w:r w:rsidR="00294450" w:rsidRPr="00601F02">
        <w:rPr>
          <w:color w:val="C00000"/>
        </w:rPr>
        <w:t>preference or convenience will not</w:t>
      </w:r>
      <w:r w:rsidR="00294450" w:rsidRPr="00601F02">
        <w:rPr>
          <w:color w:val="C00000"/>
          <w:spacing w:val="1"/>
        </w:rPr>
        <w:t xml:space="preserve"> </w:t>
      </w:r>
      <w:r w:rsidR="00294450" w:rsidRPr="00601F02">
        <w:rPr>
          <w:color w:val="C00000"/>
        </w:rPr>
        <w:t xml:space="preserve">be permitted. Department approval of the withdrawal is required prior to the application due date without assurance of receiving a new Award. </w:t>
      </w:r>
      <w:r w:rsidR="00294450" w:rsidRPr="00601F02">
        <w:rPr>
          <w:rFonts w:cs="Arial"/>
          <w:color w:val="C00000"/>
        </w:rPr>
        <w:t>This prohibition applies to funds awarded under any Department program, including a prior IIG Award.</w:t>
      </w:r>
    </w:p>
    <w:p w14:paraId="0FB10EAF" w14:textId="77777777" w:rsidR="00606067" w:rsidRPr="00601F02" w:rsidRDefault="00606067" w:rsidP="00606067">
      <w:pPr>
        <w:pStyle w:val="ListParagraph"/>
        <w:ind w:hanging="720"/>
        <w:rPr>
          <w:rFonts w:cs="Arial"/>
          <w:color w:val="C00000"/>
        </w:rPr>
      </w:pPr>
    </w:p>
    <w:p w14:paraId="6EB13753" w14:textId="541A60C2" w:rsidR="00606067" w:rsidRPr="00601F02" w:rsidRDefault="00606067" w:rsidP="00993D09">
      <w:pPr>
        <w:pStyle w:val="ListParagraph"/>
        <w:widowControl w:val="0"/>
        <w:numPr>
          <w:ilvl w:val="0"/>
          <w:numId w:val="15"/>
        </w:numPr>
        <w:autoSpaceDE w:val="0"/>
        <w:autoSpaceDN w:val="0"/>
        <w:ind w:left="720" w:right="90" w:hanging="720"/>
        <w:rPr>
          <w:rFonts w:cs="Arial"/>
          <w:color w:val="C00000"/>
        </w:rPr>
      </w:pPr>
      <w:r w:rsidRPr="00601F02">
        <w:rPr>
          <w:rFonts w:cs="Arial"/>
          <w:color w:val="C00000"/>
        </w:rPr>
        <w:t xml:space="preserve">In order to </w:t>
      </w:r>
      <w:r w:rsidR="006E64DD" w:rsidRPr="00601F02">
        <w:rPr>
          <w:rFonts w:cs="Arial"/>
          <w:color w:val="C00000"/>
        </w:rPr>
        <w:t xml:space="preserve">implement </w:t>
      </w:r>
      <w:r w:rsidR="006E64DD" w:rsidRPr="00601F02">
        <w:rPr>
          <w:color w:val="C00000"/>
        </w:rPr>
        <w:t xml:space="preserve">goals and purposes of the Program, the Department may adopt measures to direct funding </w:t>
      </w:r>
      <w:r w:rsidR="004E29DE" w:rsidRPr="00601F02">
        <w:rPr>
          <w:color w:val="C00000"/>
        </w:rPr>
        <w:t>A</w:t>
      </w:r>
      <w:r w:rsidR="006E64DD" w:rsidRPr="00601F02">
        <w:rPr>
          <w:color w:val="C00000"/>
        </w:rPr>
        <w:t xml:space="preserve">wards to designated </w:t>
      </w:r>
      <w:r w:rsidR="008F2B0C" w:rsidRPr="00601F02">
        <w:rPr>
          <w:color w:val="C00000"/>
        </w:rPr>
        <w:t>p</w:t>
      </w:r>
      <w:r w:rsidR="006E64DD" w:rsidRPr="00601F02">
        <w:rPr>
          <w:color w:val="C00000"/>
        </w:rPr>
        <w:t>roject types including, but not limited to, Rural Area</w:t>
      </w:r>
      <w:r w:rsidR="006E64DD" w:rsidRPr="00601F02">
        <w:rPr>
          <w:color w:val="C00000"/>
          <w:spacing w:val="1"/>
        </w:rPr>
        <w:t xml:space="preserve"> </w:t>
      </w:r>
      <w:r w:rsidR="008F2B0C" w:rsidRPr="00601F02">
        <w:rPr>
          <w:color w:val="C00000"/>
        </w:rPr>
        <w:t>p</w:t>
      </w:r>
      <w:r w:rsidR="006E64DD" w:rsidRPr="00601F02">
        <w:rPr>
          <w:color w:val="C00000"/>
        </w:rPr>
        <w:t xml:space="preserve">rojects, </w:t>
      </w:r>
      <w:r w:rsidR="008F2B0C" w:rsidRPr="00601F02">
        <w:rPr>
          <w:color w:val="C00000"/>
        </w:rPr>
        <w:t>p</w:t>
      </w:r>
      <w:r w:rsidR="006E64DD" w:rsidRPr="00601F02">
        <w:rPr>
          <w:color w:val="C00000"/>
        </w:rPr>
        <w:t>rojects located in areas needing additional funding to achieve a reasonable</w:t>
      </w:r>
      <w:r w:rsidR="006E64DD" w:rsidRPr="00601F02">
        <w:rPr>
          <w:color w:val="C00000"/>
          <w:spacing w:val="1"/>
        </w:rPr>
        <w:t xml:space="preserve"> </w:t>
      </w:r>
      <w:r w:rsidR="006E64DD" w:rsidRPr="00601F02">
        <w:rPr>
          <w:color w:val="C00000"/>
        </w:rPr>
        <w:t xml:space="preserve">geographic distribution of Program funds, </w:t>
      </w:r>
      <w:r w:rsidR="00184E96" w:rsidRPr="00601F02">
        <w:rPr>
          <w:color w:val="C00000"/>
        </w:rPr>
        <w:t>p</w:t>
      </w:r>
      <w:r w:rsidR="006E64DD" w:rsidRPr="00601F02">
        <w:rPr>
          <w:color w:val="C00000"/>
        </w:rPr>
        <w:t>rojects preserving continued affordability, and</w:t>
      </w:r>
      <w:r w:rsidR="006E64DD" w:rsidRPr="00601F02">
        <w:rPr>
          <w:color w:val="C00000"/>
          <w:spacing w:val="1"/>
        </w:rPr>
        <w:t xml:space="preserve"> </w:t>
      </w:r>
      <w:r w:rsidR="00184E96" w:rsidRPr="00601F02">
        <w:rPr>
          <w:color w:val="C00000"/>
          <w:spacing w:val="-1"/>
        </w:rPr>
        <w:t>p</w:t>
      </w:r>
      <w:r w:rsidR="006E64DD" w:rsidRPr="00601F02">
        <w:rPr>
          <w:color w:val="C00000"/>
          <w:spacing w:val="-1"/>
        </w:rPr>
        <w:t xml:space="preserve">rojects with specified funding characteristics. </w:t>
      </w:r>
      <w:r w:rsidR="006E64DD" w:rsidRPr="00601F02">
        <w:rPr>
          <w:color w:val="C00000"/>
        </w:rPr>
        <w:t>These measures may include, but are not limited</w:t>
      </w:r>
      <w:r w:rsidR="006E64DD" w:rsidRPr="00601F02">
        <w:rPr>
          <w:color w:val="C00000"/>
          <w:spacing w:val="1"/>
        </w:rPr>
        <w:t xml:space="preserve"> </w:t>
      </w:r>
      <w:r w:rsidR="006E64DD" w:rsidRPr="00601F02">
        <w:rPr>
          <w:color w:val="C00000"/>
        </w:rPr>
        <w:t>to:</w:t>
      </w:r>
    </w:p>
    <w:p w14:paraId="1FA45C26" w14:textId="77777777" w:rsidR="00606067" w:rsidRPr="00601F02" w:rsidRDefault="00606067" w:rsidP="00606067">
      <w:pPr>
        <w:pStyle w:val="BodyText"/>
        <w:spacing w:after="0"/>
        <w:ind w:left="810" w:hanging="720"/>
        <w:rPr>
          <w:rFonts w:cs="Arial"/>
          <w:color w:val="C00000"/>
        </w:rPr>
      </w:pPr>
    </w:p>
    <w:p w14:paraId="7F6FCDFB" w14:textId="77777777" w:rsidR="00606067" w:rsidRPr="00601F02" w:rsidRDefault="00606067" w:rsidP="00993D09">
      <w:pPr>
        <w:pStyle w:val="ListParagraph"/>
        <w:numPr>
          <w:ilvl w:val="0"/>
          <w:numId w:val="74"/>
        </w:numPr>
        <w:ind w:right="360" w:hanging="720"/>
        <w:rPr>
          <w:rFonts w:cs="Arial"/>
          <w:color w:val="C00000"/>
        </w:rPr>
      </w:pPr>
      <w:r w:rsidRPr="00601F02">
        <w:rPr>
          <w:rFonts w:cs="Arial"/>
          <w:color w:val="C00000"/>
        </w:rPr>
        <w:t>Issuing a special NOFA for designated project types.</w:t>
      </w:r>
    </w:p>
    <w:p w14:paraId="7F3E0E84" w14:textId="77777777" w:rsidR="00606067" w:rsidRPr="00B33A7B" w:rsidRDefault="00606067" w:rsidP="00606067">
      <w:pPr>
        <w:pStyle w:val="ListParagraph"/>
        <w:ind w:left="1440" w:right="360"/>
        <w:rPr>
          <w:rFonts w:cs="Arial"/>
          <w:color w:val="FF0000"/>
        </w:rPr>
      </w:pPr>
    </w:p>
    <w:p w14:paraId="0ABFD35F" w14:textId="77777777" w:rsidR="00606067" w:rsidRPr="00E34389" w:rsidRDefault="00606067" w:rsidP="00993D09">
      <w:pPr>
        <w:pStyle w:val="ListParagraph"/>
        <w:numPr>
          <w:ilvl w:val="0"/>
          <w:numId w:val="74"/>
        </w:numPr>
        <w:ind w:right="360" w:hanging="720"/>
        <w:rPr>
          <w:rFonts w:cs="Arial"/>
          <w:color w:val="C00000"/>
        </w:rPr>
      </w:pPr>
      <w:r w:rsidRPr="00E34389">
        <w:rPr>
          <w:rFonts w:cs="Arial"/>
          <w:color w:val="C00000"/>
        </w:rPr>
        <w:lastRenderedPageBreak/>
        <w:t>Awarding bonus points within a particular NOFA to designated project types.</w:t>
      </w:r>
    </w:p>
    <w:p w14:paraId="7C1C88E6" w14:textId="77777777" w:rsidR="00606067" w:rsidRPr="00E34389" w:rsidRDefault="00606067" w:rsidP="00606067">
      <w:pPr>
        <w:pStyle w:val="ListParagraph"/>
        <w:ind w:left="1440" w:right="360"/>
        <w:rPr>
          <w:rFonts w:cs="Arial"/>
          <w:color w:val="C00000"/>
        </w:rPr>
      </w:pPr>
    </w:p>
    <w:p w14:paraId="6DBCD1E5" w14:textId="77777777" w:rsidR="00606067" w:rsidRPr="00E34389" w:rsidRDefault="00606067" w:rsidP="00993D09">
      <w:pPr>
        <w:pStyle w:val="ListParagraph"/>
        <w:numPr>
          <w:ilvl w:val="0"/>
          <w:numId w:val="74"/>
        </w:numPr>
        <w:ind w:right="360" w:hanging="720"/>
        <w:rPr>
          <w:rFonts w:cs="Arial"/>
          <w:color w:val="C00000"/>
        </w:rPr>
      </w:pPr>
      <w:r w:rsidRPr="00E34389">
        <w:rPr>
          <w:rFonts w:cs="Arial"/>
          <w:color w:val="C00000"/>
        </w:rPr>
        <w:t>Reserving a portion of funds in the NOFA for designated project types.</w:t>
      </w:r>
    </w:p>
    <w:p w14:paraId="7FCD1F38" w14:textId="77777777" w:rsidR="00606067" w:rsidRPr="00E34389" w:rsidRDefault="00606067" w:rsidP="00606067">
      <w:pPr>
        <w:pStyle w:val="ListParagraph"/>
        <w:ind w:left="1440" w:right="360"/>
        <w:rPr>
          <w:rFonts w:cs="Arial"/>
          <w:color w:val="C00000"/>
        </w:rPr>
      </w:pPr>
    </w:p>
    <w:p w14:paraId="71A3E640" w14:textId="3B995CBD" w:rsidR="00150C1D" w:rsidRPr="00E34389" w:rsidRDefault="551288EC" w:rsidP="00993D09">
      <w:pPr>
        <w:pStyle w:val="ListParagraph"/>
        <w:numPr>
          <w:ilvl w:val="0"/>
          <w:numId w:val="74"/>
        </w:numPr>
        <w:ind w:right="360" w:hanging="720"/>
        <w:rPr>
          <w:rFonts w:cs="Arial"/>
          <w:color w:val="C00000"/>
        </w:rPr>
      </w:pPr>
      <w:r w:rsidRPr="00E34389">
        <w:rPr>
          <w:rFonts w:cs="Arial"/>
          <w:color w:val="C00000"/>
        </w:rPr>
        <w:t xml:space="preserve">Notwithstanding </w:t>
      </w:r>
      <w:r w:rsidR="526A79EA" w:rsidRPr="00E34389">
        <w:rPr>
          <w:rFonts w:cs="Arial"/>
          <w:color w:val="C00000"/>
        </w:rPr>
        <w:t xml:space="preserve">anything in these </w:t>
      </w:r>
      <w:r w:rsidR="01101A91" w:rsidRPr="00E34389">
        <w:rPr>
          <w:rFonts w:cs="Arial"/>
          <w:color w:val="C00000"/>
        </w:rPr>
        <w:t>G</w:t>
      </w:r>
      <w:r w:rsidR="526A79EA" w:rsidRPr="00E34389">
        <w:rPr>
          <w:rFonts w:cs="Arial"/>
          <w:color w:val="C00000"/>
        </w:rPr>
        <w:t>uidelines to the contrary, a special NOFA issued</w:t>
      </w:r>
      <w:r w:rsidR="526A79EA" w:rsidRPr="00E34389">
        <w:rPr>
          <w:rFonts w:cs="Arial"/>
          <w:color w:val="C00000"/>
          <w:spacing w:val="1"/>
        </w:rPr>
        <w:t xml:space="preserve"> </w:t>
      </w:r>
      <w:r w:rsidR="526A79EA" w:rsidRPr="00E34389">
        <w:rPr>
          <w:rFonts w:cs="Arial"/>
          <w:color w:val="C00000"/>
        </w:rPr>
        <w:t xml:space="preserve">pursuant to this subsection may establish an </w:t>
      </w:r>
      <w:r w:rsidR="00BC7696" w:rsidRPr="00E34389">
        <w:rPr>
          <w:rFonts w:cs="Arial"/>
          <w:color w:val="C00000"/>
        </w:rPr>
        <w:t>Over</w:t>
      </w:r>
      <w:r w:rsidR="526A79EA" w:rsidRPr="00E34389">
        <w:rPr>
          <w:rFonts w:cs="Arial"/>
          <w:color w:val="C00000"/>
        </w:rPr>
        <w:t>-the-</w:t>
      </w:r>
      <w:r w:rsidR="00BC7696" w:rsidRPr="00E34389">
        <w:rPr>
          <w:rFonts w:cs="Arial"/>
          <w:color w:val="C00000"/>
        </w:rPr>
        <w:t xml:space="preserve">Counter </w:t>
      </w:r>
      <w:r w:rsidR="526A79EA" w:rsidRPr="00E34389">
        <w:rPr>
          <w:rFonts w:cs="Arial"/>
          <w:color w:val="C00000"/>
        </w:rPr>
        <w:t>application process</w:t>
      </w:r>
      <w:r w:rsidR="1E048ECD" w:rsidRPr="00E34389">
        <w:rPr>
          <w:rFonts w:cs="Arial"/>
          <w:color w:val="C00000"/>
        </w:rPr>
        <w:t xml:space="preserve"> </w:t>
      </w:r>
      <w:r w:rsidR="1E048ECD" w:rsidRPr="00B33A7B">
        <w:rPr>
          <w:rFonts w:cs="Arial"/>
        </w:rPr>
        <w:t xml:space="preserve">for </w:t>
      </w:r>
      <w:r w:rsidR="582FD115" w:rsidRPr="00B33A7B">
        <w:rPr>
          <w:rFonts w:cs="Arial"/>
        </w:rPr>
        <w:t>Small Jurisdiction</w:t>
      </w:r>
      <w:r w:rsidR="20726D5E" w:rsidRPr="00B33A7B">
        <w:rPr>
          <w:rFonts w:cs="Arial"/>
        </w:rPr>
        <w:t xml:space="preserve"> </w:t>
      </w:r>
      <w:r w:rsidR="00B56032" w:rsidRPr="00B33A7B">
        <w:rPr>
          <w:rFonts w:cs="Arial"/>
        </w:rPr>
        <w:t>p</w:t>
      </w:r>
      <w:r w:rsidR="20726D5E" w:rsidRPr="00B33A7B">
        <w:rPr>
          <w:rFonts w:cs="Arial"/>
        </w:rPr>
        <w:t>rojects</w:t>
      </w:r>
      <w:r w:rsidR="526A79EA" w:rsidRPr="00B33A7B">
        <w:rPr>
          <w:rFonts w:cs="Arial"/>
        </w:rPr>
        <w:t>,</w:t>
      </w:r>
      <w:r w:rsidR="526A79EA" w:rsidRPr="00B33A7B">
        <w:rPr>
          <w:rFonts w:cs="Arial"/>
          <w:spacing w:val="1"/>
        </w:rPr>
        <w:t xml:space="preserve"> </w:t>
      </w:r>
      <w:r w:rsidR="526A79EA" w:rsidRPr="00E34389">
        <w:rPr>
          <w:rFonts w:cs="Arial"/>
          <w:color w:val="C00000"/>
        </w:rPr>
        <w:t>meaning the Department continuously accepts and rates applications according to</w:t>
      </w:r>
      <w:r w:rsidR="526A79EA" w:rsidRPr="00E34389">
        <w:rPr>
          <w:rFonts w:cs="Arial"/>
          <w:color w:val="C00000"/>
          <w:spacing w:val="1"/>
        </w:rPr>
        <w:t xml:space="preserve"> </w:t>
      </w:r>
      <w:r w:rsidR="526A79EA" w:rsidRPr="00E34389">
        <w:rPr>
          <w:rFonts w:cs="Arial"/>
          <w:color w:val="C00000"/>
        </w:rPr>
        <w:t>minimum threshold criteria published in a NOFA for the process, and makes Awards to</w:t>
      </w:r>
      <w:r w:rsidR="526A79EA" w:rsidRPr="00E34389">
        <w:rPr>
          <w:rFonts w:cs="Arial"/>
          <w:color w:val="C00000"/>
          <w:spacing w:val="1"/>
        </w:rPr>
        <w:t xml:space="preserve"> applications</w:t>
      </w:r>
      <w:r w:rsidR="526A79EA" w:rsidRPr="00E34389">
        <w:rPr>
          <w:rFonts w:cs="Arial"/>
          <w:color w:val="C00000"/>
        </w:rPr>
        <w:t xml:space="preserve"> that meet or exceed these criteria until the funding available for the process is exhausted. At a minimum, a special NOFA shall include a description of the application process</w:t>
      </w:r>
      <w:r w:rsidR="526A79EA" w:rsidRPr="00E34389">
        <w:rPr>
          <w:rFonts w:cs="Arial"/>
          <w:color w:val="C00000"/>
          <w:spacing w:val="-4"/>
        </w:rPr>
        <w:t xml:space="preserve"> </w:t>
      </w:r>
      <w:r w:rsidR="526A79EA" w:rsidRPr="00E34389">
        <w:rPr>
          <w:rFonts w:cs="Arial"/>
          <w:color w:val="C00000"/>
        </w:rPr>
        <w:t>and</w:t>
      </w:r>
      <w:r w:rsidR="526A79EA" w:rsidRPr="00E34389">
        <w:rPr>
          <w:rFonts w:cs="Arial"/>
          <w:color w:val="C00000"/>
          <w:spacing w:val="-4"/>
        </w:rPr>
        <w:t xml:space="preserve"> </w:t>
      </w:r>
      <w:r w:rsidR="526A79EA" w:rsidRPr="00E34389">
        <w:rPr>
          <w:rFonts w:cs="Arial"/>
          <w:color w:val="C00000"/>
        </w:rPr>
        <w:t>funding</w:t>
      </w:r>
      <w:r w:rsidR="526A79EA" w:rsidRPr="00E34389">
        <w:rPr>
          <w:rFonts w:cs="Arial"/>
          <w:color w:val="C00000"/>
          <w:spacing w:val="-5"/>
        </w:rPr>
        <w:t xml:space="preserve"> </w:t>
      </w:r>
      <w:r w:rsidR="526A79EA" w:rsidRPr="00E34389">
        <w:rPr>
          <w:rFonts w:cs="Arial"/>
          <w:color w:val="C00000"/>
        </w:rPr>
        <w:t>conditions,</w:t>
      </w:r>
      <w:r w:rsidR="526A79EA" w:rsidRPr="00E34389">
        <w:rPr>
          <w:rFonts w:cs="Arial"/>
          <w:color w:val="C00000"/>
          <w:spacing w:val="-2"/>
        </w:rPr>
        <w:t xml:space="preserve"> </w:t>
      </w:r>
      <w:r w:rsidR="526A79EA" w:rsidRPr="00E34389">
        <w:rPr>
          <w:rFonts w:cs="Arial"/>
          <w:color w:val="C00000"/>
        </w:rPr>
        <w:t>shall</w:t>
      </w:r>
      <w:r w:rsidR="526A79EA" w:rsidRPr="00E34389">
        <w:rPr>
          <w:rFonts w:cs="Arial"/>
          <w:color w:val="C00000"/>
          <w:spacing w:val="-3"/>
        </w:rPr>
        <w:t xml:space="preserve"> </w:t>
      </w:r>
      <w:r w:rsidR="526A79EA" w:rsidRPr="00E34389">
        <w:rPr>
          <w:rFonts w:cs="Arial"/>
          <w:color w:val="C00000"/>
        </w:rPr>
        <w:t>require</w:t>
      </w:r>
      <w:r w:rsidR="526A79EA" w:rsidRPr="00E34389">
        <w:rPr>
          <w:rFonts w:cs="Arial"/>
          <w:color w:val="C00000"/>
          <w:spacing w:val="-5"/>
        </w:rPr>
        <w:t xml:space="preserve"> </w:t>
      </w:r>
      <w:r w:rsidR="526A79EA" w:rsidRPr="00E34389">
        <w:rPr>
          <w:rFonts w:cs="Arial"/>
          <w:color w:val="C00000"/>
        </w:rPr>
        <w:t>compliance</w:t>
      </w:r>
      <w:r w:rsidR="526A79EA" w:rsidRPr="00E34389">
        <w:rPr>
          <w:rFonts w:cs="Arial"/>
          <w:color w:val="C00000"/>
          <w:spacing w:val="-4"/>
        </w:rPr>
        <w:t xml:space="preserve"> </w:t>
      </w:r>
      <w:r w:rsidR="526A79EA" w:rsidRPr="00E34389">
        <w:rPr>
          <w:rFonts w:cs="Arial"/>
          <w:color w:val="C00000"/>
        </w:rPr>
        <w:t>with</w:t>
      </w:r>
      <w:r w:rsidR="526A79EA" w:rsidRPr="00E34389">
        <w:rPr>
          <w:rFonts w:cs="Arial"/>
          <w:color w:val="C00000"/>
          <w:spacing w:val="-2"/>
        </w:rPr>
        <w:t xml:space="preserve"> </w:t>
      </w:r>
      <w:r w:rsidR="526A79EA" w:rsidRPr="00E34389">
        <w:rPr>
          <w:rFonts w:cs="Arial"/>
          <w:color w:val="C00000"/>
        </w:rPr>
        <w:t>Section</w:t>
      </w:r>
      <w:r w:rsidR="526A79EA" w:rsidRPr="00E34389">
        <w:rPr>
          <w:rFonts w:cs="Arial"/>
          <w:color w:val="C00000"/>
          <w:spacing w:val="-3"/>
        </w:rPr>
        <w:t xml:space="preserve"> </w:t>
      </w:r>
      <w:r w:rsidR="526A79EA" w:rsidRPr="00E34389">
        <w:rPr>
          <w:rFonts w:cs="Arial"/>
          <w:color w:val="C00000"/>
        </w:rPr>
        <w:t>202,</w:t>
      </w:r>
      <w:r w:rsidR="526A79EA" w:rsidRPr="00E34389">
        <w:rPr>
          <w:rFonts w:cs="Arial"/>
          <w:color w:val="C00000"/>
          <w:spacing w:val="-3"/>
        </w:rPr>
        <w:t xml:space="preserve"> </w:t>
      </w:r>
      <w:r w:rsidR="526A79EA" w:rsidRPr="00E34389">
        <w:rPr>
          <w:rFonts w:cs="Arial"/>
          <w:color w:val="C00000"/>
        </w:rPr>
        <w:t>and shall establish minimum funding threshold criteria based on the rating criteria set forth in Section</w:t>
      </w:r>
      <w:r w:rsidR="526A79EA" w:rsidRPr="00E34389">
        <w:rPr>
          <w:rFonts w:cs="Arial"/>
          <w:color w:val="C00000"/>
          <w:spacing w:val="-2"/>
        </w:rPr>
        <w:t xml:space="preserve"> </w:t>
      </w:r>
      <w:r w:rsidR="526A79EA" w:rsidRPr="00E34389">
        <w:rPr>
          <w:rFonts w:cs="Arial"/>
          <w:color w:val="C00000"/>
        </w:rPr>
        <w:t>402; and</w:t>
      </w:r>
    </w:p>
    <w:p w14:paraId="08FCE89C" w14:textId="2D3611DF" w:rsidR="00606067" w:rsidRPr="00E34389" w:rsidRDefault="00606067" w:rsidP="00150C1D">
      <w:pPr>
        <w:pStyle w:val="ListParagraph"/>
        <w:ind w:left="1440" w:right="360"/>
        <w:rPr>
          <w:rFonts w:cs="Arial"/>
          <w:color w:val="C00000"/>
        </w:rPr>
      </w:pPr>
    </w:p>
    <w:p w14:paraId="6974510E" w14:textId="0BD3BE5F" w:rsidR="00606067" w:rsidRPr="00B33A7B" w:rsidRDefault="00606067" w:rsidP="00993D09">
      <w:pPr>
        <w:pStyle w:val="ListParagraph"/>
        <w:widowControl w:val="0"/>
        <w:numPr>
          <w:ilvl w:val="0"/>
          <w:numId w:val="15"/>
        </w:numPr>
        <w:autoSpaceDE w:val="0"/>
        <w:autoSpaceDN w:val="0"/>
        <w:ind w:left="720" w:right="90" w:hanging="720"/>
        <w:rPr>
          <w:rFonts w:cs="Arial"/>
          <w:color w:val="FF0000"/>
        </w:rPr>
      </w:pPr>
      <w:r w:rsidRPr="00E34389">
        <w:rPr>
          <w:rFonts w:cs="Arial"/>
          <w:color w:val="C00000"/>
        </w:rPr>
        <w:t>Applications selected for funding shall be approved subject to conditions specified by the Department</w:t>
      </w:r>
      <w:r w:rsidR="00334C64" w:rsidRPr="00E34389">
        <w:rPr>
          <w:rFonts w:cs="Arial"/>
          <w:color w:val="C00000"/>
        </w:rPr>
        <w:t xml:space="preserve"> </w:t>
      </w:r>
      <w:r w:rsidR="00334C64" w:rsidRPr="00B33A7B">
        <w:rPr>
          <w:rFonts w:cs="Arial"/>
        </w:rPr>
        <w:t>in accordance with the NOFA and applicable law</w:t>
      </w:r>
      <w:r w:rsidRPr="00B33A7B">
        <w:rPr>
          <w:rFonts w:cs="Arial"/>
        </w:rPr>
        <w:t>.</w:t>
      </w:r>
    </w:p>
    <w:p w14:paraId="2E56829E" w14:textId="77777777" w:rsidR="00606067" w:rsidRPr="00B33A7B" w:rsidRDefault="00606067" w:rsidP="00606067">
      <w:pPr>
        <w:pStyle w:val="ListParagraph"/>
        <w:widowControl w:val="0"/>
        <w:autoSpaceDE w:val="0"/>
        <w:autoSpaceDN w:val="0"/>
        <w:ind w:right="90"/>
        <w:rPr>
          <w:rFonts w:cs="Arial"/>
          <w:color w:val="FF0000"/>
        </w:rPr>
      </w:pPr>
    </w:p>
    <w:p w14:paraId="47DDBCE4" w14:textId="77777777" w:rsidR="00606067" w:rsidRPr="00E34389" w:rsidRDefault="00606067" w:rsidP="00993D09">
      <w:pPr>
        <w:pStyle w:val="ListParagraph"/>
        <w:widowControl w:val="0"/>
        <w:numPr>
          <w:ilvl w:val="0"/>
          <w:numId w:val="15"/>
        </w:numPr>
        <w:autoSpaceDE w:val="0"/>
        <w:autoSpaceDN w:val="0"/>
        <w:ind w:left="720" w:right="90" w:hanging="720"/>
        <w:rPr>
          <w:rFonts w:cs="Arial"/>
          <w:color w:val="C00000"/>
        </w:rPr>
      </w:pPr>
      <w:r w:rsidRPr="00E34389">
        <w:rPr>
          <w:rFonts w:cs="Arial"/>
          <w:color w:val="C00000"/>
        </w:rPr>
        <w:t>The Department may adjust these procedures as follows:</w:t>
      </w:r>
    </w:p>
    <w:p w14:paraId="20A45A56" w14:textId="77777777" w:rsidR="00606067" w:rsidRPr="00B33A7B" w:rsidRDefault="00606067" w:rsidP="00606067">
      <w:pPr>
        <w:widowControl w:val="0"/>
        <w:tabs>
          <w:tab w:val="left" w:pos="1440"/>
        </w:tabs>
        <w:autoSpaceDE w:val="0"/>
        <w:autoSpaceDN w:val="0"/>
        <w:rPr>
          <w:rFonts w:cs="Arial"/>
          <w:color w:val="FF0000"/>
        </w:rPr>
      </w:pPr>
    </w:p>
    <w:p w14:paraId="6CCD0C1D" w14:textId="50F5A03E" w:rsidR="003C25B6" w:rsidRPr="00E34389" w:rsidRDefault="00817279" w:rsidP="00993D09">
      <w:pPr>
        <w:pStyle w:val="ListParagraph"/>
        <w:numPr>
          <w:ilvl w:val="0"/>
          <w:numId w:val="53"/>
        </w:numPr>
        <w:ind w:right="360" w:hanging="720"/>
        <w:rPr>
          <w:rFonts w:cs="Arial"/>
          <w:color w:val="C00000"/>
        </w:rPr>
      </w:pPr>
      <w:r w:rsidRPr="00B33A7B">
        <w:rPr>
          <w:rFonts w:cs="Arial"/>
        </w:rPr>
        <w:t>In a funding round where</w:t>
      </w:r>
      <w:r w:rsidR="009A6204" w:rsidRPr="00B33A7B">
        <w:rPr>
          <w:rFonts w:cs="Arial"/>
        </w:rPr>
        <w:t xml:space="preserve"> the total</w:t>
      </w:r>
      <w:r w:rsidRPr="00B33A7B">
        <w:rPr>
          <w:rFonts w:cs="Arial"/>
        </w:rPr>
        <w:t xml:space="preserve"> </w:t>
      </w:r>
      <w:r w:rsidR="009A6204" w:rsidRPr="00B33A7B">
        <w:rPr>
          <w:rFonts w:cs="Arial"/>
        </w:rPr>
        <w:t xml:space="preserve">funding requested in the </w:t>
      </w:r>
      <w:r w:rsidRPr="00B33A7B">
        <w:rPr>
          <w:rFonts w:cs="Arial"/>
        </w:rPr>
        <w:t>applications exceed</w:t>
      </w:r>
      <w:r w:rsidR="009A6204" w:rsidRPr="00B33A7B">
        <w:rPr>
          <w:rFonts w:cs="Arial"/>
        </w:rPr>
        <w:t>s</w:t>
      </w:r>
      <w:r w:rsidRPr="00B33A7B">
        <w:rPr>
          <w:rFonts w:cs="Arial"/>
        </w:rPr>
        <w:t xml:space="preserve"> the </w:t>
      </w:r>
      <w:r w:rsidR="009A6204" w:rsidRPr="00B33A7B">
        <w:rPr>
          <w:rFonts w:cs="Arial"/>
        </w:rPr>
        <w:t xml:space="preserve">total funding available in the </w:t>
      </w:r>
      <w:r w:rsidRPr="00B33A7B">
        <w:rPr>
          <w:rFonts w:cs="Arial"/>
        </w:rPr>
        <w:t>NOFA</w:t>
      </w:r>
      <w:r w:rsidR="009A6204" w:rsidRPr="00B33A7B">
        <w:rPr>
          <w:rFonts w:cs="Arial"/>
        </w:rPr>
        <w:t xml:space="preserve">, </w:t>
      </w:r>
      <w:r w:rsidR="009A6204" w:rsidRPr="00E34389">
        <w:rPr>
          <w:rFonts w:cs="Arial"/>
          <w:color w:val="C00000"/>
        </w:rPr>
        <w:t>i</w:t>
      </w:r>
      <w:r w:rsidR="551288EC" w:rsidRPr="00E34389">
        <w:rPr>
          <w:rFonts w:cs="Arial"/>
          <w:color w:val="C00000"/>
        </w:rPr>
        <w:t xml:space="preserve">t may elect not </w:t>
      </w:r>
      <w:r w:rsidR="00877898" w:rsidRPr="00E34389">
        <w:rPr>
          <w:rFonts w:cs="Arial"/>
          <w:color w:val="C00000"/>
        </w:rPr>
        <w:t xml:space="preserve">to </w:t>
      </w:r>
      <w:r w:rsidR="551288EC" w:rsidRPr="00E34389">
        <w:rPr>
          <w:rFonts w:cs="Arial"/>
          <w:color w:val="C00000"/>
        </w:rPr>
        <w:t xml:space="preserve">evaluate compliance with some or all eligibility requirements for applications that </w:t>
      </w:r>
      <w:r w:rsidR="006740C1" w:rsidRPr="00B33A7B">
        <w:rPr>
          <w:rFonts w:cs="Arial"/>
        </w:rPr>
        <w:t>do not rank high enough to be awarded</w:t>
      </w:r>
      <w:r w:rsidR="551288EC" w:rsidRPr="00B33A7B">
        <w:rPr>
          <w:rFonts w:cs="Arial"/>
        </w:rPr>
        <w:t xml:space="preserve">, </w:t>
      </w:r>
      <w:r w:rsidR="551288EC" w:rsidRPr="00E34389">
        <w:rPr>
          <w:rFonts w:cs="Arial"/>
          <w:color w:val="C00000"/>
        </w:rPr>
        <w:t>as indicated by a preliminary point scoring.</w:t>
      </w:r>
      <w:r w:rsidR="0028714E" w:rsidRPr="00E34389">
        <w:rPr>
          <w:rFonts w:cs="Arial"/>
          <w:color w:val="C00000"/>
        </w:rPr>
        <w:t xml:space="preserve"> </w:t>
      </w:r>
    </w:p>
    <w:p w14:paraId="5E767E08" w14:textId="77777777" w:rsidR="00606067" w:rsidRPr="00E34389" w:rsidRDefault="00606067" w:rsidP="00606067">
      <w:pPr>
        <w:pStyle w:val="ListParagraph"/>
        <w:widowControl w:val="0"/>
        <w:tabs>
          <w:tab w:val="left" w:pos="2700"/>
        </w:tabs>
        <w:autoSpaceDE w:val="0"/>
        <w:autoSpaceDN w:val="0"/>
        <w:ind w:left="1350" w:hanging="720"/>
        <w:rPr>
          <w:rFonts w:cs="Arial"/>
          <w:color w:val="C00000"/>
        </w:rPr>
      </w:pPr>
    </w:p>
    <w:p w14:paraId="02CDD11A" w14:textId="454FBB65" w:rsidR="00606067" w:rsidRPr="00B33A7B" w:rsidRDefault="00606067" w:rsidP="00993D09">
      <w:pPr>
        <w:pStyle w:val="ListParagraph"/>
        <w:widowControl w:val="0"/>
        <w:numPr>
          <w:ilvl w:val="0"/>
          <w:numId w:val="15"/>
        </w:numPr>
        <w:autoSpaceDE w:val="0"/>
        <w:autoSpaceDN w:val="0"/>
        <w:ind w:left="720" w:right="90" w:hanging="720"/>
        <w:rPr>
          <w:rFonts w:cs="Arial"/>
          <w:color w:val="FF0000"/>
        </w:rPr>
      </w:pPr>
      <w:r w:rsidRPr="00E34389">
        <w:rPr>
          <w:rFonts w:cs="Arial"/>
          <w:color w:val="C00000"/>
        </w:rPr>
        <w:t xml:space="preserve">Applications will be reviewed, and negative points assessed, consistent with the Department’s </w:t>
      </w:r>
      <w:r w:rsidR="00AE2B20" w:rsidRPr="00E34389">
        <w:rPr>
          <w:rFonts w:cs="Arial"/>
          <w:color w:val="C00000"/>
        </w:rPr>
        <w:t>N</w:t>
      </w:r>
      <w:r w:rsidRPr="00E34389">
        <w:rPr>
          <w:rFonts w:cs="Arial"/>
          <w:color w:val="C00000"/>
        </w:rPr>
        <w:t xml:space="preserve">egative </w:t>
      </w:r>
      <w:r w:rsidR="00AE2B20" w:rsidRPr="00E34389">
        <w:rPr>
          <w:rFonts w:cs="Arial"/>
          <w:color w:val="C00000"/>
        </w:rPr>
        <w:t>P</w:t>
      </w:r>
      <w:r w:rsidRPr="00E34389">
        <w:rPr>
          <w:rFonts w:cs="Arial"/>
          <w:color w:val="C00000"/>
        </w:rPr>
        <w:t xml:space="preserve">oints </w:t>
      </w:r>
      <w:r w:rsidR="00AE2B20" w:rsidRPr="00E34389">
        <w:rPr>
          <w:rFonts w:cs="Arial"/>
          <w:color w:val="C00000"/>
        </w:rPr>
        <w:t>P</w:t>
      </w:r>
      <w:r w:rsidRPr="00E34389">
        <w:rPr>
          <w:rFonts w:cs="Arial"/>
          <w:color w:val="C00000"/>
        </w:rPr>
        <w:t xml:space="preserve">olicy. </w:t>
      </w:r>
      <w:r w:rsidR="0005798F" w:rsidRPr="00E34389">
        <w:rPr>
          <w:rFonts w:cs="Arial"/>
          <w:color w:val="C00000"/>
        </w:rPr>
        <w:t xml:space="preserve">The Negative Points Policy, Administrative Notice Number 2022-01 dated March 30, 2022, and as published on the Department’s </w:t>
      </w:r>
      <w:r w:rsidR="009B3CEE" w:rsidRPr="00E34389">
        <w:rPr>
          <w:rFonts w:cs="Arial"/>
          <w:color w:val="C00000"/>
        </w:rPr>
        <w:t>websit</w:t>
      </w:r>
      <w:r w:rsidR="000A3705" w:rsidRPr="00E34389">
        <w:rPr>
          <w:rFonts w:cs="Arial"/>
          <w:color w:val="C00000"/>
        </w:rPr>
        <w:t>e</w:t>
      </w:r>
      <w:r w:rsidR="000A3705" w:rsidRPr="00E34389">
        <w:rPr>
          <w:color w:val="C00000"/>
        </w:rPr>
        <w:t xml:space="preserve"> </w:t>
      </w:r>
      <w:r w:rsidR="000A3705" w:rsidRPr="00B33A7B">
        <w:t xml:space="preserve">at </w:t>
      </w:r>
      <w:hyperlink r:id="rId23" w:history="1">
        <w:r w:rsidR="00DC56CE" w:rsidRPr="00B33A7B">
          <w:rPr>
            <w:rStyle w:val="Hyperlink"/>
          </w:rPr>
          <w:t>https://www.hcd.ca.gov/grants-and-funding</w:t>
        </w:r>
      </w:hyperlink>
      <w:r w:rsidR="0005798F" w:rsidRPr="00E34389">
        <w:rPr>
          <w:rFonts w:cs="Arial"/>
          <w:color w:val="C00000"/>
        </w:rPr>
        <w:t xml:space="preserve">, is hereby incorporated by this reference to these Guidelines as if set forth in full herein, and shall apply with equal force as all other provisions set forth herein. </w:t>
      </w:r>
      <w:r w:rsidRPr="00E34389">
        <w:rPr>
          <w:rFonts w:cs="Arial"/>
          <w:color w:val="C00000"/>
        </w:rPr>
        <w:t xml:space="preserve"> </w:t>
      </w:r>
    </w:p>
    <w:p w14:paraId="584AB2AB" w14:textId="77777777" w:rsidR="00725A73" w:rsidRPr="00B33A7B" w:rsidRDefault="00725A73" w:rsidP="00725A73">
      <w:pPr>
        <w:pStyle w:val="ListParagraph"/>
        <w:widowControl w:val="0"/>
        <w:autoSpaceDE w:val="0"/>
        <w:autoSpaceDN w:val="0"/>
        <w:ind w:right="90"/>
        <w:rPr>
          <w:rFonts w:cs="Arial"/>
          <w:color w:val="FF0000"/>
        </w:rPr>
      </w:pPr>
    </w:p>
    <w:p w14:paraId="68B4AA0F" w14:textId="2A4B01E0" w:rsidR="00B62150" w:rsidRPr="00B33A7B" w:rsidRDefault="00B62150" w:rsidP="00812B87">
      <w:pPr>
        <w:pStyle w:val="Style2"/>
        <w:outlineLvl w:val="1"/>
        <w:rPr>
          <w:color w:val="auto"/>
        </w:rPr>
      </w:pPr>
      <w:bookmarkStart w:id="32" w:name="_Toc106173295"/>
      <w:r w:rsidRPr="00B33A7B">
        <w:rPr>
          <w:color w:val="auto"/>
        </w:rPr>
        <w:t>Section 40</w:t>
      </w:r>
      <w:r w:rsidR="0080560C" w:rsidRPr="00B33A7B">
        <w:rPr>
          <w:color w:val="auto"/>
        </w:rPr>
        <w:t>1</w:t>
      </w:r>
      <w:r w:rsidRPr="00B33A7B">
        <w:rPr>
          <w:color w:val="auto"/>
        </w:rPr>
        <w:t xml:space="preserve">. Application </w:t>
      </w:r>
      <w:r w:rsidR="00B20E69" w:rsidRPr="00B33A7B">
        <w:rPr>
          <w:color w:val="auto"/>
        </w:rPr>
        <w:t xml:space="preserve">Content and Application Eligibility </w:t>
      </w:r>
      <w:r w:rsidR="0042361C" w:rsidRPr="00B33A7B">
        <w:rPr>
          <w:color w:val="auto"/>
        </w:rPr>
        <w:t>Requirements</w:t>
      </w:r>
      <w:bookmarkEnd w:id="32"/>
    </w:p>
    <w:p w14:paraId="04C73122" w14:textId="29DB428E" w:rsidR="00B62150" w:rsidRPr="00B33A7B" w:rsidRDefault="00B62150" w:rsidP="00474927">
      <w:pPr>
        <w:pStyle w:val="ListParagraph"/>
        <w:ind w:left="0"/>
        <w:rPr>
          <w:rFonts w:cs="Arial"/>
        </w:rPr>
      </w:pPr>
    </w:p>
    <w:p w14:paraId="7E255CFE" w14:textId="1FE3613B" w:rsidR="00AF1AEB" w:rsidRPr="00E34389" w:rsidRDefault="00AF1AEB" w:rsidP="00993D09">
      <w:pPr>
        <w:pStyle w:val="ListParagraph"/>
        <w:widowControl w:val="0"/>
        <w:numPr>
          <w:ilvl w:val="0"/>
          <w:numId w:val="51"/>
        </w:numPr>
        <w:tabs>
          <w:tab w:val="left" w:pos="911"/>
          <w:tab w:val="left" w:pos="912"/>
        </w:tabs>
        <w:autoSpaceDE w:val="0"/>
        <w:autoSpaceDN w:val="0"/>
        <w:ind w:left="720" w:hanging="720"/>
        <w:rPr>
          <w:rFonts w:cs="Arial"/>
          <w:color w:val="C00000"/>
        </w:rPr>
      </w:pPr>
      <w:r w:rsidRPr="00E34389">
        <w:rPr>
          <w:rFonts w:cs="Arial"/>
          <w:color w:val="C00000"/>
        </w:rPr>
        <w:t xml:space="preserve">Application </w:t>
      </w:r>
      <w:r w:rsidR="000C2ECE" w:rsidRPr="00E34389">
        <w:rPr>
          <w:rFonts w:cs="Arial"/>
          <w:color w:val="C00000"/>
        </w:rPr>
        <w:t>shall be made on a form(s) made available by the Department, without modification, requesting the information deemed necessary by the Department to evaluate compliance with</w:t>
      </w:r>
      <w:r w:rsidR="000C2ECE" w:rsidRPr="00E34389">
        <w:rPr>
          <w:rFonts w:cs="Arial"/>
          <w:color w:val="C00000"/>
          <w:spacing w:val="1"/>
        </w:rPr>
        <w:t xml:space="preserve"> </w:t>
      </w:r>
      <w:r w:rsidR="000C2ECE" w:rsidRPr="00E34389">
        <w:rPr>
          <w:rFonts w:cs="Arial"/>
          <w:color w:val="C00000"/>
        </w:rPr>
        <w:t xml:space="preserve">these </w:t>
      </w:r>
      <w:r w:rsidR="00C949DB" w:rsidRPr="00E34389">
        <w:rPr>
          <w:rFonts w:cs="Arial"/>
          <w:color w:val="C00000"/>
        </w:rPr>
        <w:t>G</w:t>
      </w:r>
      <w:r w:rsidR="000C2ECE" w:rsidRPr="00E34389">
        <w:rPr>
          <w:rFonts w:cs="Arial"/>
          <w:color w:val="C00000"/>
        </w:rPr>
        <w:t>uidelines</w:t>
      </w:r>
      <w:r w:rsidR="000C2ECE" w:rsidRPr="00E34389">
        <w:rPr>
          <w:rFonts w:cs="Arial"/>
          <w:color w:val="C00000"/>
          <w:spacing w:val="-1"/>
        </w:rPr>
        <w:t xml:space="preserve"> </w:t>
      </w:r>
      <w:r w:rsidR="000C2ECE" w:rsidRPr="00E34389">
        <w:rPr>
          <w:rFonts w:cs="Arial"/>
          <w:color w:val="C00000"/>
        </w:rPr>
        <w:t>and all</w:t>
      </w:r>
      <w:r w:rsidR="000C2ECE" w:rsidRPr="00E34389">
        <w:rPr>
          <w:rFonts w:cs="Arial"/>
          <w:color w:val="C00000"/>
          <w:spacing w:val="-1"/>
        </w:rPr>
        <w:t xml:space="preserve"> </w:t>
      </w:r>
      <w:r w:rsidR="000C2ECE" w:rsidRPr="00E34389">
        <w:rPr>
          <w:rFonts w:cs="Arial"/>
          <w:color w:val="C00000"/>
        </w:rPr>
        <w:t>applicable</w:t>
      </w:r>
      <w:r w:rsidR="000C2ECE" w:rsidRPr="00E34389">
        <w:rPr>
          <w:rFonts w:cs="Arial"/>
          <w:color w:val="C00000"/>
          <w:spacing w:val="-2"/>
        </w:rPr>
        <w:t xml:space="preserve"> </w:t>
      </w:r>
      <w:r w:rsidR="000C2ECE" w:rsidRPr="00E34389">
        <w:rPr>
          <w:rFonts w:cs="Arial"/>
          <w:color w:val="C00000"/>
        </w:rPr>
        <w:t>statutes, regulations,</w:t>
      </w:r>
      <w:r w:rsidR="000C2ECE" w:rsidRPr="00E34389">
        <w:rPr>
          <w:rFonts w:cs="Arial"/>
          <w:color w:val="C00000"/>
          <w:spacing w:val="-2"/>
        </w:rPr>
        <w:t xml:space="preserve"> </w:t>
      </w:r>
      <w:r w:rsidR="000C2ECE" w:rsidRPr="00E34389">
        <w:rPr>
          <w:rFonts w:cs="Arial"/>
          <w:color w:val="C00000"/>
        </w:rPr>
        <w:t>and similar</w:t>
      </w:r>
      <w:r w:rsidR="000C2ECE" w:rsidRPr="00E34389">
        <w:rPr>
          <w:rFonts w:cs="Arial"/>
          <w:color w:val="C00000"/>
          <w:spacing w:val="-2"/>
        </w:rPr>
        <w:t xml:space="preserve"> </w:t>
      </w:r>
      <w:r w:rsidR="000C2ECE" w:rsidRPr="00E34389">
        <w:rPr>
          <w:rFonts w:cs="Arial"/>
          <w:color w:val="C00000"/>
        </w:rPr>
        <w:t>rules. Without limiting the generality of the foregoing, the application may require the Applicant(s) to specify all sources and amounts of funding for which they are applying.</w:t>
      </w:r>
    </w:p>
    <w:p w14:paraId="7A6D6518" w14:textId="77777777" w:rsidR="00AF1AEB" w:rsidRPr="00E34389" w:rsidRDefault="00AF1AEB" w:rsidP="00AF1AEB">
      <w:pPr>
        <w:pStyle w:val="ListParagraph"/>
        <w:widowControl w:val="0"/>
        <w:tabs>
          <w:tab w:val="left" w:pos="911"/>
          <w:tab w:val="left" w:pos="912"/>
        </w:tabs>
        <w:autoSpaceDE w:val="0"/>
        <w:autoSpaceDN w:val="0"/>
        <w:ind w:hanging="720"/>
        <w:rPr>
          <w:rFonts w:cs="Arial"/>
          <w:color w:val="C00000"/>
        </w:rPr>
      </w:pPr>
    </w:p>
    <w:p w14:paraId="51CC4E6A" w14:textId="42A3585B" w:rsidR="00AF1AEB" w:rsidRPr="00E34389" w:rsidRDefault="00AF1AEB" w:rsidP="00993D09">
      <w:pPr>
        <w:pStyle w:val="ListParagraph"/>
        <w:widowControl w:val="0"/>
        <w:numPr>
          <w:ilvl w:val="0"/>
          <w:numId w:val="51"/>
        </w:numPr>
        <w:tabs>
          <w:tab w:val="left" w:pos="911"/>
          <w:tab w:val="left" w:pos="912"/>
        </w:tabs>
        <w:autoSpaceDE w:val="0"/>
        <w:autoSpaceDN w:val="0"/>
        <w:ind w:left="720" w:hanging="720"/>
        <w:rPr>
          <w:rFonts w:cs="Arial"/>
          <w:color w:val="C00000"/>
        </w:rPr>
      </w:pPr>
      <w:r w:rsidRPr="00E34389">
        <w:rPr>
          <w:rFonts w:cs="Arial"/>
          <w:color w:val="C00000"/>
        </w:rPr>
        <w:t xml:space="preserve">An application shall be deemed complete when: </w:t>
      </w:r>
    </w:p>
    <w:p w14:paraId="25E92CB9" w14:textId="77777777" w:rsidR="00AF1AEB" w:rsidRPr="00E34389" w:rsidRDefault="00AF1AEB" w:rsidP="00AF1AEB">
      <w:pPr>
        <w:pStyle w:val="BodyText"/>
        <w:spacing w:after="0"/>
        <w:ind w:left="810" w:hanging="720"/>
        <w:rPr>
          <w:rFonts w:cs="Arial"/>
          <w:color w:val="C00000"/>
        </w:rPr>
      </w:pPr>
    </w:p>
    <w:p w14:paraId="7D65847A" w14:textId="27D6DFA7" w:rsidR="00AF1AEB" w:rsidRPr="00B33A7B" w:rsidRDefault="00AF1AEB" w:rsidP="00993D09">
      <w:pPr>
        <w:pStyle w:val="ListParagraph"/>
        <w:widowControl w:val="0"/>
        <w:numPr>
          <w:ilvl w:val="1"/>
          <w:numId w:val="50"/>
        </w:numPr>
        <w:tabs>
          <w:tab w:val="left" w:pos="1451"/>
          <w:tab w:val="left" w:pos="1452"/>
        </w:tabs>
        <w:autoSpaceDE w:val="0"/>
        <w:autoSpaceDN w:val="0"/>
        <w:ind w:left="1440" w:hanging="720"/>
        <w:rPr>
          <w:rFonts w:cs="Arial"/>
          <w:color w:val="FF0000"/>
        </w:rPr>
      </w:pPr>
      <w:r w:rsidRPr="00E34389">
        <w:rPr>
          <w:rFonts w:cs="Arial"/>
          <w:color w:val="C00000"/>
        </w:rPr>
        <w:t>The application meet</w:t>
      </w:r>
      <w:r w:rsidR="003A2B6E" w:rsidRPr="00E34389">
        <w:rPr>
          <w:rFonts w:cs="Arial"/>
          <w:color w:val="C00000"/>
        </w:rPr>
        <w:t>s</w:t>
      </w:r>
      <w:r w:rsidRPr="00E34389">
        <w:rPr>
          <w:rFonts w:cs="Arial"/>
          <w:color w:val="C00000"/>
        </w:rPr>
        <w:t xml:space="preserve"> all threshold requirements, as set forth in </w:t>
      </w:r>
      <w:r w:rsidR="000C2ECE" w:rsidRPr="00E34389">
        <w:rPr>
          <w:rFonts w:cs="Arial"/>
          <w:color w:val="C00000"/>
        </w:rPr>
        <w:t>S</w:t>
      </w:r>
      <w:r w:rsidRPr="00E34389">
        <w:rPr>
          <w:rFonts w:cs="Arial"/>
          <w:color w:val="C00000"/>
        </w:rPr>
        <w:t>ection 202</w:t>
      </w:r>
      <w:r w:rsidR="003A2B6E" w:rsidRPr="00E34389">
        <w:rPr>
          <w:rFonts w:cs="Arial"/>
          <w:color w:val="C00000"/>
        </w:rPr>
        <w:t xml:space="preserve"> </w:t>
      </w:r>
      <w:r w:rsidR="003A2B6E" w:rsidRPr="00E34389">
        <w:rPr>
          <w:rFonts w:cs="Arial"/>
          <w:color w:val="C00000"/>
        </w:rPr>
        <w:lastRenderedPageBreak/>
        <w:t xml:space="preserve">of the NOFA </w:t>
      </w:r>
      <w:r w:rsidR="00A16233" w:rsidRPr="00E34389">
        <w:rPr>
          <w:rFonts w:cs="Arial"/>
          <w:color w:val="C00000"/>
        </w:rPr>
        <w:t>a</w:t>
      </w:r>
      <w:r w:rsidRPr="00E34389">
        <w:rPr>
          <w:rFonts w:cs="Arial"/>
          <w:color w:val="C00000"/>
        </w:rPr>
        <w:t>nd</w:t>
      </w:r>
      <w:r w:rsidRPr="00E34389">
        <w:rPr>
          <w:rFonts w:cs="Arial"/>
          <w:color w:val="C00000"/>
          <w:spacing w:val="-2"/>
        </w:rPr>
        <w:t xml:space="preserve"> </w:t>
      </w:r>
      <w:r w:rsidRPr="00E34389">
        <w:rPr>
          <w:rFonts w:cs="Arial"/>
          <w:color w:val="C00000"/>
        </w:rPr>
        <w:t>the</w:t>
      </w:r>
      <w:r w:rsidRPr="00E34389">
        <w:rPr>
          <w:rFonts w:cs="Arial"/>
          <w:color w:val="C00000"/>
          <w:spacing w:val="-1"/>
        </w:rPr>
        <w:t xml:space="preserve"> </w:t>
      </w:r>
      <w:r w:rsidR="00282D5B" w:rsidRPr="00B33A7B">
        <w:rPr>
          <w:rFonts w:cs="Arial"/>
          <w:spacing w:val="-1"/>
        </w:rPr>
        <w:t xml:space="preserve">Department’s </w:t>
      </w:r>
      <w:r w:rsidRPr="00B33A7B">
        <w:rPr>
          <w:rFonts w:cs="Arial"/>
        </w:rPr>
        <w:t>application</w:t>
      </w:r>
      <w:r w:rsidR="00282D5B" w:rsidRPr="00B33A7B">
        <w:rPr>
          <w:rFonts w:cs="Arial"/>
        </w:rPr>
        <w:t xml:space="preserve"> </w:t>
      </w:r>
      <w:r w:rsidR="00282D5B" w:rsidRPr="00E34389">
        <w:rPr>
          <w:rFonts w:cs="Arial"/>
          <w:color w:val="C00000"/>
        </w:rPr>
        <w:t>form</w:t>
      </w:r>
      <w:r w:rsidRPr="00E34389">
        <w:rPr>
          <w:rFonts w:cs="Arial"/>
          <w:color w:val="C00000"/>
        </w:rPr>
        <w:t>.</w:t>
      </w:r>
    </w:p>
    <w:p w14:paraId="3A984344" w14:textId="77777777" w:rsidR="00AF1AEB" w:rsidRPr="00B33A7B" w:rsidRDefault="00AF1AEB" w:rsidP="00AF1AEB">
      <w:pPr>
        <w:pStyle w:val="BodyText"/>
        <w:spacing w:after="0"/>
        <w:ind w:left="1440" w:hanging="720"/>
        <w:rPr>
          <w:rFonts w:cs="Arial"/>
        </w:rPr>
      </w:pPr>
    </w:p>
    <w:p w14:paraId="494D8125" w14:textId="47C3BF44" w:rsidR="0050196D" w:rsidRPr="00B33A7B" w:rsidRDefault="4077F6FA" w:rsidP="00F26860">
      <w:pPr>
        <w:pStyle w:val="ListParagraph"/>
        <w:numPr>
          <w:ilvl w:val="0"/>
          <w:numId w:val="84"/>
        </w:numPr>
        <w:ind w:left="2160" w:right="90" w:hanging="720"/>
        <w:rPr>
          <w:rFonts w:cs="Arial"/>
        </w:rPr>
      </w:pPr>
      <w:r w:rsidRPr="00B33A7B">
        <w:rPr>
          <w:rFonts w:cs="Arial"/>
        </w:rPr>
        <w:t>During the application review</w:t>
      </w:r>
      <w:r w:rsidR="00FB7A28" w:rsidRPr="00B33A7B">
        <w:rPr>
          <w:rFonts w:cs="Arial"/>
        </w:rPr>
        <w:t xml:space="preserve"> the </w:t>
      </w:r>
      <w:r w:rsidRPr="00B33A7B">
        <w:rPr>
          <w:rFonts w:cs="Arial"/>
        </w:rPr>
        <w:t xml:space="preserve">Department staff may request clarifying information, provided it does not affect the competitive scoring. </w:t>
      </w:r>
    </w:p>
    <w:p w14:paraId="3A0A724F" w14:textId="77777777" w:rsidR="00A10790" w:rsidRPr="00E34389" w:rsidRDefault="00A10790" w:rsidP="00A10790">
      <w:pPr>
        <w:pStyle w:val="ListParagraph"/>
        <w:rPr>
          <w:rFonts w:cs="Arial"/>
          <w:color w:val="C00000"/>
        </w:rPr>
      </w:pPr>
    </w:p>
    <w:p w14:paraId="2705E10A" w14:textId="77777777" w:rsidR="00A10790" w:rsidRPr="00B33A7B" w:rsidRDefault="00A10790" w:rsidP="00993D09">
      <w:pPr>
        <w:pStyle w:val="ListParagraph"/>
        <w:widowControl w:val="0"/>
        <w:numPr>
          <w:ilvl w:val="0"/>
          <w:numId w:val="51"/>
        </w:numPr>
        <w:tabs>
          <w:tab w:val="left" w:pos="911"/>
          <w:tab w:val="left" w:pos="912"/>
        </w:tabs>
        <w:autoSpaceDE w:val="0"/>
        <w:autoSpaceDN w:val="0"/>
        <w:ind w:left="720" w:hanging="720"/>
        <w:rPr>
          <w:color w:val="FF0000"/>
        </w:rPr>
      </w:pPr>
      <w:r w:rsidRPr="00E34389">
        <w:rPr>
          <w:rFonts w:eastAsia="Arial" w:cs="Arial"/>
          <w:color w:val="C00000"/>
        </w:rPr>
        <w:t xml:space="preserve">Authorizing resolutions of the governing boards of both the </w:t>
      </w:r>
      <w:r w:rsidRPr="00B33A7B">
        <w:rPr>
          <w:rFonts w:eastAsia="Arial" w:cs="Arial"/>
        </w:rPr>
        <w:t>Recipient/</w:t>
      </w:r>
      <w:r w:rsidRPr="00E34389">
        <w:rPr>
          <w:rFonts w:eastAsia="Arial" w:cs="Arial"/>
          <w:color w:val="C00000"/>
        </w:rPr>
        <w:t>Sponsor and a co-</w:t>
      </w:r>
      <w:r w:rsidRPr="00B33A7B">
        <w:rPr>
          <w:rFonts w:eastAsia="Arial" w:cs="Arial"/>
        </w:rPr>
        <w:t>Recipient/</w:t>
      </w:r>
      <w:r w:rsidRPr="00E34389">
        <w:rPr>
          <w:rFonts w:eastAsia="Arial" w:cs="Arial"/>
          <w:color w:val="C00000"/>
        </w:rPr>
        <w:t xml:space="preserve">Sponsor (except where the </w:t>
      </w:r>
      <w:r w:rsidRPr="00B33A7B">
        <w:rPr>
          <w:rFonts w:eastAsia="Arial" w:cs="Arial"/>
        </w:rPr>
        <w:t>Recipients(s)/</w:t>
      </w:r>
      <w:r w:rsidRPr="00E34389">
        <w:rPr>
          <w:rFonts w:eastAsia="Arial" w:cs="Arial"/>
          <w:color w:val="C00000"/>
        </w:rPr>
        <w:t>Sponsor(s) are individuals) shall be provided, and must be approved by the Department, prior to issuance of a Standard Agreement.</w:t>
      </w:r>
    </w:p>
    <w:p w14:paraId="2797046A" w14:textId="77777777" w:rsidR="00A10790" w:rsidRPr="00B33A7B" w:rsidRDefault="00A10790" w:rsidP="00A10790">
      <w:pPr>
        <w:widowControl w:val="0"/>
        <w:rPr>
          <w:color w:val="FF0000"/>
        </w:rPr>
      </w:pPr>
    </w:p>
    <w:p w14:paraId="679130CB" w14:textId="44022021" w:rsidR="00A10790" w:rsidRPr="00E34389" w:rsidRDefault="002A29FC" w:rsidP="00993D09">
      <w:pPr>
        <w:pStyle w:val="ListParagraph"/>
        <w:widowControl w:val="0"/>
        <w:numPr>
          <w:ilvl w:val="0"/>
          <w:numId w:val="51"/>
        </w:numPr>
        <w:tabs>
          <w:tab w:val="left" w:pos="911"/>
          <w:tab w:val="left" w:pos="912"/>
        </w:tabs>
        <w:autoSpaceDE w:val="0"/>
        <w:autoSpaceDN w:val="0"/>
        <w:ind w:left="720" w:hanging="720"/>
        <w:rPr>
          <w:rFonts w:cs="Arial"/>
          <w:color w:val="C00000"/>
        </w:rPr>
      </w:pPr>
      <w:r w:rsidRPr="00B33A7B">
        <w:rPr>
          <w:rFonts w:cs="Arial"/>
        </w:rPr>
        <w:t xml:space="preserve">Qualifying Infill Area </w:t>
      </w:r>
      <w:r w:rsidRPr="00E34389">
        <w:rPr>
          <w:rFonts w:cs="Arial"/>
          <w:color w:val="C00000"/>
        </w:rPr>
        <w:t>a</w:t>
      </w:r>
      <w:r w:rsidR="00A10790" w:rsidRPr="00E34389">
        <w:rPr>
          <w:rFonts w:cs="Arial"/>
          <w:color w:val="C00000"/>
        </w:rPr>
        <w:t>pplications</w:t>
      </w:r>
      <w:r w:rsidR="00A10790" w:rsidRPr="00B33A7B">
        <w:rPr>
          <w:rFonts w:cs="Arial"/>
          <w:color w:val="FF0000"/>
        </w:rPr>
        <w:t xml:space="preserve"> </w:t>
      </w:r>
      <w:r w:rsidRPr="00B33A7B">
        <w:rPr>
          <w:rFonts w:cs="Arial"/>
        </w:rPr>
        <w:t xml:space="preserve">from Large Jurisdictions </w:t>
      </w:r>
      <w:r w:rsidR="00A10790" w:rsidRPr="00E34389">
        <w:rPr>
          <w:rFonts w:cs="Arial"/>
          <w:color w:val="C00000"/>
        </w:rPr>
        <w:t xml:space="preserve">shall be evaluated for compliance with the threshold and eligibility requirements of these </w:t>
      </w:r>
      <w:r w:rsidR="002037D0" w:rsidRPr="00E34389">
        <w:rPr>
          <w:rFonts w:cs="Arial"/>
          <w:color w:val="C00000"/>
        </w:rPr>
        <w:t>G</w:t>
      </w:r>
      <w:r w:rsidR="00A10790" w:rsidRPr="00E34389">
        <w:rPr>
          <w:rFonts w:cs="Arial"/>
          <w:color w:val="C00000"/>
        </w:rPr>
        <w:t xml:space="preserve">uidelines, and applicable statutes, and scored based on the application scoring criteria listed in </w:t>
      </w:r>
      <w:r w:rsidR="00A10790" w:rsidRPr="00B33A7B">
        <w:rPr>
          <w:rFonts w:cs="Arial"/>
        </w:rPr>
        <w:t xml:space="preserve">Section 402 of these </w:t>
      </w:r>
      <w:r w:rsidR="002037D0" w:rsidRPr="00B33A7B">
        <w:rPr>
          <w:rFonts w:cs="Arial"/>
        </w:rPr>
        <w:t>G</w:t>
      </w:r>
      <w:r w:rsidR="00A10790" w:rsidRPr="00B33A7B">
        <w:rPr>
          <w:rFonts w:cs="Arial"/>
        </w:rPr>
        <w:t>uidelines</w:t>
      </w:r>
      <w:r w:rsidR="00A10790" w:rsidRPr="00E34389">
        <w:rPr>
          <w:rFonts w:cs="Arial"/>
          <w:color w:val="C00000"/>
        </w:rPr>
        <w:t>. The applications with the highest number of points shall be selected for funding, provided that they meet all threshold and eligibility requirements and achieve specified minimum</w:t>
      </w:r>
      <w:r w:rsidR="00A10790" w:rsidRPr="00E34389">
        <w:rPr>
          <w:rFonts w:cs="Arial"/>
          <w:color w:val="C00000"/>
          <w:spacing w:val="-1"/>
        </w:rPr>
        <w:t xml:space="preserve"> </w:t>
      </w:r>
      <w:r w:rsidR="00A10790" w:rsidRPr="00E34389">
        <w:rPr>
          <w:rFonts w:cs="Arial"/>
          <w:color w:val="C00000"/>
        </w:rPr>
        <w:t>scores as identified in the NOFA.</w:t>
      </w:r>
    </w:p>
    <w:p w14:paraId="496EC551" w14:textId="3CEFBE44" w:rsidR="00AF1AEB" w:rsidRPr="00E34389" w:rsidRDefault="00AF1AEB" w:rsidP="00AF1AEB">
      <w:pPr>
        <w:pStyle w:val="ListParagraph"/>
        <w:widowControl w:val="0"/>
        <w:tabs>
          <w:tab w:val="left" w:pos="1800"/>
        </w:tabs>
        <w:autoSpaceDE w:val="0"/>
        <w:autoSpaceDN w:val="0"/>
        <w:ind w:hanging="720"/>
        <w:rPr>
          <w:rFonts w:cs="Arial"/>
          <w:color w:val="C00000"/>
        </w:rPr>
      </w:pPr>
    </w:p>
    <w:p w14:paraId="39948AE5" w14:textId="71C8E233" w:rsidR="00AF1AEB" w:rsidRPr="00B33A7B" w:rsidRDefault="20F21C56" w:rsidP="00993D09">
      <w:pPr>
        <w:pStyle w:val="ListParagraph"/>
        <w:widowControl w:val="0"/>
        <w:numPr>
          <w:ilvl w:val="0"/>
          <w:numId w:val="51"/>
        </w:numPr>
        <w:tabs>
          <w:tab w:val="left" w:pos="1800"/>
        </w:tabs>
        <w:autoSpaceDE w:val="0"/>
        <w:autoSpaceDN w:val="0"/>
        <w:ind w:left="720" w:hanging="720"/>
        <w:rPr>
          <w:rFonts w:cs="Arial"/>
          <w:color w:val="FF0000"/>
        </w:rPr>
      </w:pPr>
      <w:r w:rsidRPr="00E34389">
        <w:rPr>
          <w:rFonts w:cs="Arial"/>
          <w:color w:val="C00000"/>
        </w:rPr>
        <w:t xml:space="preserve">For Applicants </w:t>
      </w:r>
      <w:r w:rsidR="3C952544" w:rsidRPr="00E34389">
        <w:rPr>
          <w:rFonts w:cs="Arial"/>
          <w:color w:val="C00000"/>
        </w:rPr>
        <w:t xml:space="preserve">applying as Community-Based Developers, the entity must demonstrate in their application that they have community knowledge, commitment to long-term community investment, and population-specific cultural competency, all through a combination of the following: receipt of </w:t>
      </w:r>
      <w:r w:rsidR="3C952544" w:rsidRPr="00B33A7B">
        <w:rPr>
          <w:rFonts w:cs="Arial"/>
        </w:rPr>
        <w:t>grant</w:t>
      </w:r>
      <w:r w:rsidR="6F3A25DC" w:rsidRPr="00B33A7B">
        <w:rPr>
          <w:rFonts w:cs="Arial"/>
        </w:rPr>
        <w:t xml:space="preserve"> or loan</w:t>
      </w:r>
      <w:r w:rsidR="3C952544" w:rsidRPr="00B33A7B">
        <w:rPr>
          <w:rFonts w:cs="Arial"/>
        </w:rPr>
        <w:t xml:space="preserve"> </w:t>
      </w:r>
      <w:r w:rsidR="3C952544" w:rsidRPr="002538F3">
        <w:rPr>
          <w:rFonts w:cs="Arial"/>
          <w:color w:val="C00000"/>
        </w:rPr>
        <w:t>funds for services within the relevant neighborhood or community, cultural and linguistic competency on staff, a record of hiring from the community, and membership in or recruitment from a local Urban League (or substantially equivalent) organization. The sufficiency of the foregoing demonstration shall be evaluated in the reasonable discretion of the Department. The entity shall be allowed to define their served community within reason, for example by specifying a neighborhood geography of a specific number of square miles within the location of their central office, which area should include the proposed project</w:t>
      </w:r>
      <w:r w:rsidR="00B03FE2" w:rsidRPr="002538F3">
        <w:rPr>
          <w:rFonts w:cs="Arial"/>
          <w:color w:val="C00000"/>
        </w:rPr>
        <w:t xml:space="preserve"> </w:t>
      </w:r>
      <w:r w:rsidR="00A24AC6" w:rsidRPr="00B33A7B">
        <w:rPr>
          <w:rFonts w:cs="Arial"/>
        </w:rPr>
        <w:t xml:space="preserve">(Note: </w:t>
      </w:r>
      <w:r w:rsidR="00B80242" w:rsidRPr="00B33A7B">
        <w:rPr>
          <w:rFonts w:cs="Arial"/>
        </w:rPr>
        <w:t>For Applicant</w:t>
      </w:r>
      <w:r w:rsidR="001D5373">
        <w:rPr>
          <w:rFonts w:cs="Arial"/>
        </w:rPr>
        <w:t>s</w:t>
      </w:r>
      <w:r w:rsidR="00B80242" w:rsidRPr="00B33A7B">
        <w:rPr>
          <w:rFonts w:cs="Arial"/>
        </w:rPr>
        <w:t>/Sponsor</w:t>
      </w:r>
      <w:r w:rsidR="001D5373">
        <w:rPr>
          <w:rFonts w:cs="Arial"/>
        </w:rPr>
        <w:t>s</w:t>
      </w:r>
      <w:r w:rsidR="00B80242" w:rsidRPr="00B33A7B">
        <w:rPr>
          <w:rFonts w:cs="Arial"/>
        </w:rPr>
        <w:t xml:space="preserve"> from Large Jurisdictions, </w:t>
      </w:r>
      <w:r w:rsidR="00856401" w:rsidRPr="00B33A7B">
        <w:rPr>
          <w:rFonts w:cs="Arial"/>
        </w:rPr>
        <w:t xml:space="preserve">maximum </w:t>
      </w:r>
      <w:r w:rsidR="00B80242" w:rsidRPr="00B33A7B">
        <w:rPr>
          <w:rFonts w:cs="Arial"/>
        </w:rPr>
        <w:t xml:space="preserve">experience points </w:t>
      </w:r>
      <w:r w:rsidR="00856401" w:rsidRPr="00B33A7B">
        <w:rPr>
          <w:rFonts w:cs="Arial"/>
        </w:rPr>
        <w:t xml:space="preserve">can be obtained </w:t>
      </w:r>
      <w:r w:rsidR="00646858" w:rsidRPr="00B33A7B">
        <w:rPr>
          <w:rFonts w:cs="Arial"/>
        </w:rPr>
        <w:t xml:space="preserve">with </w:t>
      </w:r>
      <w:r w:rsidR="00A24AC6" w:rsidRPr="00B33A7B">
        <w:rPr>
          <w:rFonts w:cs="Arial"/>
        </w:rPr>
        <w:t>fewer projects than other Applicants/Sponsors).</w:t>
      </w:r>
    </w:p>
    <w:p w14:paraId="5B94FFC7" w14:textId="15DC177C" w:rsidR="00AF1AEB" w:rsidRPr="00B33A7B" w:rsidRDefault="00AF1AEB" w:rsidP="00474927">
      <w:pPr>
        <w:pStyle w:val="ListParagraph"/>
        <w:ind w:left="0"/>
        <w:rPr>
          <w:rFonts w:cs="Arial"/>
        </w:rPr>
      </w:pPr>
    </w:p>
    <w:p w14:paraId="39D3CC18" w14:textId="77777777" w:rsidR="006A12BA" w:rsidRPr="002538F3" w:rsidRDefault="006A12BA" w:rsidP="006A12BA">
      <w:pPr>
        <w:spacing w:after="240"/>
        <w:ind w:left="504"/>
        <w:rPr>
          <w:color w:val="C00000"/>
        </w:rPr>
      </w:pPr>
      <w:r w:rsidRPr="002538F3">
        <w:rPr>
          <w:color w:val="C00000"/>
        </w:rPr>
        <w:t xml:space="preserve">Applicants applying as Community-Based Developers must meet the following two eligibility criteria: </w:t>
      </w:r>
    </w:p>
    <w:p w14:paraId="0D4976CF" w14:textId="2E186445" w:rsidR="006A12BA" w:rsidRPr="002538F3" w:rsidRDefault="006A12BA" w:rsidP="00993D09">
      <w:pPr>
        <w:pStyle w:val="ListParagraph"/>
        <w:widowControl w:val="0"/>
        <w:numPr>
          <w:ilvl w:val="0"/>
          <w:numId w:val="75"/>
        </w:numPr>
        <w:tabs>
          <w:tab w:val="left" w:pos="1451"/>
          <w:tab w:val="left" w:pos="1452"/>
        </w:tabs>
        <w:autoSpaceDE w:val="0"/>
        <w:autoSpaceDN w:val="0"/>
        <w:rPr>
          <w:rFonts w:cs="Arial"/>
          <w:color w:val="C00000"/>
        </w:rPr>
      </w:pPr>
      <w:r w:rsidRPr="002538F3">
        <w:rPr>
          <w:rFonts w:cs="Arial"/>
          <w:color w:val="C00000"/>
        </w:rPr>
        <w:t xml:space="preserve">Maintain their corporate headquarters within 10 miles of the proposed project or have </w:t>
      </w:r>
      <w:r w:rsidR="00DE4BC2" w:rsidRPr="002538F3">
        <w:rPr>
          <w:rFonts w:cs="Arial"/>
          <w:color w:val="C00000"/>
        </w:rPr>
        <w:t>three</w:t>
      </w:r>
      <w:r w:rsidRPr="002538F3">
        <w:rPr>
          <w:rFonts w:cs="Arial"/>
          <w:color w:val="C00000"/>
        </w:rPr>
        <w:t xml:space="preserve"> deed-restricted Affordable </w:t>
      </w:r>
      <w:r w:rsidR="00072EF0" w:rsidRPr="002538F3">
        <w:rPr>
          <w:rFonts w:cs="Arial"/>
          <w:color w:val="C00000"/>
        </w:rPr>
        <w:t>H</w:t>
      </w:r>
      <w:r w:rsidRPr="002538F3">
        <w:rPr>
          <w:rFonts w:cs="Arial"/>
          <w:color w:val="C00000"/>
        </w:rPr>
        <w:t xml:space="preserve">ousing </w:t>
      </w:r>
      <w:r w:rsidR="00072EF0" w:rsidRPr="002538F3">
        <w:rPr>
          <w:rFonts w:cs="Arial"/>
          <w:color w:val="C00000"/>
        </w:rPr>
        <w:t>Developments</w:t>
      </w:r>
      <w:r w:rsidRPr="002538F3">
        <w:rPr>
          <w:rFonts w:cs="Arial"/>
          <w:color w:val="C00000"/>
        </w:rPr>
        <w:t xml:space="preserve"> within 10 miles of the proposed project; and </w:t>
      </w:r>
    </w:p>
    <w:p w14:paraId="565F9E9E" w14:textId="77777777" w:rsidR="006A12BA" w:rsidRPr="002538F3" w:rsidRDefault="006A12BA" w:rsidP="006A12BA">
      <w:pPr>
        <w:pStyle w:val="ListParagraph"/>
        <w:widowControl w:val="0"/>
        <w:tabs>
          <w:tab w:val="left" w:pos="900"/>
        </w:tabs>
        <w:autoSpaceDE w:val="0"/>
        <w:autoSpaceDN w:val="0"/>
        <w:ind w:left="900"/>
        <w:rPr>
          <w:rFonts w:cs="Arial"/>
          <w:color w:val="C00000"/>
        </w:rPr>
      </w:pPr>
    </w:p>
    <w:p w14:paraId="2D54EED0" w14:textId="77777777" w:rsidR="006A12BA" w:rsidRPr="002538F3" w:rsidRDefault="006A12BA" w:rsidP="00993D09">
      <w:pPr>
        <w:pStyle w:val="ListParagraph"/>
        <w:widowControl w:val="0"/>
        <w:numPr>
          <w:ilvl w:val="0"/>
          <w:numId w:val="75"/>
        </w:numPr>
        <w:tabs>
          <w:tab w:val="left" w:pos="1451"/>
          <w:tab w:val="left" w:pos="1452"/>
        </w:tabs>
        <w:autoSpaceDE w:val="0"/>
        <w:autoSpaceDN w:val="0"/>
        <w:rPr>
          <w:rFonts w:cs="Arial"/>
          <w:color w:val="C00000"/>
        </w:rPr>
      </w:pPr>
      <w:r w:rsidRPr="002538F3">
        <w:rPr>
          <w:rFonts w:cs="Arial"/>
          <w:color w:val="C00000"/>
        </w:rPr>
        <w:t>Directly provide at least two (2) community benefit programs accessible to the general public within 10 miles of the proposed project.</w:t>
      </w:r>
    </w:p>
    <w:p w14:paraId="4E3DA566" w14:textId="77777777" w:rsidR="00A676AC" w:rsidRPr="00B33A7B" w:rsidRDefault="00A676AC" w:rsidP="00A676AC">
      <w:pPr>
        <w:pStyle w:val="ListParagraph"/>
        <w:ind w:left="1440" w:right="360"/>
        <w:rPr>
          <w:rFonts w:cs="Arial"/>
        </w:rPr>
      </w:pPr>
    </w:p>
    <w:p w14:paraId="2DFF1698" w14:textId="638B45F1" w:rsidR="00A676AC" w:rsidRPr="00B33A7B" w:rsidRDefault="00A676AC" w:rsidP="00993D09">
      <w:pPr>
        <w:pStyle w:val="ListParagraph"/>
        <w:widowControl w:val="0"/>
        <w:numPr>
          <w:ilvl w:val="0"/>
          <w:numId w:val="51"/>
        </w:numPr>
        <w:tabs>
          <w:tab w:val="left" w:pos="1800"/>
        </w:tabs>
        <w:autoSpaceDE w:val="0"/>
        <w:autoSpaceDN w:val="0"/>
        <w:ind w:left="720" w:hanging="720"/>
        <w:rPr>
          <w:rFonts w:cs="Arial"/>
        </w:rPr>
      </w:pPr>
      <w:r w:rsidRPr="00B33A7B">
        <w:rPr>
          <w:rFonts w:cs="Arial"/>
        </w:rPr>
        <w:t xml:space="preserve">Small Jurisdiction </w:t>
      </w:r>
      <w:r w:rsidR="00BC7696">
        <w:rPr>
          <w:rFonts w:cs="Arial"/>
        </w:rPr>
        <w:t>O</w:t>
      </w:r>
      <w:r w:rsidR="00BC7696" w:rsidRPr="00B33A7B">
        <w:rPr>
          <w:rFonts w:cs="Arial"/>
        </w:rPr>
        <w:t>ver</w:t>
      </w:r>
      <w:r w:rsidRPr="00B33A7B">
        <w:rPr>
          <w:rFonts w:cs="Arial"/>
        </w:rPr>
        <w:t>-the-</w:t>
      </w:r>
      <w:r w:rsidR="00BC7696">
        <w:rPr>
          <w:rFonts w:cs="Arial"/>
        </w:rPr>
        <w:t>C</w:t>
      </w:r>
      <w:r w:rsidR="00BC7696" w:rsidRPr="00B33A7B">
        <w:rPr>
          <w:rFonts w:cs="Arial"/>
        </w:rPr>
        <w:t xml:space="preserve">ounter </w:t>
      </w:r>
      <w:r w:rsidRPr="00B33A7B">
        <w:rPr>
          <w:rFonts w:cs="Arial"/>
        </w:rPr>
        <w:t>process: Qualifying Infill Projects and Qualifying Infill Areas</w:t>
      </w:r>
    </w:p>
    <w:p w14:paraId="2E128535" w14:textId="77777777" w:rsidR="00A676AC" w:rsidRPr="00B33A7B" w:rsidRDefault="00A676AC" w:rsidP="00A676AC">
      <w:pPr>
        <w:pStyle w:val="ListParagraph"/>
        <w:widowControl w:val="0"/>
        <w:tabs>
          <w:tab w:val="left" w:pos="1800"/>
        </w:tabs>
        <w:autoSpaceDE w:val="0"/>
        <w:autoSpaceDN w:val="0"/>
        <w:rPr>
          <w:rFonts w:cs="Arial"/>
        </w:rPr>
      </w:pPr>
      <w:r w:rsidRPr="00B33A7B">
        <w:rPr>
          <w:rFonts w:cs="Arial"/>
        </w:rPr>
        <w:t xml:space="preserve"> </w:t>
      </w:r>
    </w:p>
    <w:p w14:paraId="178D20BE" w14:textId="77777777" w:rsidR="00A676AC" w:rsidRPr="00B33A7B" w:rsidRDefault="00A676AC" w:rsidP="00993D09">
      <w:pPr>
        <w:pStyle w:val="ListParagraph"/>
        <w:widowControl w:val="0"/>
        <w:numPr>
          <w:ilvl w:val="0"/>
          <w:numId w:val="52"/>
        </w:numPr>
        <w:tabs>
          <w:tab w:val="left" w:pos="1451"/>
          <w:tab w:val="left" w:pos="1452"/>
        </w:tabs>
        <w:autoSpaceDE w:val="0"/>
        <w:autoSpaceDN w:val="0"/>
        <w:rPr>
          <w:rFonts w:cs="Arial"/>
        </w:rPr>
      </w:pPr>
      <w:r w:rsidRPr="00B33A7B">
        <w:rPr>
          <w:rFonts w:cs="Arial"/>
        </w:rPr>
        <w:t xml:space="preserve">The NOFA for Small Jurisdictions will specify the amount of funds available, application requirements, the date the Department will begin accepting </w:t>
      </w:r>
      <w:r w:rsidRPr="00B33A7B">
        <w:rPr>
          <w:rFonts w:cs="Arial"/>
        </w:rPr>
        <w:lastRenderedPageBreak/>
        <w:t>applications, a list of counties eligible to apply under this NOFA, and the general terms and conditions of funding commitments.</w:t>
      </w:r>
    </w:p>
    <w:p w14:paraId="1C2DCE60" w14:textId="77777777" w:rsidR="00A676AC" w:rsidRPr="00B33A7B" w:rsidRDefault="00A676AC" w:rsidP="00A676AC">
      <w:pPr>
        <w:pStyle w:val="ListParagraph"/>
        <w:ind w:left="0"/>
        <w:rPr>
          <w:rFonts w:cs="Arial"/>
        </w:rPr>
      </w:pPr>
    </w:p>
    <w:p w14:paraId="2452F8F1" w14:textId="263E0BBE" w:rsidR="00A676AC" w:rsidRPr="00B33A7B" w:rsidRDefault="00A676AC" w:rsidP="00993D09">
      <w:pPr>
        <w:pStyle w:val="ListParagraph"/>
        <w:widowControl w:val="0"/>
        <w:numPr>
          <w:ilvl w:val="0"/>
          <w:numId w:val="52"/>
        </w:numPr>
        <w:tabs>
          <w:tab w:val="left" w:pos="1451"/>
          <w:tab w:val="left" w:pos="1452"/>
        </w:tabs>
        <w:autoSpaceDE w:val="0"/>
        <w:autoSpaceDN w:val="0"/>
        <w:rPr>
          <w:rFonts w:cs="Arial"/>
        </w:rPr>
      </w:pPr>
      <w:r w:rsidRPr="00B33A7B">
        <w:rPr>
          <w:rFonts w:cs="Arial"/>
        </w:rPr>
        <w:t xml:space="preserve">The Department shall accept applications for Projects in Small Jurisdictions on an </w:t>
      </w:r>
      <w:r w:rsidR="00BC7696">
        <w:rPr>
          <w:rFonts w:cs="Arial"/>
        </w:rPr>
        <w:t>O</w:t>
      </w:r>
      <w:r w:rsidR="00BC7696" w:rsidRPr="00B33A7B">
        <w:rPr>
          <w:rFonts w:cs="Arial"/>
        </w:rPr>
        <w:t>ver</w:t>
      </w:r>
      <w:r w:rsidRPr="00B33A7B">
        <w:rPr>
          <w:rFonts w:cs="Arial"/>
        </w:rPr>
        <w:t>-the-</w:t>
      </w:r>
      <w:r w:rsidR="00BC7696">
        <w:rPr>
          <w:rFonts w:cs="Arial"/>
        </w:rPr>
        <w:t>C</w:t>
      </w:r>
      <w:r w:rsidR="00BC7696" w:rsidRPr="00B33A7B">
        <w:rPr>
          <w:rFonts w:cs="Arial"/>
        </w:rPr>
        <w:t xml:space="preserve">ounter </w:t>
      </w:r>
      <w:r w:rsidRPr="00B33A7B">
        <w:rPr>
          <w:rFonts w:cs="Arial"/>
        </w:rPr>
        <w:t>basis and evaluate them for compliance with the eligibility requirements listed in Section 200 and threshold requirements listed in Section 202. Small Jurisdiction applications that meet all threshold and eligible Project requirements shall be selected for funding as specified in these Guidelines and the NOFA for Small Jurisdictions to the exten</w:t>
      </w:r>
      <w:r w:rsidR="00732510" w:rsidRPr="00B33A7B">
        <w:rPr>
          <w:rFonts w:cs="Arial"/>
        </w:rPr>
        <w:t>t</w:t>
      </w:r>
      <w:r w:rsidRPr="00B33A7B">
        <w:rPr>
          <w:rFonts w:cs="Arial"/>
        </w:rPr>
        <w:t xml:space="preserve"> funds are available. </w:t>
      </w:r>
    </w:p>
    <w:p w14:paraId="019DC1E4" w14:textId="77777777" w:rsidR="00BE5C8D" w:rsidRPr="00B33A7B" w:rsidRDefault="00BE5C8D" w:rsidP="00851489">
      <w:pPr>
        <w:pStyle w:val="ListParagraph"/>
        <w:rPr>
          <w:rFonts w:cs="Arial"/>
        </w:rPr>
      </w:pPr>
    </w:p>
    <w:p w14:paraId="2511D887" w14:textId="2DD5BD6A" w:rsidR="005B7FAE" w:rsidRPr="00B33A7B" w:rsidRDefault="005B7FAE" w:rsidP="00725A73">
      <w:pPr>
        <w:pStyle w:val="Style2"/>
        <w:ind w:left="0" w:firstLine="0"/>
        <w:outlineLvl w:val="1"/>
        <w:rPr>
          <w:color w:val="auto"/>
        </w:rPr>
      </w:pPr>
      <w:bookmarkStart w:id="33" w:name="_Hlk64036291"/>
      <w:bookmarkStart w:id="34" w:name="_Toc106173296"/>
      <w:bookmarkEnd w:id="33"/>
      <w:r w:rsidRPr="00B33A7B">
        <w:rPr>
          <w:color w:val="auto"/>
        </w:rPr>
        <w:t xml:space="preserve">Section </w:t>
      </w:r>
      <w:r w:rsidR="00F314F7" w:rsidRPr="00B33A7B">
        <w:rPr>
          <w:color w:val="auto"/>
        </w:rPr>
        <w:t>40</w:t>
      </w:r>
      <w:r w:rsidR="00C76CAB" w:rsidRPr="00B33A7B">
        <w:rPr>
          <w:color w:val="auto"/>
        </w:rPr>
        <w:t>2</w:t>
      </w:r>
      <w:r w:rsidRPr="00B33A7B">
        <w:rPr>
          <w:color w:val="auto"/>
        </w:rPr>
        <w:t xml:space="preserve">. </w:t>
      </w:r>
      <w:r w:rsidR="00F314F7" w:rsidRPr="00B33A7B">
        <w:rPr>
          <w:color w:val="auto"/>
        </w:rPr>
        <w:t xml:space="preserve">Application Scoring and </w:t>
      </w:r>
      <w:r w:rsidRPr="00B33A7B">
        <w:rPr>
          <w:color w:val="auto"/>
        </w:rPr>
        <w:t xml:space="preserve">Selection Criteria for </w:t>
      </w:r>
      <w:r w:rsidR="00605DE7" w:rsidRPr="00B33A7B">
        <w:rPr>
          <w:color w:val="auto"/>
        </w:rPr>
        <w:t>Qualifying Infill Areas</w:t>
      </w:r>
      <w:r w:rsidRPr="00B33A7B">
        <w:rPr>
          <w:color w:val="auto"/>
        </w:rPr>
        <w:t xml:space="preserve"> in </w:t>
      </w:r>
      <w:r w:rsidR="00605DE7" w:rsidRPr="00B33A7B">
        <w:rPr>
          <w:color w:val="auto"/>
        </w:rPr>
        <w:t>Large</w:t>
      </w:r>
      <w:r w:rsidRPr="00B33A7B">
        <w:rPr>
          <w:color w:val="auto"/>
        </w:rPr>
        <w:t xml:space="preserve"> Jurisdictions</w:t>
      </w:r>
      <w:r w:rsidR="00C260A1" w:rsidRPr="00B33A7B">
        <w:rPr>
          <w:color w:val="auto"/>
        </w:rPr>
        <w:t>.</w:t>
      </w:r>
      <w:bookmarkEnd w:id="34"/>
    </w:p>
    <w:p w14:paraId="4844A52E" w14:textId="77777777" w:rsidR="00D71146" w:rsidRPr="00B33A7B" w:rsidRDefault="00D71146" w:rsidP="00D71146">
      <w:pPr>
        <w:pStyle w:val="Style2"/>
      </w:pPr>
    </w:p>
    <w:p w14:paraId="0279E2F9" w14:textId="257644F5" w:rsidR="00C34AC0" w:rsidRPr="00B33A7B" w:rsidRDefault="4F111262" w:rsidP="00C34AC0">
      <w:pPr>
        <w:pStyle w:val="BodyTextIndent3"/>
        <w:tabs>
          <w:tab w:val="left" w:pos="1440"/>
        </w:tabs>
        <w:ind w:left="0" w:firstLine="0"/>
        <w:rPr>
          <w:rFonts w:cs="Arial"/>
        </w:rPr>
      </w:pPr>
      <w:r w:rsidRPr="00B33A7B">
        <w:rPr>
          <w:rFonts w:cs="Arial"/>
        </w:rPr>
        <w:t xml:space="preserve">Applications for </w:t>
      </w:r>
      <w:r w:rsidR="477363E9" w:rsidRPr="00B33A7B">
        <w:rPr>
          <w:rFonts w:cs="Arial"/>
        </w:rPr>
        <w:t>Qualifying Infill Area</w:t>
      </w:r>
      <w:r w:rsidRPr="00B33A7B">
        <w:rPr>
          <w:rFonts w:cs="Arial"/>
        </w:rPr>
        <w:t xml:space="preserve">s </w:t>
      </w:r>
      <w:r w:rsidR="1E0E2314" w:rsidRPr="00B33A7B">
        <w:rPr>
          <w:rFonts w:cs="Arial"/>
        </w:rPr>
        <w:t xml:space="preserve">in Large Jurisdictions </w:t>
      </w:r>
      <w:r w:rsidRPr="00B33A7B">
        <w:rPr>
          <w:rFonts w:cs="Arial"/>
        </w:rPr>
        <w:t xml:space="preserve">shall be </w:t>
      </w:r>
      <w:r w:rsidR="3AA2421D" w:rsidRPr="00B33A7B">
        <w:rPr>
          <w:rFonts w:cs="Arial"/>
        </w:rPr>
        <w:t>rated</w:t>
      </w:r>
      <w:r w:rsidRPr="00B33A7B">
        <w:rPr>
          <w:rFonts w:cs="Arial"/>
        </w:rPr>
        <w:t xml:space="preserve"> using the </w:t>
      </w:r>
      <w:r w:rsidR="7813C1FB" w:rsidRPr="00B33A7B">
        <w:rPr>
          <w:rFonts w:cs="Arial"/>
        </w:rPr>
        <w:t xml:space="preserve">Scoring </w:t>
      </w:r>
      <w:r w:rsidR="7AE3B807" w:rsidRPr="00B33A7B">
        <w:rPr>
          <w:rFonts w:cs="Arial"/>
        </w:rPr>
        <w:t>Criteria</w:t>
      </w:r>
      <w:r w:rsidR="7813C1FB" w:rsidRPr="00B33A7B">
        <w:rPr>
          <w:rFonts w:cs="Arial"/>
        </w:rPr>
        <w:t xml:space="preserve"> </w:t>
      </w:r>
      <w:r w:rsidR="4E013B9B" w:rsidRPr="00B33A7B">
        <w:rPr>
          <w:rFonts w:cs="Arial"/>
        </w:rPr>
        <w:t xml:space="preserve">outlined </w:t>
      </w:r>
      <w:r w:rsidR="7475E91F" w:rsidRPr="00B33A7B">
        <w:rPr>
          <w:rFonts w:cs="Arial"/>
        </w:rPr>
        <w:t>in</w:t>
      </w:r>
      <w:r w:rsidR="7813C1FB" w:rsidRPr="00B33A7B">
        <w:rPr>
          <w:rFonts w:cs="Arial"/>
        </w:rPr>
        <w:t xml:space="preserve"> the NOFA</w:t>
      </w:r>
      <w:r w:rsidRPr="00B33A7B">
        <w:rPr>
          <w:rFonts w:cs="Arial"/>
        </w:rPr>
        <w:t xml:space="preserve">. </w:t>
      </w:r>
      <w:r w:rsidR="7ABEF860" w:rsidRPr="00B33A7B">
        <w:rPr>
          <w:rFonts w:cs="Arial"/>
        </w:rPr>
        <w:t xml:space="preserve">Eligible </w:t>
      </w:r>
      <w:r w:rsidRPr="00B33A7B">
        <w:rPr>
          <w:rFonts w:cs="Arial"/>
        </w:rPr>
        <w:t xml:space="preserve">Applicants may elect to exclude from consideration discrete phases or portions of the developments within the </w:t>
      </w:r>
      <w:r w:rsidR="477363E9" w:rsidRPr="00B33A7B">
        <w:rPr>
          <w:rFonts w:cs="Arial"/>
        </w:rPr>
        <w:t>Qualifying Infill Area</w:t>
      </w:r>
      <w:r w:rsidRPr="00B33A7B">
        <w:rPr>
          <w:rFonts w:cs="Arial"/>
        </w:rPr>
        <w:t>, provided these portions or phases are not included for other purposes under these Guidelines, including rating pursuant to this Section</w:t>
      </w:r>
      <w:r w:rsidR="62A9E61A" w:rsidRPr="00B33A7B">
        <w:rPr>
          <w:rFonts w:cs="Arial"/>
        </w:rPr>
        <w:t>,</w:t>
      </w:r>
      <w:r w:rsidRPr="00B33A7B">
        <w:rPr>
          <w:rFonts w:cs="Arial"/>
        </w:rPr>
        <w:t xml:space="preserve"> and</w:t>
      </w:r>
      <w:r w:rsidR="62A9E61A" w:rsidRPr="00B33A7B">
        <w:rPr>
          <w:rFonts w:cs="Arial"/>
        </w:rPr>
        <w:t xml:space="preserve"> determining</w:t>
      </w:r>
      <w:r w:rsidRPr="00B33A7B">
        <w:rPr>
          <w:rFonts w:cs="Arial"/>
        </w:rPr>
        <w:t xml:space="preserve"> the maximum grant amount calcu</w:t>
      </w:r>
      <w:r w:rsidR="09208A31" w:rsidRPr="00B33A7B">
        <w:rPr>
          <w:rFonts w:cs="Arial"/>
        </w:rPr>
        <w:t xml:space="preserve">lated pursuant to </w:t>
      </w:r>
      <w:r w:rsidR="4CF53CCB" w:rsidRPr="00B33A7B">
        <w:rPr>
          <w:rFonts w:cs="Arial"/>
        </w:rPr>
        <w:t xml:space="preserve">Section </w:t>
      </w:r>
      <w:r w:rsidR="1B2FCC47" w:rsidRPr="00B33A7B">
        <w:rPr>
          <w:rFonts w:cs="Arial"/>
        </w:rPr>
        <w:t>205</w:t>
      </w:r>
      <w:r w:rsidR="09208A31" w:rsidRPr="00B33A7B">
        <w:rPr>
          <w:rFonts w:cs="Arial"/>
        </w:rPr>
        <w:t>.</w:t>
      </w:r>
      <w:r w:rsidRPr="00B33A7B">
        <w:rPr>
          <w:rFonts w:cs="Arial"/>
        </w:rPr>
        <w:t xml:space="preserve"> </w:t>
      </w:r>
    </w:p>
    <w:p w14:paraId="71F0517B" w14:textId="77777777" w:rsidR="00D802CD" w:rsidRPr="00B33A7B" w:rsidRDefault="00D802CD" w:rsidP="00D802CD">
      <w:pPr>
        <w:ind w:right="90"/>
      </w:pPr>
    </w:p>
    <w:p w14:paraId="1F74D080" w14:textId="20C53218" w:rsidR="00F314F7" w:rsidRPr="00B33A7B" w:rsidRDefault="00F314F7" w:rsidP="00812B87">
      <w:pPr>
        <w:pStyle w:val="Style2"/>
        <w:outlineLvl w:val="1"/>
        <w:rPr>
          <w:color w:val="auto"/>
        </w:rPr>
      </w:pPr>
      <w:bookmarkStart w:id="35" w:name="_Toc106173297"/>
      <w:r w:rsidRPr="00B33A7B">
        <w:rPr>
          <w:color w:val="auto"/>
        </w:rPr>
        <w:t xml:space="preserve">Section </w:t>
      </w:r>
      <w:r w:rsidR="006E2A10" w:rsidRPr="00B33A7B">
        <w:rPr>
          <w:color w:val="auto"/>
        </w:rPr>
        <w:t>40</w:t>
      </w:r>
      <w:r w:rsidR="00C76CAB" w:rsidRPr="00B33A7B">
        <w:rPr>
          <w:color w:val="auto"/>
        </w:rPr>
        <w:t>3</w:t>
      </w:r>
      <w:r w:rsidRPr="00B33A7B">
        <w:rPr>
          <w:color w:val="auto"/>
        </w:rPr>
        <w:t xml:space="preserve">. Performance </w:t>
      </w:r>
      <w:r w:rsidR="008D6D68" w:rsidRPr="00B33A7B">
        <w:rPr>
          <w:color w:val="auto"/>
        </w:rPr>
        <w:t>Deadlines</w:t>
      </w:r>
      <w:r w:rsidR="00C260A1" w:rsidRPr="00B33A7B">
        <w:rPr>
          <w:color w:val="auto"/>
        </w:rPr>
        <w:t>.</w:t>
      </w:r>
      <w:bookmarkEnd w:id="35"/>
    </w:p>
    <w:p w14:paraId="5F6F86BB" w14:textId="77777777" w:rsidR="00F314F7" w:rsidRPr="00B33A7B" w:rsidRDefault="00F314F7" w:rsidP="00F314F7"/>
    <w:p w14:paraId="088D57F1" w14:textId="192C0D83" w:rsidR="00295739" w:rsidRPr="00B33A7B" w:rsidRDefault="00295739" w:rsidP="00993D09">
      <w:pPr>
        <w:pStyle w:val="ListParagraph"/>
        <w:numPr>
          <w:ilvl w:val="0"/>
          <w:numId w:val="38"/>
        </w:numPr>
        <w:ind w:left="720" w:right="360" w:hanging="720"/>
        <w:rPr>
          <w:rFonts w:cs="Arial"/>
        </w:rPr>
      </w:pPr>
      <w:r w:rsidRPr="00B33A7B">
        <w:rPr>
          <w:rFonts w:cs="Arial"/>
        </w:rPr>
        <w:t xml:space="preserve">Program </w:t>
      </w:r>
      <w:r w:rsidR="00FE0A5E" w:rsidRPr="00B33A7B">
        <w:rPr>
          <w:rFonts w:cs="Arial"/>
        </w:rPr>
        <w:t xml:space="preserve">grant </w:t>
      </w:r>
      <w:r w:rsidRPr="00B33A7B">
        <w:rPr>
          <w:rFonts w:cs="Arial"/>
        </w:rPr>
        <w:t xml:space="preserve">funds </w:t>
      </w:r>
      <w:r w:rsidR="00FE0A5E" w:rsidRPr="00B33A7B">
        <w:rPr>
          <w:rFonts w:cs="Arial"/>
        </w:rPr>
        <w:t xml:space="preserve">used for the completion of the Capital Improvement Project </w:t>
      </w:r>
      <w:r w:rsidRPr="00B33A7B">
        <w:rPr>
          <w:rFonts w:cs="Arial"/>
        </w:rPr>
        <w:t>must be disbursed in accordance with the deadlines specified in the NOFA and Standard Agreement. The Recipient must provide final disbursement requests by the disbursement deadline specified in the NOFA and Standard Agreement.</w:t>
      </w:r>
      <w:r w:rsidR="005D7853" w:rsidRPr="00B33A7B">
        <w:rPr>
          <w:rFonts w:cs="Arial"/>
        </w:rPr>
        <w:t xml:space="preserve"> </w:t>
      </w:r>
    </w:p>
    <w:p w14:paraId="668420B1" w14:textId="5423261E" w:rsidR="00FE0A5E" w:rsidRPr="00B33A7B" w:rsidRDefault="00FE0A5E" w:rsidP="00DD2B11">
      <w:pPr>
        <w:pStyle w:val="ListParagraph"/>
        <w:ind w:left="1080"/>
      </w:pPr>
    </w:p>
    <w:p w14:paraId="38FD03D6" w14:textId="1268A830" w:rsidR="00E10F03" w:rsidRPr="00B33A7B" w:rsidRDefault="00616BCD" w:rsidP="00993D09">
      <w:pPr>
        <w:pStyle w:val="ListParagraph"/>
        <w:numPr>
          <w:ilvl w:val="0"/>
          <w:numId w:val="38"/>
        </w:numPr>
        <w:ind w:left="720" w:right="360" w:hanging="720"/>
        <w:rPr>
          <w:rFonts w:cs="Arial"/>
        </w:rPr>
      </w:pPr>
      <w:r w:rsidRPr="00B33A7B">
        <w:rPr>
          <w:rFonts w:cs="Arial"/>
        </w:rPr>
        <w:t xml:space="preserve">Additionally, </w:t>
      </w:r>
      <w:r w:rsidR="00E10F03" w:rsidRPr="00B33A7B">
        <w:rPr>
          <w:rFonts w:cs="Arial"/>
        </w:rPr>
        <w:t xml:space="preserve">the Qualifying Infill Project </w:t>
      </w:r>
      <w:r w:rsidR="00435A74" w:rsidRPr="00B33A7B">
        <w:rPr>
          <w:rFonts w:cs="Arial"/>
        </w:rPr>
        <w:t xml:space="preserve">or Qualifying Infill Area </w:t>
      </w:r>
      <w:r w:rsidR="00E10F03" w:rsidRPr="00B33A7B">
        <w:rPr>
          <w:rFonts w:cs="Arial"/>
        </w:rPr>
        <w:t xml:space="preserve">used as the basis for calculating the Capital Improvement Project grant amount in the application must meet the following:  </w:t>
      </w:r>
    </w:p>
    <w:p w14:paraId="0826A334" w14:textId="6BD8ED39" w:rsidR="00E10F03" w:rsidRPr="00B33A7B" w:rsidRDefault="00E10F03" w:rsidP="00E10F03">
      <w:pPr>
        <w:pStyle w:val="ListParagraph"/>
        <w:ind w:right="360"/>
        <w:rPr>
          <w:rFonts w:cs="Arial"/>
        </w:rPr>
      </w:pPr>
    </w:p>
    <w:p w14:paraId="495D0F53" w14:textId="365F0E25" w:rsidR="0090220F" w:rsidRPr="00B33A7B" w:rsidRDefault="784B78E1" w:rsidP="00993D09">
      <w:pPr>
        <w:pStyle w:val="ListParagraph"/>
        <w:numPr>
          <w:ilvl w:val="0"/>
          <w:numId w:val="25"/>
        </w:numPr>
        <w:tabs>
          <w:tab w:val="num" w:pos="3510"/>
        </w:tabs>
        <w:ind w:right="360" w:hanging="720"/>
        <w:rPr>
          <w:rFonts w:cs="Arial"/>
        </w:rPr>
      </w:pPr>
      <w:r w:rsidRPr="00B33A7B">
        <w:rPr>
          <w:rFonts w:cs="Arial"/>
        </w:rPr>
        <w:t xml:space="preserve">All permanent financing commitments shall be secured within 24 months of any </w:t>
      </w:r>
      <w:r w:rsidR="319508D5" w:rsidRPr="00B33A7B">
        <w:rPr>
          <w:rFonts w:cs="Arial"/>
        </w:rPr>
        <w:t>A</w:t>
      </w:r>
      <w:r w:rsidRPr="00B33A7B">
        <w:rPr>
          <w:rFonts w:cs="Arial"/>
        </w:rPr>
        <w:t xml:space="preserve">ward of Program funds. </w:t>
      </w:r>
      <w:r w:rsidR="00A951B1" w:rsidRPr="00B33A7B">
        <w:t>With respect to a Qualifying Infill Area, the foregoing requirement is applicable to all Qualifying Infill Projects within that Qualifying Infill Area.</w:t>
      </w:r>
      <w:r w:rsidRPr="00B33A7B">
        <w:rPr>
          <w:rFonts w:cs="Arial"/>
        </w:rPr>
        <w:t xml:space="preserve"> </w:t>
      </w:r>
    </w:p>
    <w:p w14:paraId="045E1ACD" w14:textId="77777777" w:rsidR="00E10F03" w:rsidRPr="00B33A7B" w:rsidRDefault="00E10F03" w:rsidP="00E10F03">
      <w:pPr>
        <w:pStyle w:val="ListParagraph"/>
        <w:ind w:right="360"/>
        <w:rPr>
          <w:rFonts w:cs="Arial"/>
        </w:rPr>
      </w:pPr>
    </w:p>
    <w:p w14:paraId="549091AB" w14:textId="2A7CBF46" w:rsidR="00F314F7" w:rsidRPr="00B33A7B" w:rsidRDefault="00F314F7" w:rsidP="00993D09">
      <w:pPr>
        <w:pStyle w:val="ListParagraph"/>
        <w:numPr>
          <w:ilvl w:val="0"/>
          <w:numId w:val="40"/>
        </w:numPr>
        <w:ind w:left="2160" w:hanging="720"/>
        <w:rPr>
          <w:rFonts w:cs="Arial"/>
        </w:rPr>
      </w:pPr>
      <w:r w:rsidRPr="00B33A7B">
        <w:rPr>
          <w:rFonts w:cs="Arial"/>
        </w:rPr>
        <w:t>If</w:t>
      </w:r>
      <w:r w:rsidR="00096ECE" w:rsidRPr="00B33A7B">
        <w:rPr>
          <w:rFonts w:cs="Arial"/>
        </w:rPr>
        <w:t xml:space="preserve"> funding commit</w:t>
      </w:r>
      <w:r w:rsidR="002C7970" w:rsidRPr="00B33A7B">
        <w:rPr>
          <w:rFonts w:cs="Arial"/>
        </w:rPr>
        <w:t>ments are not secured in accordance with subsection (1) above</w:t>
      </w:r>
      <w:r w:rsidR="001F4F70" w:rsidRPr="00B33A7B">
        <w:rPr>
          <w:rFonts w:cs="Arial"/>
        </w:rPr>
        <w:t xml:space="preserve"> and pursuant to the Department’s Disencumbrance Policy</w:t>
      </w:r>
      <w:r w:rsidR="002C7970" w:rsidRPr="00B33A7B">
        <w:rPr>
          <w:rFonts w:cs="Arial"/>
        </w:rPr>
        <w:t>, the</w:t>
      </w:r>
      <w:r w:rsidRPr="00B33A7B">
        <w:rPr>
          <w:rFonts w:cs="Arial"/>
        </w:rPr>
        <w:t xml:space="preserve"> Recipient will be required to repay disbursed Program grant funds. The proportion of the amount to be repaid (A) to the total grant amount (B) shall be the same as the number of residential </w:t>
      </w:r>
      <w:r w:rsidR="001F4F70" w:rsidRPr="00B33A7B">
        <w:rPr>
          <w:rFonts w:cs="Arial"/>
        </w:rPr>
        <w:t>U</w:t>
      </w:r>
      <w:r w:rsidRPr="00B33A7B">
        <w:rPr>
          <w:rFonts w:cs="Arial"/>
        </w:rPr>
        <w:t xml:space="preserve">nits where construction has not timely commenced (C) to the total number of designated residential units (D) (Formula: A=C/D * B). </w:t>
      </w:r>
    </w:p>
    <w:p w14:paraId="3974FB03" w14:textId="61583E17" w:rsidR="00F314F7" w:rsidRPr="00B33A7B" w:rsidRDefault="00F314F7" w:rsidP="00F314F7">
      <w:pPr>
        <w:pStyle w:val="ListParagraph"/>
        <w:ind w:right="360"/>
        <w:rPr>
          <w:rFonts w:cs="Arial"/>
        </w:rPr>
      </w:pPr>
    </w:p>
    <w:p w14:paraId="57CE7688" w14:textId="7AE8333B" w:rsidR="00F314F7" w:rsidRPr="00B33A7B" w:rsidRDefault="00E33AE6" w:rsidP="00993D09">
      <w:pPr>
        <w:pStyle w:val="ListParagraph"/>
        <w:numPr>
          <w:ilvl w:val="0"/>
          <w:numId w:val="25"/>
        </w:numPr>
        <w:tabs>
          <w:tab w:val="num" w:pos="3510"/>
        </w:tabs>
        <w:ind w:right="360" w:hanging="720"/>
        <w:rPr>
          <w:rFonts w:cs="Arial"/>
        </w:rPr>
      </w:pPr>
      <w:r w:rsidRPr="00B33A7B">
        <w:rPr>
          <w:rFonts w:cs="Arial"/>
        </w:rPr>
        <w:t xml:space="preserve">The Qualifying Infill Project </w:t>
      </w:r>
      <w:r w:rsidR="005A1B5F" w:rsidRPr="00B33A7B">
        <w:rPr>
          <w:rFonts w:cs="Arial"/>
        </w:rPr>
        <w:t>or</w:t>
      </w:r>
      <w:r w:rsidR="00FE2ED9" w:rsidRPr="00B33A7B">
        <w:rPr>
          <w:rFonts w:cs="Arial"/>
        </w:rPr>
        <w:t xml:space="preserve"> Qualifying Infill Area </w:t>
      </w:r>
      <w:r w:rsidRPr="00B33A7B">
        <w:rPr>
          <w:rFonts w:cs="Arial"/>
        </w:rPr>
        <w:t xml:space="preserve">must </w:t>
      </w:r>
      <w:r w:rsidR="00F314F7" w:rsidRPr="00B33A7B">
        <w:rPr>
          <w:rFonts w:cs="Arial"/>
        </w:rPr>
        <w:t xml:space="preserve">complete construction of the housing units which were used as the basis for </w:t>
      </w:r>
      <w:r w:rsidR="00F314F7" w:rsidRPr="00B33A7B">
        <w:rPr>
          <w:rFonts w:cs="Arial"/>
        </w:rPr>
        <w:lastRenderedPageBreak/>
        <w:t xml:space="preserve">calculating the Program </w:t>
      </w:r>
      <w:r w:rsidR="00F23BE3" w:rsidRPr="00B33A7B">
        <w:rPr>
          <w:rFonts w:cs="Arial"/>
        </w:rPr>
        <w:t>A</w:t>
      </w:r>
      <w:r w:rsidR="00F314F7" w:rsidRPr="00B33A7B">
        <w:rPr>
          <w:rFonts w:cs="Arial"/>
        </w:rPr>
        <w:t>ward</w:t>
      </w:r>
      <w:r w:rsidR="009565D3" w:rsidRPr="00B33A7B">
        <w:rPr>
          <w:rFonts w:cs="Arial"/>
        </w:rPr>
        <w:t xml:space="preserve"> within three years of securing all permanent financing</w:t>
      </w:r>
      <w:r w:rsidR="00F314F7" w:rsidRPr="00B33A7B">
        <w:rPr>
          <w:rFonts w:cs="Arial"/>
        </w:rPr>
        <w:t xml:space="preserve">. Completion of construction must be evidenced by a certificate of occupancy or equivalent documentation and submitted to the Department.  </w:t>
      </w:r>
    </w:p>
    <w:p w14:paraId="5A21ED1E" w14:textId="513CB9C2" w:rsidR="008A4F06" w:rsidRPr="00B33A7B" w:rsidRDefault="008A4F06" w:rsidP="00812B87">
      <w:pPr>
        <w:pStyle w:val="ListParagraph"/>
        <w:ind w:left="1440" w:right="360"/>
        <w:rPr>
          <w:rFonts w:cs="Arial"/>
        </w:rPr>
      </w:pPr>
    </w:p>
    <w:p w14:paraId="48AAB475" w14:textId="4D0DF92B" w:rsidR="00574629" w:rsidRPr="00B33A7B" w:rsidRDefault="654A4E97" w:rsidP="00993D09">
      <w:pPr>
        <w:pStyle w:val="ListParagraph"/>
        <w:numPr>
          <w:ilvl w:val="0"/>
          <w:numId w:val="38"/>
        </w:numPr>
        <w:ind w:left="720" w:right="360" w:hanging="720"/>
        <w:rPr>
          <w:rFonts w:cs="Arial"/>
        </w:rPr>
      </w:pPr>
      <w:r w:rsidRPr="000708EA">
        <w:rPr>
          <w:rFonts w:cs="Arial"/>
          <w:color w:val="C00000"/>
        </w:rPr>
        <w:t>In addition to (a)</w:t>
      </w:r>
      <w:r w:rsidR="00FE0C66" w:rsidRPr="000708EA">
        <w:rPr>
          <w:rFonts w:cs="Arial"/>
          <w:color w:val="C00000"/>
        </w:rPr>
        <w:t xml:space="preserve"> and (b) above</w:t>
      </w:r>
      <w:r w:rsidRPr="000708EA">
        <w:rPr>
          <w:rFonts w:cs="Arial"/>
          <w:color w:val="C00000"/>
        </w:rPr>
        <w:t xml:space="preserve">, all </w:t>
      </w:r>
      <w:r w:rsidRPr="00B33A7B">
        <w:rPr>
          <w:rFonts w:cs="Arial"/>
        </w:rPr>
        <w:t xml:space="preserve">Recipients </w:t>
      </w:r>
      <w:r w:rsidRPr="000708EA">
        <w:rPr>
          <w:rFonts w:cs="Arial"/>
          <w:color w:val="C00000"/>
        </w:rPr>
        <w:t xml:space="preserve">will be subject to the Department’s Disencumbrance Policy. The Disencumbrance Policy, Administrative Notice Number 2022-02 dated March 30, 2022, and as published on the Department’s </w:t>
      </w:r>
      <w:r w:rsidR="62353EAB" w:rsidRPr="000708EA">
        <w:rPr>
          <w:color w:val="C00000"/>
        </w:rPr>
        <w:t>website</w:t>
      </w:r>
      <w:r w:rsidR="00965859" w:rsidRPr="000708EA">
        <w:rPr>
          <w:color w:val="C00000"/>
        </w:rPr>
        <w:t xml:space="preserve"> </w:t>
      </w:r>
      <w:r w:rsidR="00965859" w:rsidRPr="00B33A7B">
        <w:t xml:space="preserve">at </w:t>
      </w:r>
      <w:hyperlink r:id="rId24" w:history="1">
        <w:r w:rsidR="00965859" w:rsidRPr="00B33A7B">
          <w:rPr>
            <w:rStyle w:val="Hyperlink"/>
          </w:rPr>
          <w:t>https://www.hcd.ca.gov/grants-and-funding</w:t>
        </w:r>
      </w:hyperlink>
      <w:r w:rsidRPr="000708EA">
        <w:rPr>
          <w:rFonts w:cs="Arial"/>
          <w:color w:val="C00000"/>
        </w:rPr>
        <w:t>, is hereby incorporated by this reference to these Guidelines as if set forth in full herein, and shall apply with equal force as all other provisions set forth herein.</w:t>
      </w:r>
      <w:r w:rsidR="5B9BF9F5" w:rsidRPr="000708EA">
        <w:rPr>
          <w:rFonts w:cs="Arial"/>
          <w:color w:val="C00000"/>
        </w:rPr>
        <w:t xml:space="preserve"> </w:t>
      </w:r>
      <w:r w:rsidR="5B9BF9F5" w:rsidRPr="000708EA">
        <w:rPr>
          <w:color w:val="C00000"/>
        </w:rPr>
        <w:t xml:space="preserve">Failure to deliver the project as approved by the Department within applicable timeframes is also a basis for negative points assessment under the Negative Points Policy Section </w:t>
      </w:r>
      <w:r w:rsidR="0D61FAB4" w:rsidRPr="000708EA">
        <w:rPr>
          <w:color w:val="C00000"/>
        </w:rPr>
        <w:t>102</w:t>
      </w:r>
      <w:r w:rsidR="5B9BF9F5" w:rsidRPr="000708EA">
        <w:rPr>
          <w:color w:val="C00000"/>
        </w:rPr>
        <w:t>(</w:t>
      </w:r>
      <w:r w:rsidR="0D61FAB4" w:rsidRPr="000708EA">
        <w:rPr>
          <w:color w:val="C00000"/>
        </w:rPr>
        <w:t>e</w:t>
      </w:r>
      <w:r w:rsidR="5B9BF9F5" w:rsidRPr="000708EA">
        <w:rPr>
          <w:color w:val="C00000"/>
        </w:rPr>
        <w:t xml:space="preserve">). </w:t>
      </w:r>
    </w:p>
    <w:p w14:paraId="21AF3805" w14:textId="77777777" w:rsidR="00574629" w:rsidRPr="00B33A7B" w:rsidRDefault="00574629" w:rsidP="00812B87">
      <w:pPr>
        <w:pStyle w:val="ListParagraph"/>
        <w:ind w:left="1440" w:right="360"/>
        <w:rPr>
          <w:rFonts w:cs="Arial"/>
        </w:rPr>
      </w:pPr>
    </w:p>
    <w:p w14:paraId="536E8ECF" w14:textId="388EF04A" w:rsidR="00321199" w:rsidRPr="00B33A7B" w:rsidRDefault="008A4F06" w:rsidP="00812B87">
      <w:pPr>
        <w:pStyle w:val="Style2"/>
        <w:outlineLvl w:val="0"/>
      </w:pPr>
      <w:bookmarkStart w:id="36" w:name="_Toc106173298"/>
      <w:r w:rsidRPr="00B33A7B">
        <w:t xml:space="preserve">Article </w:t>
      </w:r>
      <w:r w:rsidR="00602565" w:rsidRPr="00B33A7B">
        <w:t>5</w:t>
      </w:r>
      <w:r w:rsidR="009B2007" w:rsidRPr="00B33A7B">
        <w:t xml:space="preserve">. </w:t>
      </w:r>
      <w:r w:rsidRPr="00B33A7B">
        <w:t>Operations</w:t>
      </w:r>
      <w:bookmarkEnd w:id="36"/>
    </w:p>
    <w:p w14:paraId="53698D64" w14:textId="77777777" w:rsidR="00321199" w:rsidRPr="00B33A7B" w:rsidRDefault="00321199">
      <w:pPr>
        <w:ind w:left="720"/>
        <w:rPr>
          <w:rFonts w:cs="Arial"/>
        </w:rPr>
      </w:pPr>
    </w:p>
    <w:p w14:paraId="32E44231" w14:textId="77F3D719" w:rsidR="00321199" w:rsidRPr="00B33A7B" w:rsidRDefault="129922E8" w:rsidP="00812B87">
      <w:pPr>
        <w:pStyle w:val="Style2"/>
        <w:outlineLvl w:val="1"/>
        <w:rPr>
          <w:color w:val="auto"/>
        </w:rPr>
      </w:pPr>
      <w:bookmarkStart w:id="37" w:name="_Toc21277648"/>
      <w:bookmarkStart w:id="38" w:name="_Toc106173299"/>
      <w:r w:rsidRPr="00B33A7B">
        <w:rPr>
          <w:color w:val="auto"/>
        </w:rPr>
        <w:t xml:space="preserve">Section </w:t>
      </w:r>
      <w:r w:rsidR="48C5EDD6" w:rsidRPr="00B33A7B">
        <w:rPr>
          <w:color w:val="auto"/>
        </w:rPr>
        <w:t>500</w:t>
      </w:r>
      <w:r w:rsidRPr="00B33A7B">
        <w:rPr>
          <w:color w:val="auto"/>
        </w:rPr>
        <w:t>. Legal Documents</w:t>
      </w:r>
      <w:bookmarkEnd w:id="37"/>
      <w:r w:rsidR="073B6B60" w:rsidRPr="00B33A7B">
        <w:rPr>
          <w:color w:val="auto"/>
        </w:rPr>
        <w:t>.</w:t>
      </w:r>
      <w:bookmarkEnd w:id="38"/>
    </w:p>
    <w:p w14:paraId="27F54CCA" w14:textId="77777777" w:rsidR="00BB7CBD" w:rsidRPr="00B33A7B" w:rsidRDefault="00BB7CBD" w:rsidP="00600888">
      <w:pPr>
        <w:rPr>
          <w:rFonts w:cs="Arial"/>
        </w:rPr>
      </w:pPr>
    </w:p>
    <w:p w14:paraId="155D3A01" w14:textId="4D7410AB" w:rsidR="00013040" w:rsidRPr="00B33A7B" w:rsidRDefault="00013040" w:rsidP="00993D09">
      <w:pPr>
        <w:pStyle w:val="ListParagraph"/>
        <w:numPr>
          <w:ilvl w:val="0"/>
          <w:numId w:val="23"/>
        </w:numPr>
        <w:ind w:right="90"/>
        <w:rPr>
          <w:rFonts w:cs="Arial"/>
          <w:shd w:val="clear" w:color="auto" w:fill="FFFFFF"/>
        </w:rPr>
      </w:pPr>
      <w:r w:rsidRPr="00B33A7B">
        <w:rPr>
          <w:rFonts w:cs="Arial"/>
          <w:shd w:val="clear" w:color="auto" w:fill="FFFFFF"/>
        </w:rPr>
        <w:t>Standard Agreement</w:t>
      </w:r>
      <w:r w:rsidR="00DA07E5" w:rsidRPr="00B33A7B">
        <w:rPr>
          <w:rFonts w:cs="Arial"/>
          <w:shd w:val="clear" w:color="auto" w:fill="FFFFFF"/>
        </w:rPr>
        <w:t>.</w:t>
      </w:r>
    </w:p>
    <w:p w14:paraId="002DD4C1" w14:textId="77777777" w:rsidR="00116C74" w:rsidRPr="00B33A7B" w:rsidRDefault="00116C74" w:rsidP="00116C74">
      <w:pPr>
        <w:pStyle w:val="ListParagraph"/>
        <w:ind w:right="90"/>
        <w:rPr>
          <w:rFonts w:cs="Arial"/>
          <w:color w:val="000000" w:themeColor="text1"/>
          <w:shd w:val="clear" w:color="auto" w:fill="FFFFFF"/>
        </w:rPr>
      </w:pPr>
    </w:p>
    <w:p w14:paraId="457603CE" w14:textId="6FEE0447" w:rsidR="004852D4" w:rsidRPr="000708EA" w:rsidRDefault="004852D4" w:rsidP="00725A73">
      <w:pPr>
        <w:ind w:left="720"/>
        <w:rPr>
          <w:rFonts w:cs="Arial"/>
          <w:color w:val="C00000"/>
        </w:rPr>
      </w:pPr>
      <w:r w:rsidRPr="000708EA">
        <w:rPr>
          <w:rFonts w:cs="Arial"/>
          <w:color w:val="C00000"/>
        </w:rPr>
        <w:t xml:space="preserve">Upon the Award of Program funds to a Project, the Department shall enter into </w:t>
      </w:r>
      <w:r w:rsidRPr="00B33A7B">
        <w:rPr>
          <w:rFonts w:cs="Arial"/>
        </w:rPr>
        <w:t xml:space="preserve">a Standard </w:t>
      </w:r>
      <w:r w:rsidRPr="000708EA">
        <w:rPr>
          <w:rFonts w:cs="Arial"/>
          <w:color w:val="C00000"/>
        </w:rPr>
        <w:t xml:space="preserve">Agreement with the </w:t>
      </w:r>
      <w:r w:rsidRPr="00B33A7B">
        <w:rPr>
          <w:rFonts w:cs="Arial"/>
        </w:rPr>
        <w:t>Recipient/Sponsor</w:t>
      </w:r>
      <w:r w:rsidRPr="000708EA">
        <w:rPr>
          <w:rFonts w:cs="Arial"/>
          <w:color w:val="C00000"/>
        </w:rPr>
        <w:t xml:space="preserve">, which shall commit funds from the Program, subject to specified conditions, in an amount sufficient to encumber the approved Program </w:t>
      </w:r>
      <w:r w:rsidRPr="00B33A7B">
        <w:rPr>
          <w:rFonts w:cs="Arial"/>
        </w:rPr>
        <w:t>grant</w:t>
      </w:r>
      <w:r w:rsidRPr="00B33A7B">
        <w:rPr>
          <w:rFonts w:cs="Arial"/>
          <w:color w:val="FF0000"/>
        </w:rPr>
        <w:t xml:space="preserve"> </w:t>
      </w:r>
      <w:r w:rsidRPr="000708EA">
        <w:rPr>
          <w:rFonts w:cs="Arial"/>
          <w:color w:val="C00000"/>
        </w:rPr>
        <w:t xml:space="preserve">amount. The Standard Agreement shall require the </w:t>
      </w:r>
      <w:r w:rsidRPr="00B33A7B">
        <w:rPr>
          <w:rFonts w:cs="Arial"/>
        </w:rPr>
        <w:t xml:space="preserve">Recipient/Sponsor </w:t>
      </w:r>
      <w:r w:rsidRPr="000708EA">
        <w:rPr>
          <w:rFonts w:cs="Arial"/>
          <w:color w:val="C00000"/>
        </w:rPr>
        <w:t>to comply with the requirements and provisions of these Guidelines, and generally applicable state contracting rules and requirements, and all other applicable laws.</w:t>
      </w:r>
      <w:r w:rsidR="00661AB1" w:rsidRPr="000708EA">
        <w:rPr>
          <w:rFonts w:cs="Arial"/>
          <w:color w:val="C00000"/>
        </w:rPr>
        <w:t xml:space="preserve"> </w:t>
      </w:r>
      <w:r w:rsidR="00FF010C" w:rsidRPr="000708EA">
        <w:rPr>
          <w:rFonts w:cs="Arial"/>
          <w:color w:val="C00000"/>
        </w:rPr>
        <w:t xml:space="preserve">A </w:t>
      </w:r>
      <w:r w:rsidR="00D11CAE" w:rsidRPr="00B33A7B">
        <w:rPr>
          <w:rFonts w:cs="Arial"/>
        </w:rPr>
        <w:t>Standard</w:t>
      </w:r>
      <w:r w:rsidR="00661AB1" w:rsidRPr="00B33A7B">
        <w:rPr>
          <w:rFonts w:cs="Arial"/>
        </w:rPr>
        <w:t xml:space="preserve"> Agreement shall be executed within two years</w:t>
      </w:r>
      <w:r w:rsidR="00D11CAE" w:rsidRPr="00B33A7B">
        <w:rPr>
          <w:rFonts w:cs="Arial"/>
        </w:rPr>
        <w:t xml:space="preserve">. </w:t>
      </w:r>
      <w:r w:rsidRPr="00B33A7B">
        <w:rPr>
          <w:rFonts w:cs="Arial"/>
          <w:color w:val="FF0000"/>
        </w:rPr>
        <w:t xml:space="preserve"> </w:t>
      </w:r>
      <w:r w:rsidRPr="000708EA">
        <w:rPr>
          <w:rFonts w:cs="Arial"/>
          <w:color w:val="C00000"/>
        </w:rPr>
        <w:t>The agreement shall contain the following:</w:t>
      </w:r>
    </w:p>
    <w:p w14:paraId="339DBD5A" w14:textId="77777777" w:rsidR="004852D4" w:rsidRPr="00B33A7B" w:rsidRDefault="004852D4" w:rsidP="00116C74">
      <w:pPr>
        <w:pStyle w:val="ListParagraph"/>
        <w:ind w:right="90"/>
        <w:rPr>
          <w:rFonts w:cs="Arial"/>
          <w:color w:val="000000" w:themeColor="text1"/>
          <w:shd w:val="clear" w:color="auto" w:fill="FFFFFF"/>
        </w:rPr>
      </w:pPr>
    </w:p>
    <w:p w14:paraId="269B653D" w14:textId="0182E379" w:rsidR="00321199" w:rsidRPr="00B33A7B" w:rsidRDefault="00321199" w:rsidP="00B74955">
      <w:pPr>
        <w:pStyle w:val="ListParagraph"/>
        <w:numPr>
          <w:ilvl w:val="0"/>
          <w:numId w:val="85"/>
        </w:numPr>
        <w:ind w:right="360" w:hanging="720"/>
        <w:rPr>
          <w:rFonts w:cs="Arial"/>
        </w:rPr>
      </w:pPr>
      <w:r w:rsidRPr="000708EA">
        <w:rPr>
          <w:rFonts w:cs="Arial"/>
          <w:color w:val="C00000"/>
        </w:rPr>
        <w:t xml:space="preserve">A description of the approved </w:t>
      </w:r>
      <w:r w:rsidRPr="00B33A7B">
        <w:rPr>
          <w:rFonts w:cs="Arial"/>
        </w:rPr>
        <w:t xml:space="preserve">Capital Improvement Project and the approved </w:t>
      </w:r>
      <w:r w:rsidR="00DF6948" w:rsidRPr="00B33A7B">
        <w:rPr>
          <w:rFonts w:cs="Arial"/>
        </w:rPr>
        <w:t>Qualifying Infill Project</w:t>
      </w:r>
      <w:r w:rsidR="0027755D" w:rsidRPr="00B33A7B">
        <w:rPr>
          <w:rFonts w:cs="Arial"/>
        </w:rPr>
        <w:t xml:space="preserve"> or</w:t>
      </w:r>
      <w:r w:rsidR="00EC1AAD" w:rsidRPr="00B33A7B">
        <w:rPr>
          <w:rFonts w:cs="Arial"/>
        </w:rPr>
        <w:t xml:space="preserve"> Qualifying Infill </w:t>
      </w:r>
      <w:r w:rsidRPr="00B33A7B">
        <w:rPr>
          <w:rFonts w:cs="Arial"/>
        </w:rPr>
        <w:t xml:space="preserve">Area, or both, </w:t>
      </w:r>
      <w:r w:rsidRPr="000708EA">
        <w:rPr>
          <w:rFonts w:cs="Arial"/>
          <w:color w:val="C00000"/>
        </w:rPr>
        <w:t xml:space="preserve">and the permitted uses of Program funds; </w:t>
      </w:r>
    </w:p>
    <w:p w14:paraId="32878C02" w14:textId="77777777" w:rsidR="00321199" w:rsidRPr="00B33A7B" w:rsidRDefault="00321199" w:rsidP="00B74955">
      <w:pPr>
        <w:pStyle w:val="ListParagraph"/>
        <w:ind w:left="1440" w:right="360"/>
        <w:rPr>
          <w:rFonts w:cs="Arial"/>
        </w:rPr>
      </w:pPr>
    </w:p>
    <w:p w14:paraId="15130112" w14:textId="29570C14" w:rsidR="00F501D9" w:rsidRPr="00B33A7B" w:rsidRDefault="00182FE5" w:rsidP="00B74955">
      <w:pPr>
        <w:pStyle w:val="ListParagraph"/>
        <w:numPr>
          <w:ilvl w:val="0"/>
          <w:numId w:val="85"/>
        </w:numPr>
        <w:ind w:right="360" w:hanging="720"/>
        <w:rPr>
          <w:rFonts w:cs="Arial"/>
        </w:rPr>
      </w:pPr>
      <w:r w:rsidRPr="000708EA">
        <w:rPr>
          <w:rFonts w:cs="Arial"/>
          <w:color w:val="C00000"/>
        </w:rPr>
        <w:t xml:space="preserve">The </w:t>
      </w:r>
      <w:r w:rsidR="00321199" w:rsidRPr="000708EA">
        <w:rPr>
          <w:rFonts w:cs="Arial"/>
          <w:color w:val="C00000"/>
        </w:rPr>
        <w:t>amoun</w:t>
      </w:r>
      <w:r w:rsidR="00D27083" w:rsidRPr="000708EA">
        <w:rPr>
          <w:rFonts w:cs="Arial"/>
          <w:color w:val="C00000"/>
        </w:rPr>
        <w:t>t</w:t>
      </w:r>
      <w:r w:rsidRPr="000708EA">
        <w:rPr>
          <w:rFonts w:cs="Arial"/>
          <w:color w:val="C00000"/>
        </w:rPr>
        <w:t xml:space="preserve"> and</w:t>
      </w:r>
      <w:r w:rsidR="00D27083" w:rsidRPr="000708EA">
        <w:rPr>
          <w:rFonts w:cs="Arial"/>
          <w:color w:val="C00000"/>
        </w:rPr>
        <w:t xml:space="preserve"> terms of the</w:t>
      </w:r>
      <w:r w:rsidR="002957BB" w:rsidRPr="000708EA">
        <w:rPr>
          <w:rFonts w:cs="Arial"/>
          <w:color w:val="C00000"/>
        </w:rPr>
        <w:t xml:space="preserve"> </w:t>
      </w:r>
      <w:r w:rsidR="00321199" w:rsidRPr="000708EA">
        <w:rPr>
          <w:rFonts w:cs="Arial"/>
          <w:color w:val="C00000"/>
        </w:rPr>
        <w:t xml:space="preserve">Program </w:t>
      </w:r>
      <w:r w:rsidR="00321199" w:rsidRPr="00B33A7B">
        <w:rPr>
          <w:rFonts w:cs="Arial"/>
        </w:rPr>
        <w:t>grant;</w:t>
      </w:r>
    </w:p>
    <w:p w14:paraId="37AC9281" w14:textId="77777777" w:rsidR="00791572" w:rsidRPr="00B33A7B" w:rsidRDefault="00791572" w:rsidP="00EE1724">
      <w:pPr>
        <w:pStyle w:val="ListParagraph"/>
        <w:ind w:left="1440" w:right="360"/>
        <w:rPr>
          <w:rFonts w:cs="Arial"/>
        </w:rPr>
      </w:pPr>
    </w:p>
    <w:p w14:paraId="0C5557E9" w14:textId="71A1899C" w:rsidR="00321199" w:rsidRPr="00B33A7B" w:rsidRDefault="129922E8" w:rsidP="00EE1724">
      <w:pPr>
        <w:pStyle w:val="ListParagraph"/>
        <w:numPr>
          <w:ilvl w:val="0"/>
          <w:numId w:val="85"/>
        </w:numPr>
        <w:ind w:right="360" w:hanging="720"/>
        <w:rPr>
          <w:rFonts w:cs="Arial"/>
        </w:rPr>
      </w:pPr>
      <w:r w:rsidRPr="000708EA">
        <w:rPr>
          <w:rFonts w:cs="Arial"/>
          <w:color w:val="C00000"/>
        </w:rPr>
        <w:t xml:space="preserve">Provisions governing the construction work and, as applicable, the acquisition </w:t>
      </w:r>
      <w:r w:rsidRPr="00B33A7B">
        <w:rPr>
          <w:rFonts w:cs="Arial"/>
        </w:rPr>
        <w:t>and preparation of the site of the Capital Improvement Project</w:t>
      </w:r>
      <w:r w:rsidRPr="00B33A7B">
        <w:rPr>
          <w:rFonts w:cs="Arial"/>
          <w:color w:val="FF0000"/>
        </w:rPr>
        <w:t xml:space="preserve">; </w:t>
      </w:r>
    </w:p>
    <w:p w14:paraId="411A4C61" w14:textId="77777777" w:rsidR="00321199" w:rsidRPr="00B33A7B" w:rsidRDefault="00321199" w:rsidP="00EE1724">
      <w:pPr>
        <w:pStyle w:val="ListParagraph"/>
        <w:ind w:left="1440" w:right="360"/>
        <w:rPr>
          <w:rFonts w:cs="Arial"/>
        </w:rPr>
      </w:pPr>
    </w:p>
    <w:p w14:paraId="28F0EAB3" w14:textId="653AD122" w:rsidR="00321199" w:rsidRPr="00B33A7B" w:rsidRDefault="00321199" w:rsidP="00EE1724">
      <w:pPr>
        <w:pStyle w:val="ListParagraph"/>
        <w:numPr>
          <w:ilvl w:val="0"/>
          <w:numId w:val="85"/>
        </w:numPr>
        <w:ind w:right="360" w:hanging="720"/>
        <w:rPr>
          <w:rFonts w:cs="Arial"/>
        </w:rPr>
      </w:pPr>
      <w:r w:rsidRPr="00B33A7B">
        <w:rPr>
          <w:rFonts w:cs="Arial"/>
        </w:rPr>
        <w:t>The Recipient’s responsibilities for the development of the approved Capital</w:t>
      </w:r>
      <w:r w:rsidR="002957BB" w:rsidRPr="00B33A7B">
        <w:rPr>
          <w:rFonts w:cs="Arial"/>
        </w:rPr>
        <w:t xml:space="preserve"> </w:t>
      </w:r>
      <w:r w:rsidRPr="00B33A7B">
        <w:rPr>
          <w:rFonts w:cs="Arial"/>
        </w:rPr>
        <w:t>Improvement Project, including, but not limited to, construction management, maintaining files, accounts</w:t>
      </w:r>
      <w:r w:rsidR="00AA1971" w:rsidRPr="00B33A7B">
        <w:rPr>
          <w:rFonts w:cs="Arial"/>
        </w:rPr>
        <w:t>,</w:t>
      </w:r>
      <w:r w:rsidRPr="00B33A7B">
        <w:rPr>
          <w:rFonts w:cs="Arial"/>
        </w:rPr>
        <w:t xml:space="preserve"> and other records, and report</w:t>
      </w:r>
      <w:r w:rsidR="00AA1971" w:rsidRPr="00B33A7B">
        <w:rPr>
          <w:rFonts w:cs="Arial"/>
        </w:rPr>
        <w:t>ing</w:t>
      </w:r>
      <w:r w:rsidRPr="00B33A7B">
        <w:rPr>
          <w:rFonts w:cs="Arial"/>
        </w:rPr>
        <w:t xml:space="preserve"> requirements;</w:t>
      </w:r>
    </w:p>
    <w:p w14:paraId="3D68971D" w14:textId="77777777" w:rsidR="00321199" w:rsidRPr="00B33A7B" w:rsidRDefault="00321199" w:rsidP="00EE1724">
      <w:pPr>
        <w:pStyle w:val="ListParagraph"/>
        <w:ind w:left="1440" w:right="360"/>
        <w:rPr>
          <w:rFonts w:cs="Arial"/>
        </w:rPr>
      </w:pPr>
    </w:p>
    <w:p w14:paraId="707A1550" w14:textId="52AF894F" w:rsidR="00321199" w:rsidRPr="00B33A7B" w:rsidRDefault="00321199" w:rsidP="00EE1724">
      <w:pPr>
        <w:pStyle w:val="ListParagraph"/>
        <w:numPr>
          <w:ilvl w:val="0"/>
          <w:numId w:val="85"/>
        </w:numPr>
        <w:ind w:right="360" w:hanging="720"/>
        <w:rPr>
          <w:rFonts w:cs="Arial"/>
        </w:rPr>
      </w:pPr>
      <w:r w:rsidRPr="00B33A7B">
        <w:rPr>
          <w:rFonts w:cs="Arial"/>
        </w:rPr>
        <w:t xml:space="preserve">Provisions relating to the development, construction, affordability and occupancy of the </w:t>
      </w:r>
      <w:r w:rsidR="00DF6948" w:rsidRPr="00B33A7B">
        <w:rPr>
          <w:rFonts w:cs="Arial"/>
        </w:rPr>
        <w:t>Qualifying Infill Project</w:t>
      </w:r>
      <w:r w:rsidR="00272F3A" w:rsidRPr="00B33A7B">
        <w:rPr>
          <w:rFonts w:cs="Arial"/>
        </w:rPr>
        <w:t xml:space="preserve"> </w:t>
      </w:r>
      <w:r w:rsidR="005A1B5F" w:rsidRPr="00B33A7B">
        <w:rPr>
          <w:rFonts w:cs="Arial"/>
        </w:rPr>
        <w:t>or</w:t>
      </w:r>
      <w:r w:rsidR="00272F3A" w:rsidRPr="00B33A7B">
        <w:rPr>
          <w:rFonts w:cs="Arial"/>
        </w:rPr>
        <w:t xml:space="preserve"> Qualifying Infill Area</w:t>
      </w:r>
      <w:r w:rsidRPr="00B33A7B">
        <w:rPr>
          <w:rFonts w:cs="Arial"/>
        </w:rPr>
        <w:t xml:space="preserve"> supported by the Capital Improvement Project</w:t>
      </w:r>
      <w:r w:rsidR="00182FE5" w:rsidRPr="00B33A7B">
        <w:rPr>
          <w:rFonts w:cs="Arial"/>
        </w:rPr>
        <w:t>s</w:t>
      </w:r>
      <w:r w:rsidR="00F415CD" w:rsidRPr="00B33A7B">
        <w:rPr>
          <w:rFonts w:cs="Arial"/>
        </w:rPr>
        <w:t>;</w:t>
      </w:r>
      <w:r w:rsidR="00BC507C" w:rsidRPr="00B33A7B">
        <w:rPr>
          <w:rFonts w:cs="Arial"/>
        </w:rPr>
        <w:t xml:space="preserve"> </w:t>
      </w:r>
    </w:p>
    <w:p w14:paraId="16909FD7" w14:textId="77777777" w:rsidR="00321199" w:rsidRPr="00B33A7B" w:rsidRDefault="00321199" w:rsidP="00EE1724">
      <w:pPr>
        <w:pStyle w:val="ListParagraph"/>
        <w:ind w:left="1440" w:right="360"/>
        <w:rPr>
          <w:rFonts w:cs="Arial"/>
        </w:rPr>
      </w:pPr>
    </w:p>
    <w:p w14:paraId="3831587F" w14:textId="2D94D41C" w:rsidR="000E42AC" w:rsidRPr="00B33A7B" w:rsidRDefault="000E42AC" w:rsidP="00EE1724">
      <w:pPr>
        <w:pStyle w:val="ListParagraph"/>
        <w:numPr>
          <w:ilvl w:val="0"/>
          <w:numId w:val="85"/>
        </w:numPr>
        <w:ind w:right="360" w:hanging="720"/>
        <w:rPr>
          <w:rFonts w:cs="Arial"/>
        </w:rPr>
      </w:pPr>
      <w:r w:rsidRPr="00B33A7B">
        <w:rPr>
          <w:rFonts w:cs="Arial"/>
        </w:rPr>
        <w:lastRenderedPageBreak/>
        <w:t xml:space="preserve">Provisions related to </w:t>
      </w:r>
      <w:r w:rsidR="00C015BA" w:rsidRPr="00B33A7B">
        <w:rPr>
          <w:rFonts w:cs="Arial"/>
        </w:rPr>
        <w:t xml:space="preserve">administering </w:t>
      </w:r>
      <w:r w:rsidRPr="00B33A7B">
        <w:rPr>
          <w:rFonts w:cs="Arial"/>
        </w:rPr>
        <w:t xml:space="preserve">the </w:t>
      </w:r>
      <w:r w:rsidR="00F415CD" w:rsidRPr="00B33A7B">
        <w:rPr>
          <w:rFonts w:cs="Arial"/>
        </w:rPr>
        <w:t>P</w:t>
      </w:r>
      <w:r w:rsidRPr="00B33A7B">
        <w:rPr>
          <w:rFonts w:cs="Arial"/>
        </w:rPr>
        <w:t xml:space="preserve">rogram in a manner to </w:t>
      </w:r>
      <w:r w:rsidR="00182FE5" w:rsidRPr="00B33A7B">
        <w:rPr>
          <w:rFonts w:cs="Arial"/>
        </w:rPr>
        <w:t>A</w:t>
      </w:r>
      <w:r w:rsidRPr="00B33A7B">
        <w:rPr>
          <w:rFonts w:cs="Arial"/>
        </w:rPr>
        <w:t xml:space="preserve">ffirmatively </w:t>
      </w:r>
      <w:r w:rsidR="00182FE5" w:rsidRPr="00B33A7B">
        <w:rPr>
          <w:rFonts w:cs="Arial"/>
        </w:rPr>
        <w:t>F</w:t>
      </w:r>
      <w:r w:rsidRPr="00B33A7B">
        <w:rPr>
          <w:rFonts w:cs="Arial"/>
        </w:rPr>
        <w:t xml:space="preserve">urther </w:t>
      </w:r>
      <w:r w:rsidR="00182FE5" w:rsidRPr="00B33A7B">
        <w:rPr>
          <w:rFonts w:cs="Arial"/>
        </w:rPr>
        <w:t>F</w:t>
      </w:r>
      <w:r w:rsidRPr="00B33A7B">
        <w:rPr>
          <w:rFonts w:cs="Arial"/>
        </w:rPr>
        <w:t xml:space="preserve">air </w:t>
      </w:r>
      <w:r w:rsidR="00182FE5" w:rsidRPr="00B33A7B">
        <w:rPr>
          <w:rFonts w:cs="Arial"/>
        </w:rPr>
        <w:t>H</w:t>
      </w:r>
      <w:r w:rsidR="0026508E" w:rsidRPr="00B33A7B">
        <w:rPr>
          <w:rFonts w:cs="Arial"/>
        </w:rPr>
        <w:t>ousing and</w:t>
      </w:r>
      <w:r w:rsidRPr="00B33A7B">
        <w:rPr>
          <w:rFonts w:cs="Arial"/>
        </w:rPr>
        <w:t xml:space="preserve"> taking no action that is materially inconsistent with Affirmatively Furthering Fair Housing pursuant to G</w:t>
      </w:r>
      <w:r w:rsidR="00CA72D5" w:rsidRPr="00B33A7B">
        <w:rPr>
          <w:rFonts w:cs="Arial"/>
        </w:rPr>
        <w:t>C</w:t>
      </w:r>
      <w:r w:rsidRPr="00B33A7B">
        <w:rPr>
          <w:rFonts w:cs="Arial"/>
        </w:rPr>
        <w:t xml:space="preserve"> </w:t>
      </w:r>
      <w:r w:rsidR="0003427E" w:rsidRPr="00B33A7B">
        <w:rPr>
          <w:rFonts w:cs="Arial"/>
        </w:rPr>
        <w:t>S</w:t>
      </w:r>
      <w:r w:rsidRPr="00B33A7B">
        <w:rPr>
          <w:rFonts w:cs="Arial"/>
        </w:rPr>
        <w:t xml:space="preserve">ection 8899.50. </w:t>
      </w:r>
    </w:p>
    <w:p w14:paraId="0721DA09" w14:textId="77777777" w:rsidR="000E42AC" w:rsidRPr="00B33A7B" w:rsidRDefault="000E42AC" w:rsidP="00EE1724">
      <w:pPr>
        <w:pStyle w:val="ListParagraph"/>
        <w:ind w:left="1440" w:right="360"/>
        <w:rPr>
          <w:rFonts w:cs="Arial"/>
        </w:rPr>
      </w:pPr>
    </w:p>
    <w:p w14:paraId="4550C5A9" w14:textId="0625EE5E" w:rsidR="00321199" w:rsidRPr="00B33A7B" w:rsidRDefault="00321199" w:rsidP="00EE1724">
      <w:pPr>
        <w:pStyle w:val="ListParagraph"/>
        <w:numPr>
          <w:ilvl w:val="0"/>
          <w:numId w:val="85"/>
        </w:numPr>
        <w:ind w:right="360" w:hanging="720"/>
        <w:rPr>
          <w:rFonts w:cs="Arial"/>
        </w:rPr>
      </w:pPr>
      <w:r w:rsidRPr="000708EA">
        <w:rPr>
          <w:rFonts w:cs="Arial"/>
          <w:color w:val="C00000"/>
        </w:rPr>
        <w:t xml:space="preserve">Provisions relating to the placement </w:t>
      </w:r>
      <w:r w:rsidR="00182FE5" w:rsidRPr="000708EA">
        <w:rPr>
          <w:rFonts w:cs="Arial"/>
          <w:color w:val="C00000"/>
        </w:rPr>
        <w:t xml:space="preserve">of a sign </w:t>
      </w:r>
      <w:r w:rsidRPr="000708EA">
        <w:rPr>
          <w:rFonts w:cs="Arial"/>
          <w:color w:val="C00000"/>
        </w:rPr>
        <w:t xml:space="preserve">on, or in the vicinity of, the </w:t>
      </w:r>
      <w:r w:rsidR="00E624B2" w:rsidRPr="000708EA">
        <w:rPr>
          <w:rFonts w:cs="Arial"/>
          <w:color w:val="C00000"/>
        </w:rPr>
        <w:t>p</w:t>
      </w:r>
      <w:r w:rsidRPr="000708EA">
        <w:rPr>
          <w:rFonts w:cs="Arial"/>
          <w:color w:val="C00000"/>
        </w:rPr>
        <w:t xml:space="preserve">roject site, indicating that the Department has provided </w:t>
      </w:r>
      <w:r w:rsidR="00182FE5" w:rsidRPr="000708EA">
        <w:rPr>
          <w:rFonts w:cs="Arial"/>
          <w:color w:val="C00000"/>
        </w:rPr>
        <w:t>financing</w:t>
      </w:r>
      <w:r w:rsidRPr="000708EA">
        <w:rPr>
          <w:rFonts w:cs="Arial"/>
          <w:color w:val="C00000"/>
        </w:rPr>
        <w:t xml:space="preserve"> for the </w:t>
      </w:r>
      <w:r w:rsidRPr="00B33A7B">
        <w:rPr>
          <w:rFonts w:cs="Arial"/>
        </w:rPr>
        <w:t>Capital Improvement Project</w:t>
      </w:r>
      <w:r w:rsidR="00182FE5" w:rsidRPr="00B33A7B">
        <w:rPr>
          <w:rFonts w:cs="Arial"/>
        </w:rPr>
        <w:t>,</w:t>
      </w:r>
      <w:r w:rsidR="00182FE5" w:rsidRPr="000708EA">
        <w:rPr>
          <w:rFonts w:cs="Arial"/>
          <w:color w:val="C00000"/>
        </w:rPr>
        <w:t xml:space="preserve"> or </w:t>
      </w:r>
      <w:r w:rsidR="004D049C" w:rsidRPr="000708EA">
        <w:rPr>
          <w:rFonts w:cs="Arial"/>
          <w:color w:val="C00000"/>
        </w:rPr>
        <w:t xml:space="preserve">provisions relating to the Department’s arrangement, in its sole and absolute discretion, for publicity of the Program </w:t>
      </w:r>
      <w:r w:rsidR="004D049C" w:rsidRPr="00B33A7B">
        <w:t>Award</w:t>
      </w:r>
      <w:r w:rsidRPr="00B33A7B">
        <w:rPr>
          <w:rFonts w:cs="Arial"/>
        </w:rPr>
        <w:t>. The Department may also arrange for publicity of the Department grant in its sole discretion;</w:t>
      </w:r>
    </w:p>
    <w:p w14:paraId="46BBB3F8" w14:textId="77777777" w:rsidR="00321199" w:rsidRPr="000708EA" w:rsidRDefault="00321199" w:rsidP="00EE1724">
      <w:pPr>
        <w:pStyle w:val="ListParagraph"/>
        <w:ind w:left="1440" w:right="360"/>
        <w:rPr>
          <w:rFonts w:cs="Arial"/>
          <w:color w:val="C00000"/>
        </w:rPr>
      </w:pPr>
    </w:p>
    <w:p w14:paraId="29F40730" w14:textId="3AD45B14" w:rsidR="00D27083" w:rsidRPr="00B33A7B" w:rsidRDefault="00321199" w:rsidP="00EE1724">
      <w:pPr>
        <w:pStyle w:val="ListParagraph"/>
        <w:numPr>
          <w:ilvl w:val="0"/>
          <w:numId w:val="85"/>
        </w:numPr>
        <w:ind w:right="360" w:hanging="720"/>
        <w:rPr>
          <w:rFonts w:cs="Arial"/>
          <w:color w:val="FF0000"/>
        </w:rPr>
      </w:pPr>
      <w:r w:rsidRPr="000708EA">
        <w:rPr>
          <w:rFonts w:cs="Arial"/>
          <w:color w:val="C00000"/>
        </w:rPr>
        <w:t xml:space="preserve">Remedies available to the Department in the event of a violation, breach or default of the </w:t>
      </w:r>
      <w:r w:rsidRPr="00B33A7B">
        <w:rPr>
          <w:rFonts w:cs="Arial"/>
        </w:rPr>
        <w:t xml:space="preserve">Standard </w:t>
      </w:r>
      <w:r w:rsidRPr="000708EA">
        <w:rPr>
          <w:rFonts w:cs="Arial"/>
          <w:color w:val="C00000"/>
        </w:rPr>
        <w:t>Agreement;</w:t>
      </w:r>
    </w:p>
    <w:p w14:paraId="06CFACE8" w14:textId="77777777" w:rsidR="00F372BB" w:rsidRPr="00B33A7B" w:rsidRDefault="00F372BB" w:rsidP="00EE1724">
      <w:pPr>
        <w:pStyle w:val="ListParagraph"/>
        <w:ind w:left="1440" w:right="360"/>
        <w:rPr>
          <w:rFonts w:cs="Arial"/>
        </w:rPr>
      </w:pPr>
    </w:p>
    <w:p w14:paraId="62918021" w14:textId="3B83F4CA" w:rsidR="00321199" w:rsidRPr="00B33A7B" w:rsidRDefault="00321199" w:rsidP="00EE1724">
      <w:pPr>
        <w:pStyle w:val="ListParagraph"/>
        <w:numPr>
          <w:ilvl w:val="0"/>
          <w:numId w:val="85"/>
        </w:numPr>
        <w:ind w:right="360" w:hanging="720"/>
        <w:rPr>
          <w:rFonts w:cs="Arial"/>
        </w:rPr>
      </w:pPr>
      <w:r w:rsidRPr="00B33A7B">
        <w:rPr>
          <w:rFonts w:cs="Arial"/>
        </w:rPr>
        <w:t>Requirements that the Recipient permit the Department or its designated agents and employees the right to inspect the Project and all books, records and documents maintained by the Recipient in connection with the Program grant;</w:t>
      </w:r>
    </w:p>
    <w:p w14:paraId="5052BF53" w14:textId="77777777" w:rsidR="00853129" w:rsidRPr="00B33A7B" w:rsidRDefault="00853129" w:rsidP="00EE1724">
      <w:pPr>
        <w:pStyle w:val="ListParagraph"/>
        <w:ind w:left="1440" w:right="360"/>
        <w:rPr>
          <w:rFonts w:cs="Arial"/>
        </w:rPr>
      </w:pPr>
    </w:p>
    <w:p w14:paraId="02ED5460" w14:textId="40B2B194" w:rsidR="00321199" w:rsidRPr="000708EA" w:rsidRDefault="00321199" w:rsidP="00EE1724">
      <w:pPr>
        <w:pStyle w:val="ListParagraph"/>
        <w:numPr>
          <w:ilvl w:val="0"/>
          <w:numId w:val="85"/>
        </w:numPr>
        <w:ind w:right="360" w:hanging="720"/>
        <w:rPr>
          <w:rFonts w:cs="Arial"/>
          <w:color w:val="C00000"/>
        </w:rPr>
      </w:pPr>
      <w:r w:rsidRPr="000708EA">
        <w:rPr>
          <w:rFonts w:cs="Arial"/>
          <w:color w:val="C00000"/>
        </w:rPr>
        <w:t xml:space="preserve">Special conditions imposed as part of Department approval of the </w:t>
      </w:r>
      <w:r w:rsidR="00044292" w:rsidRPr="000708EA">
        <w:rPr>
          <w:rFonts w:cs="Arial"/>
          <w:color w:val="C00000"/>
        </w:rPr>
        <w:t>Project</w:t>
      </w:r>
      <w:r w:rsidRPr="000708EA">
        <w:rPr>
          <w:rFonts w:cs="Arial"/>
          <w:color w:val="C00000"/>
        </w:rPr>
        <w:t>;</w:t>
      </w:r>
    </w:p>
    <w:p w14:paraId="65CA86F1" w14:textId="77777777" w:rsidR="00321199" w:rsidRPr="00B33A7B" w:rsidRDefault="00321199" w:rsidP="00EE1724">
      <w:pPr>
        <w:pStyle w:val="ListParagraph"/>
        <w:ind w:left="1440" w:right="360"/>
        <w:rPr>
          <w:rFonts w:cs="Arial"/>
          <w:color w:val="FF0000"/>
        </w:rPr>
      </w:pPr>
    </w:p>
    <w:p w14:paraId="50A215A2" w14:textId="5D291144" w:rsidR="0035156B" w:rsidRPr="000708EA" w:rsidRDefault="00DA421E" w:rsidP="00EE1724">
      <w:pPr>
        <w:pStyle w:val="ListParagraph"/>
        <w:numPr>
          <w:ilvl w:val="0"/>
          <w:numId w:val="85"/>
        </w:numPr>
        <w:ind w:right="360" w:hanging="720"/>
        <w:rPr>
          <w:rFonts w:cs="Arial"/>
          <w:color w:val="C00000"/>
        </w:rPr>
      </w:pPr>
      <w:r w:rsidRPr="00B33A7B">
        <w:rPr>
          <w:rFonts w:cs="Arial"/>
        </w:rPr>
        <w:t xml:space="preserve">Other </w:t>
      </w:r>
      <w:r w:rsidRPr="000708EA">
        <w:rPr>
          <w:rFonts w:cs="Arial"/>
          <w:color w:val="C00000"/>
        </w:rPr>
        <w:t>t</w:t>
      </w:r>
      <w:r w:rsidR="00321199" w:rsidRPr="000708EA">
        <w:rPr>
          <w:rFonts w:cs="Arial"/>
          <w:color w:val="C00000"/>
        </w:rPr>
        <w:t xml:space="preserve">erms and conditions required by federal or state law; </w:t>
      </w:r>
    </w:p>
    <w:p w14:paraId="520207C2" w14:textId="77777777" w:rsidR="0035156B" w:rsidRPr="00B33A7B" w:rsidRDefault="0035156B" w:rsidP="00EE1724">
      <w:pPr>
        <w:pStyle w:val="ListParagraph"/>
        <w:ind w:left="1440" w:right="360"/>
        <w:rPr>
          <w:rFonts w:cs="Arial"/>
        </w:rPr>
      </w:pPr>
    </w:p>
    <w:p w14:paraId="25A7C1DE" w14:textId="33DD7B40" w:rsidR="00321199" w:rsidRPr="00B33A7B" w:rsidRDefault="0035156B" w:rsidP="00EE1724">
      <w:pPr>
        <w:pStyle w:val="ListParagraph"/>
        <w:numPr>
          <w:ilvl w:val="0"/>
          <w:numId w:val="85"/>
        </w:numPr>
        <w:ind w:right="360" w:hanging="720"/>
        <w:rPr>
          <w:rFonts w:cs="Arial"/>
        </w:rPr>
      </w:pPr>
      <w:r w:rsidRPr="00B33A7B">
        <w:rPr>
          <w:rFonts w:cs="Arial"/>
        </w:rPr>
        <w:t xml:space="preserve">Provisions regarding the required </w:t>
      </w:r>
      <w:r w:rsidRPr="000708EA">
        <w:rPr>
          <w:rFonts w:cs="Arial"/>
          <w:color w:val="C00000"/>
        </w:rPr>
        <w:t xml:space="preserve">execution and the recordation </w:t>
      </w:r>
      <w:r w:rsidRPr="00B33A7B">
        <w:rPr>
          <w:rFonts w:cs="Arial"/>
        </w:rPr>
        <w:t xml:space="preserve">of an affordability </w:t>
      </w:r>
      <w:r w:rsidR="004C4F2D">
        <w:rPr>
          <w:rFonts w:cs="Arial"/>
        </w:rPr>
        <w:t>C</w:t>
      </w:r>
      <w:r w:rsidR="004C4F2D" w:rsidRPr="00B33A7B">
        <w:rPr>
          <w:rFonts w:cs="Arial"/>
        </w:rPr>
        <w:t xml:space="preserve">ovenant </w:t>
      </w:r>
      <w:r w:rsidRPr="00B33A7B">
        <w:rPr>
          <w:rFonts w:cs="Arial"/>
        </w:rPr>
        <w:t xml:space="preserve">against the fee estate of the </w:t>
      </w:r>
      <w:r w:rsidRPr="00B33A7B">
        <w:t>Qualifying Infill Project</w:t>
      </w:r>
      <w:r w:rsidRPr="00B33A7B">
        <w:rPr>
          <w:rFonts w:cs="Arial"/>
        </w:rPr>
        <w:t xml:space="preserve"> </w:t>
      </w:r>
      <w:r w:rsidR="00272F3A" w:rsidRPr="00B33A7B">
        <w:rPr>
          <w:rFonts w:cs="Arial"/>
        </w:rPr>
        <w:t xml:space="preserve">or </w:t>
      </w:r>
      <w:r w:rsidR="006117AC" w:rsidRPr="00B33A7B">
        <w:rPr>
          <w:rFonts w:cs="Arial"/>
        </w:rPr>
        <w:t xml:space="preserve">Qualifying Infill Projects within the </w:t>
      </w:r>
      <w:r w:rsidR="00272F3A" w:rsidRPr="00B33A7B">
        <w:rPr>
          <w:rFonts w:cs="Arial"/>
        </w:rPr>
        <w:t xml:space="preserve">Qualifying Infill Area </w:t>
      </w:r>
      <w:r w:rsidRPr="00B33A7B">
        <w:rPr>
          <w:rFonts w:cs="Arial"/>
        </w:rPr>
        <w:t>in accordance with UMR Sections 8310(f) and 8315</w:t>
      </w:r>
      <w:r w:rsidR="002E501D" w:rsidRPr="00B33A7B">
        <w:rPr>
          <w:rFonts w:cs="Arial"/>
        </w:rPr>
        <w:t xml:space="preserve">. </w:t>
      </w:r>
      <w:r w:rsidR="002E501D" w:rsidRPr="00EA2407">
        <w:rPr>
          <w:rFonts w:cs="Arial"/>
        </w:rPr>
        <w:t xml:space="preserve">Such </w:t>
      </w:r>
      <w:r w:rsidR="004C4F2D" w:rsidRPr="00EA2407">
        <w:rPr>
          <w:rFonts w:cs="Arial"/>
        </w:rPr>
        <w:t>Covenant</w:t>
      </w:r>
      <w:r w:rsidR="002E501D" w:rsidRPr="00EA2407">
        <w:rPr>
          <w:rFonts w:cs="Arial"/>
        </w:rPr>
        <w:t xml:space="preserve"> shall</w:t>
      </w:r>
      <w:r w:rsidR="002E501D" w:rsidRPr="00B33A7B">
        <w:rPr>
          <w:rFonts w:cs="Arial"/>
        </w:rPr>
        <w:t xml:space="preserve"> be in the form and substance satisfactory to the Department, and it shall run for a term of at least 55 years</w:t>
      </w:r>
      <w:r w:rsidRPr="00B33A7B">
        <w:rPr>
          <w:rFonts w:cs="Arial"/>
        </w:rPr>
        <w:t>; and</w:t>
      </w:r>
      <w:r w:rsidR="00BC507C" w:rsidRPr="00B33A7B">
        <w:rPr>
          <w:rFonts w:cs="Arial"/>
        </w:rPr>
        <w:t xml:space="preserve"> </w:t>
      </w:r>
    </w:p>
    <w:p w14:paraId="2FC524DC" w14:textId="77777777" w:rsidR="00321199" w:rsidRPr="000708EA" w:rsidRDefault="00321199" w:rsidP="00EE1724">
      <w:pPr>
        <w:pStyle w:val="ListParagraph"/>
        <w:ind w:left="1440" w:right="360"/>
        <w:rPr>
          <w:rFonts w:cs="Arial"/>
          <w:color w:val="C00000"/>
        </w:rPr>
      </w:pPr>
    </w:p>
    <w:p w14:paraId="3923E324" w14:textId="3015A6FE" w:rsidR="00321199" w:rsidRPr="000708EA" w:rsidRDefault="00321199" w:rsidP="00EE1724">
      <w:pPr>
        <w:pStyle w:val="ListParagraph"/>
        <w:numPr>
          <w:ilvl w:val="0"/>
          <w:numId w:val="85"/>
        </w:numPr>
        <w:ind w:right="360" w:hanging="720"/>
        <w:rPr>
          <w:rFonts w:cs="Arial"/>
          <w:color w:val="C00000"/>
        </w:rPr>
      </w:pPr>
      <w:r w:rsidRPr="000708EA">
        <w:rPr>
          <w:rFonts w:cs="Arial"/>
          <w:color w:val="C00000"/>
        </w:rPr>
        <w:t>Other provisions necessary to ensure compliance with the requirements of the Program</w:t>
      </w:r>
      <w:r w:rsidR="00F06CB2" w:rsidRPr="000708EA">
        <w:rPr>
          <w:rFonts w:cs="Arial"/>
          <w:color w:val="C00000"/>
        </w:rPr>
        <w:t xml:space="preserve"> and applicable state and federal laws</w:t>
      </w:r>
      <w:r w:rsidRPr="000708EA">
        <w:rPr>
          <w:rFonts w:cs="Arial"/>
          <w:color w:val="C00000"/>
        </w:rPr>
        <w:t>.</w:t>
      </w:r>
    </w:p>
    <w:p w14:paraId="547BEBD6" w14:textId="77777777" w:rsidR="00116C74" w:rsidRPr="00B33A7B" w:rsidRDefault="00116C74" w:rsidP="00EE1724">
      <w:pPr>
        <w:pStyle w:val="ListParagraph"/>
        <w:rPr>
          <w:rFonts w:cs="Arial"/>
          <w:color w:val="FF0000"/>
          <w:shd w:val="clear" w:color="auto" w:fill="FFFFFF"/>
        </w:rPr>
      </w:pPr>
    </w:p>
    <w:p w14:paraId="487DD5D0" w14:textId="1A44E1B0" w:rsidR="00116C74" w:rsidRPr="00B33A7B" w:rsidRDefault="00116C74" w:rsidP="00116C74">
      <w:pPr>
        <w:pStyle w:val="ListParagraph"/>
        <w:numPr>
          <w:ilvl w:val="0"/>
          <w:numId w:val="23"/>
        </w:numPr>
        <w:ind w:right="90"/>
        <w:rPr>
          <w:rFonts w:cs="Arial"/>
          <w:color w:val="000000" w:themeColor="text1"/>
          <w:shd w:val="clear" w:color="auto" w:fill="FFFFFF"/>
        </w:rPr>
      </w:pPr>
      <w:r w:rsidRPr="00B33A7B">
        <w:rPr>
          <w:rFonts w:cs="Arial"/>
          <w:shd w:val="clear" w:color="auto" w:fill="FFFFFF"/>
        </w:rPr>
        <w:t>Disbursement Agreement</w:t>
      </w:r>
      <w:r w:rsidR="00DA07E5" w:rsidRPr="00B33A7B">
        <w:rPr>
          <w:rFonts w:cs="Arial"/>
          <w:shd w:val="clear" w:color="auto" w:fill="FFFFFF"/>
        </w:rPr>
        <w:t>.</w:t>
      </w:r>
    </w:p>
    <w:p w14:paraId="4557E47F" w14:textId="77777777" w:rsidR="004345F3" w:rsidRPr="00B33A7B" w:rsidRDefault="004345F3" w:rsidP="004345F3">
      <w:pPr>
        <w:pStyle w:val="ListParagraph"/>
        <w:ind w:right="90"/>
        <w:rPr>
          <w:rFonts w:cs="Arial"/>
          <w:color w:val="000000" w:themeColor="text1"/>
          <w:shd w:val="clear" w:color="auto" w:fill="FFFFFF"/>
        </w:rPr>
      </w:pPr>
    </w:p>
    <w:p w14:paraId="66A7C500" w14:textId="4BB4DF91" w:rsidR="00661AB1" w:rsidRPr="00B33A7B" w:rsidRDefault="1665E613" w:rsidP="00725A73">
      <w:pPr>
        <w:ind w:left="720"/>
        <w:rPr>
          <w:rFonts w:cs="Arial"/>
        </w:rPr>
      </w:pPr>
      <w:r w:rsidRPr="00B33A7B">
        <w:rPr>
          <w:rFonts w:cs="Arial"/>
        </w:rPr>
        <w:t xml:space="preserve">Upon the Award of Program funds to a Project, the Department shall </w:t>
      </w:r>
      <w:r w:rsidR="3CDDB8F4" w:rsidRPr="00B33A7B">
        <w:rPr>
          <w:rFonts w:cs="Arial"/>
        </w:rPr>
        <w:t xml:space="preserve">also </w:t>
      </w:r>
      <w:r w:rsidRPr="00B33A7B">
        <w:rPr>
          <w:rFonts w:cs="Arial"/>
        </w:rPr>
        <w:t xml:space="preserve">enter into a Disbursement Agreement with the Recipient/Sponsor, which shall </w:t>
      </w:r>
      <w:r w:rsidR="5A969BD0" w:rsidRPr="00B33A7B">
        <w:rPr>
          <w:rFonts w:cs="Arial"/>
        </w:rPr>
        <w:t>govern disbursement of</w:t>
      </w:r>
      <w:r w:rsidRPr="00B33A7B">
        <w:rPr>
          <w:rFonts w:cs="Arial"/>
        </w:rPr>
        <w:t xml:space="preserve"> funds from the Program to ensure timely completion of the Project, Qualifying Infill Project or a Qualifying Infill Area, subject to specified conditions, in an amount sufficient to encumber the approved Program grant amount. The Disbursement Agreement shall require the Recipient/Sponsor to comply with the requirements and provisions of these Guidelines, and generally applicable state contracting rules and requirements, and all other applicable laws. </w:t>
      </w:r>
      <w:r w:rsidR="5A969BD0" w:rsidRPr="00B33A7B">
        <w:rPr>
          <w:rFonts w:cs="Arial"/>
        </w:rPr>
        <w:t>The</w:t>
      </w:r>
      <w:r w:rsidRPr="00B33A7B">
        <w:rPr>
          <w:rFonts w:cs="Arial"/>
        </w:rPr>
        <w:t xml:space="preserve"> Disbursement Agreement shall be executed within two years and prior to commencement of any construction</w:t>
      </w:r>
      <w:r w:rsidR="5D6212D5" w:rsidRPr="00B33A7B">
        <w:rPr>
          <w:rFonts w:cs="Arial"/>
        </w:rPr>
        <w:t xml:space="preserve"> except as may be allowed under Section 200(b)(10)</w:t>
      </w:r>
      <w:r w:rsidRPr="00B33A7B">
        <w:rPr>
          <w:rFonts w:cs="Arial"/>
        </w:rPr>
        <w:t xml:space="preserve">. The agreement shall contain provisions relating to the use of funds, disbursement schedule, </w:t>
      </w:r>
      <w:r w:rsidRPr="00B33A7B">
        <w:rPr>
          <w:rFonts w:cs="Arial"/>
        </w:rPr>
        <w:lastRenderedPageBreak/>
        <w:t xml:space="preserve">contractors and subcontractors, construction responsibilities, general conditions of disbursement, conditions precedent to individual disbursement, etc. </w:t>
      </w:r>
    </w:p>
    <w:p w14:paraId="1E8058C4" w14:textId="77777777" w:rsidR="00661AB1" w:rsidRPr="00B33A7B" w:rsidRDefault="00661AB1" w:rsidP="004345F3">
      <w:pPr>
        <w:pStyle w:val="ListParagraph"/>
        <w:ind w:right="90"/>
        <w:rPr>
          <w:rFonts w:cs="Arial"/>
          <w:color w:val="000000" w:themeColor="text1"/>
          <w:shd w:val="clear" w:color="auto" w:fill="FFFFFF"/>
        </w:rPr>
      </w:pPr>
    </w:p>
    <w:p w14:paraId="3CDA26A1" w14:textId="7CDE44D8" w:rsidR="00116C74" w:rsidRPr="00B33A7B" w:rsidRDefault="00116C74" w:rsidP="00116C74">
      <w:pPr>
        <w:pStyle w:val="ListParagraph"/>
        <w:numPr>
          <w:ilvl w:val="0"/>
          <w:numId w:val="23"/>
        </w:numPr>
        <w:ind w:right="90"/>
        <w:rPr>
          <w:rFonts w:cs="Arial"/>
          <w:shd w:val="clear" w:color="auto" w:fill="FFFFFF"/>
        </w:rPr>
      </w:pPr>
      <w:r w:rsidRPr="00B33A7B">
        <w:rPr>
          <w:rFonts w:cs="Arial"/>
          <w:shd w:val="clear" w:color="auto" w:fill="FFFFFF"/>
        </w:rPr>
        <w:t>Covenant</w:t>
      </w:r>
      <w:r w:rsidR="00DA07E5" w:rsidRPr="00B33A7B">
        <w:rPr>
          <w:rFonts w:cs="Arial"/>
          <w:shd w:val="clear" w:color="auto" w:fill="FFFFFF"/>
        </w:rPr>
        <w:t>.</w:t>
      </w:r>
    </w:p>
    <w:p w14:paraId="5C4B4D61" w14:textId="77777777" w:rsidR="00AC1258" w:rsidRPr="00B33A7B" w:rsidRDefault="00AC1258" w:rsidP="00AC1258">
      <w:pPr>
        <w:ind w:right="90"/>
        <w:rPr>
          <w:rFonts w:cs="Arial"/>
          <w:color w:val="000000" w:themeColor="text1"/>
          <w:shd w:val="clear" w:color="auto" w:fill="FFFFFF"/>
        </w:rPr>
      </w:pPr>
    </w:p>
    <w:p w14:paraId="6DDB6D8A" w14:textId="20BB44DA" w:rsidR="00D35B74" w:rsidRPr="00B33A7B" w:rsidRDefault="00D35B74" w:rsidP="00725A73">
      <w:pPr>
        <w:ind w:left="720"/>
        <w:rPr>
          <w:rFonts w:cs="Arial"/>
        </w:rPr>
      </w:pPr>
      <w:r w:rsidRPr="00B33A7B">
        <w:rPr>
          <w:rFonts w:cs="Arial"/>
        </w:rPr>
        <w:t xml:space="preserve">Upon the Award of Program funds to a Project, the Department shall also enter into a Covenant with the real property Owner (“Owner” shall include all successors, assigns and transferees of any or all of the Owner’s interest in the Affordable Housing Development and the property), which shall ensure the construction and continued operation of </w:t>
      </w:r>
      <w:r w:rsidR="002A4465">
        <w:rPr>
          <w:rFonts w:cs="Arial"/>
        </w:rPr>
        <w:t xml:space="preserve">the </w:t>
      </w:r>
      <w:r w:rsidRPr="00B33A7B">
        <w:rPr>
          <w:rFonts w:cs="Arial"/>
        </w:rPr>
        <w:t xml:space="preserve">Affordable Housing Development </w:t>
      </w:r>
      <w:r w:rsidR="75EDE8F9" w:rsidRPr="00B33A7B">
        <w:rPr>
          <w:rFonts w:cs="Arial"/>
        </w:rPr>
        <w:t xml:space="preserve">in </w:t>
      </w:r>
      <w:r w:rsidRPr="00B33A7B">
        <w:rPr>
          <w:rFonts w:cs="Arial"/>
        </w:rPr>
        <w:t>consideration for the Program Grant</w:t>
      </w:r>
      <w:r w:rsidR="000C4D69" w:rsidRPr="00B33A7B">
        <w:rPr>
          <w:rFonts w:cs="Arial"/>
        </w:rPr>
        <w:t>.</w:t>
      </w:r>
      <w:r w:rsidRPr="00B33A7B">
        <w:rPr>
          <w:rFonts w:cs="Arial"/>
        </w:rPr>
        <w:t xml:space="preserve"> The Covenant shall require the Recipient/Sponsor to comply with the requirements and provisions of these Guidelines, and generally applicable state contracting rules and requirements, and all other applicable laws. Covenant shall be entered into before any disbursement of funds and before commencement of construction. The Covenant shall contain provisions relating to the repair and maintenance of the property or improvements of the Affordable Housing Development, affordability restrictions on same, and encumbrances, liens and charges, etc. For Qualifying Infill Projects, </w:t>
      </w:r>
      <w:r w:rsidRPr="00B33A7B">
        <w:t xml:space="preserve">Covenants will be recorded on the fee estate of the </w:t>
      </w:r>
      <w:r w:rsidRPr="00B33A7B">
        <w:rPr>
          <w:rFonts w:cs="Arial"/>
        </w:rPr>
        <w:t>project site; For Qualifying Infill Areas</w:t>
      </w:r>
      <w:r w:rsidR="002A4465">
        <w:rPr>
          <w:rFonts w:cs="Arial"/>
        </w:rPr>
        <w:t>,</w:t>
      </w:r>
      <w:r w:rsidRPr="00B33A7B">
        <w:rPr>
          <w:rFonts w:cs="Arial"/>
        </w:rPr>
        <w:t xml:space="preserve"> Covenants will be recorded on the fee estate of the real property identified in the application as the land on which the Affordable Units shall be developed.  </w:t>
      </w:r>
    </w:p>
    <w:p w14:paraId="3865B003" w14:textId="77777777" w:rsidR="00D35B74" w:rsidRPr="00B33A7B" w:rsidRDefault="00D35B74" w:rsidP="00AC1258">
      <w:pPr>
        <w:ind w:right="90"/>
        <w:rPr>
          <w:rFonts w:cs="Arial"/>
          <w:color w:val="000000" w:themeColor="text1"/>
          <w:shd w:val="clear" w:color="auto" w:fill="FFFFFF"/>
        </w:rPr>
      </w:pPr>
    </w:p>
    <w:p w14:paraId="265735CE" w14:textId="77777777" w:rsidR="004B3227" w:rsidRPr="00B33A7B" w:rsidRDefault="004B3227" w:rsidP="004B3227">
      <w:pPr>
        <w:pStyle w:val="Style2"/>
        <w:outlineLvl w:val="1"/>
        <w:rPr>
          <w:color w:val="auto"/>
        </w:rPr>
      </w:pPr>
      <w:bookmarkStart w:id="39" w:name="_Toc89870860"/>
      <w:bookmarkStart w:id="40" w:name="_Toc106173300"/>
      <w:r w:rsidRPr="00B33A7B">
        <w:rPr>
          <w:color w:val="auto"/>
        </w:rPr>
        <w:t>Section 501.  Defaults and Cancellations.</w:t>
      </w:r>
      <w:bookmarkEnd w:id="39"/>
      <w:bookmarkEnd w:id="40"/>
    </w:p>
    <w:p w14:paraId="7AB7E1C5" w14:textId="77777777" w:rsidR="004B3227" w:rsidRPr="000708EA" w:rsidRDefault="004B3227" w:rsidP="004B3227">
      <w:pPr>
        <w:ind w:left="720" w:hanging="720"/>
        <w:rPr>
          <w:rFonts w:cs="Arial"/>
          <w:color w:val="C00000"/>
        </w:rPr>
      </w:pPr>
    </w:p>
    <w:p w14:paraId="7B5D3CC5" w14:textId="6271A77A" w:rsidR="004B3227" w:rsidRPr="000708EA" w:rsidRDefault="004B3227" w:rsidP="00993D09">
      <w:pPr>
        <w:pStyle w:val="ListParagraph"/>
        <w:numPr>
          <w:ilvl w:val="1"/>
          <w:numId w:val="41"/>
        </w:numPr>
        <w:ind w:left="720" w:hanging="720"/>
        <w:rPr>
          <w:rFonts w:cs="Arial"/>
          <w:color w:val="C00000"/>
        </w:rPr>
      </w:pPr>
      <w:r w:rsidRPr="000708EA">
        <w:rPr>
          <w:rFonts w:cs="Arial"/>
          <w:color w:val="C00000"/>
        </w:rPr>
        <w:t xml:space="preserve">In the </w:t>
      </w:r>
      <w:r w:rsidR="00C72066" w:rsidRPr="000708EA">
        <w:rPr>
          <w:rFonts w:cs="Arial"/>
          <w:color w:val="C00000"/>
        </w:rPr>
        <w:t xml:space="preserve">event of a breach or violation by the </w:t>
      </w:r>
      <w:r w:rsidR="00C72066" w:rsidRPr="00B33A7B">
        <w:rPr>
          <w:rFonts w:cs="Arial"/>
        </w:rPr>
        <w:t xml:space="preserve">Recipient </w:t>
      </w:r>
      <w:r w:rsidR="00C72066" w:rsidRPr="000708EA">
        <w:rPr>
          <w:rFonts w:cs="Arial"/>
          <w:color w:val="C00000"/>
        </w:rPr>
        <w:t xml:space="preserve">of any of the provisions of the Standard Agreement, the Department may give written notice to the </w:t>
      </w:r>
      <w:r w:rsidR="00C72066" w:rsidRPr="00B33A7B">
        <w:rPr>
          <w:rFonts w:cs="Arial"/>
        </w:rPr>
        <w:t xml:space="preserve">Eligible Applicant </w:t>
      </w:r>
      <w:r w:rsidR="00C72066" w:rsidRPr="000708EA">
        <w:rPr>
          <w:rFonts w:cs="Arial"/>
          <w:color w:val="C00000"/>
        </w:rPr>
        <w:t xml:space="preserve">to cure the breach or violation within a period of not less than 15 days. If the breach or violation is not cured to the satisfaction of the Department within the specified time, the Department, at its option, may declare a default under the </w:t>
      </w:r>
      <w:r w:rsidR="00C72066" w:rsidRPr="00B33A7B">
        <w:rPr>
          <w:rFonts w:cs="Arial"/>
        </w:rPr>
        <w:t xml:space="preserve">Standard Agreement </w:t>
      </w:r>
      <w:r w:rsidR="00C72066" w:rsidRPr="000708EA">
        <w:rPr>
          <w:rFonts w:cs="Arial"/>
          <w:color w:val="C00000"/>
        </w:rPr>
        <w:t>and may seek legal remedies for the default including the following:</w:t>
      </w:r>
    </w:p>
    <w:p w14:paraId="42F15BA9" w14:textId="77777777" w:rsidR="004B3227" w:rsidRPr="000708EA" w:rsidRDefault="004B3227" w:rsidP="004B3227">
      <w:pPr>
        <w:ind w:left="720" w:hanging="720"/>
        <w:rPr>
          <w:rFonts w:cs="Arial"/>
          <w:color w:val="C00000"/>
        </w:rPr>
      </w:pPr>
    </w:p>
    <w:p w14:paraId="4056333E" w14:textId="5ADD10B6" w:rsidR="004B3227" w:rsidRPr="000708EA" w:rsidRDefault="004B3227" w:rsidP="00993D09">
      <w:pPr>
        <w:pStyle w:val="ListParagraph"/>
        <w:numPr>
          <w:ilvl w:val="0"/>
          <w:numId w:val="42"/>
        </w:numPr>
        <w:ind w:left="1440" w:hanging="720"/>
        <w:rPr>
          <w:rFonts w:cs="Arial"/>
          <w:color w:val="C00000"/>
        </w:rPr>
      </w:pPr>
      <w:r w:rsidRPr="000708EA">
        <w:rPr>
          <w:rFonts w:cs="Arial"/>
          <w:color w:val="C00000"/>
        </w:rPr>
        <w:t xml:space="preserve">The Department may seek, </w:t>
      </w:r>
      <w:r w:rsidR="002B21F4" w:rsidRPr="000708EA">
        <w:rPr>
          <w:rFonts w:cs="Arial"/>
          <w:color w:val="C00000"/>
        </w:rPr>
        <w:t>in a court of competent jurisdiction, an order for specific performance of the defaulted obligation or the appointment of a receiver to complete the Project in accordance with Program requirements.</w:t>
      </w:r>
      <w:r w:rsidRPr="000708EA">
        <w:rPr>
          <w:rFonts w:cs="Arial"/>
          <w:color w:val="C00000"/>
        </w:rPr>
        <w:br/>
      </w:r>
    </w:p>
    <w:p w14:paraId="45F8AAFD" w14:textId="3D5C2939" w:rsidR="004B3227" w:rsidRPr="000708EA" w:rsidRDefault="004B3227" w:rsidP="00993D09">
      <w:pPr>
        <w:pStyle w:val="ListParagraph"/>
        <w:numPr>
          <w:ilvl w:val="0"/>
          <w:numId w:val="42"/>
        </w:numPr>
        <w:ind w:left="1440" w:hanging="720"/>
        <w:rPr>
          <w:rFonts w:cs="Arial"/>
          <w:color w:val="C00000"/>
        </w:rPr>
      </w:pPr>
      <w:r w:rsidRPr="000708EA">
        <w:rPr>
          <w:rFonts w:cs="Arial"/>
          <w:color w:val="C00000"/>
        </w:rPr>
        <w:t xml:space="preserve">The Department </w:t>
      </w:r>
      <w:r w:rsidR="001D48D6" w:rsidRPr="000708EA">
        <w:rPr>
          <w:rFonts w:cs="Arial"/>
          <w:color w:val="C00000"/>
        </w:rPr>
        <w:t>may seek such other remedies as may be available under the relevant agreement or any law.</w:t>
      </w:r>
    </w:p>
    <w:p w14:paraId="13A64C65" w14:textId="77777777" w:rsidR="003C05B8" w:rsidRPr="000708EA" w:rsidRDefault="003C05B8" w:rsidP="003C05B8">
      <w:pPr>
        <w:pStyle w:val="ListParagraph"/>
        <w:ind w:left="1440"/>
        <w:rPr>
          <w:rFonts w:cs="Arial"/>
          <w:color w:val="C00000"/>
        </w:rPr>
      </w:pPr>
    </w:p>
    <w:p w14:paraId="409FC37E" w14:textId="5342158F" w:rsidR="003C05B8" w:rsidRPr="000708EA" w:rsidRDefault="080789D9" w:rsidP="00993D09">
      <w:pPr>
        <w:pStyle w:val="ListParagraph"/>
        <w:numPr>
          <w:ilvl w:val="0"/>
          <w:numId w:val="42"/>
        </w:numPr>
        <w:ind w:left="1440" w:hanging="720"/>
        <w:rPr>
          <w:rFonts w:cs="Arial"/>
          <w:color w:val="C00000"/>
        </w:rPr>
      </w:pPr>
      <w:r w:rsidRPr="000708EA">
        <w:rPr>
          <w:rFonts w:cs="Arial"/>
          <w:color w:val="C00000"/>
        </w:rPr>
        <w:t>In the event the Project or Qualifying Infill Project is or has been awarded additional Department funding, any and all such funding will be cross-defaulted to and among one another in the respective loan or, where applicable, grant documents. A default under one source of Departmental funding shall be a default under any and all other sources of Department funding in the Project.</w:t>
      </w:r>
    </w:p>
    <w:p w14:paraId="6FC4811A" w14:textId="77777777" w:rsidR="004B3227" w:rsidRPr="00B33A7B" w:rsidRDefault="004B3227" w:rsidP="004B3227">
      <w:pPr>
        <w:ind w:left="720" w:hanging="720"/>
        <w:rPr>
          <w:rFonts w:cs="Arial"/>
        </w:rPr>
      </w:pPr>
    </w:p>
    <w:p w14:paraId="6099B070" w14:textId="77777777" w:rsidR="004B3227" w:rsidRPr="00B33A7B" w:rsidRDefault="004B3227" w:rsidP="00993D09">
      <w:pPr>
        <w:pStyle w:val="ListParagraph"/>
        <w:numPr>
          <w:ilvl w:val="1"/>
          <w:numId w:val="41"/>
        </w:numPr>
        <w:ind w:left="720" w:hanging="720"/>
        <w:rPr>
          <w:rFonts w:cs="Arial"/>
          <w:color w:val="FF0000"/>
        </w:rPr>
      </w:pPr>
      <w:r w:rsidRPr="00B33A7B">
        <w:rPr>
          <w:rFonts w:cs="Arial"/>
        </w:rPr>
        <w:lastRenderedPageBreak/>
        <w:t xml:space="preserve">Funding commitments and Standard Agreements </w:t>
      </w:r>
      <w:r w:rsidRPr="000708EA">
        <w:rPr>
          <w:rFonts w:cs="Arial"/>
          <w:color w:val="C00000"/>
        </w:rPr>
        <w:t xml:space="preserve">may be canceled </w:t>
      </w:r>
      <w:r w:rsidRPr="00B33A7B">
        <w:rPr>
          <w:rFonts w:cs="Arial"/>
        </w:rPr>
        <w:t xml:space="preserve">by the Department </w:t>
      </w:r>
      <w:r w:rsidRPr="000708EA">
        <w:rPr>
          <w:rFonts w:cs="Arial"/>
          <w:color w:val="C00000"/>
        </w:rPr>
        <w:t>under any of the following conditions:</w:t>
      </w:r>
    </w:p>
    <w:p w14:paraId="0312AB68" w14:textId="77777777" w:rsidR="004B3227" w:rsidRPr="000708EA" w:rsidRDefault="004B3227" w:rsidP="004B3227">
      <w:pPr>
        <w:ind w:left="720" w:hanging="720"/>
        <w:rPr>
          <w:rFonts w:cs="Arial"/>
          <w:color w:val="C00000"/>
        </w:rPr>
      </w:pPr>
    </w:p>
    <w:p w14:paraId="7E466BC6" w14:textId="77777777" w:rsidR="004B3227" w:rsidRPr="00B33A7B" w:rsidRDefault="004B3227" w:rsidP="00993D09">
      <w:pPr>
        <w:pStyle w:val="ListParagraph"/>
        <w:numPr>
          <w:ilvl w:val="0"/>
          <w:numId w:val="43"/>
        </w:numPr>
        <w:ind w:left="1440" w:hanging="720"/>
        <w:rPr>
          <w:rFonts w:cs="Arial"/>
          <w:color w:val="FF0000"/>
        </w:rPr>
      </w:pPr>
      <w:r w:rsidRPr="000708EA">
        <w:rPr>
          <w:rFonts w:cs="Arial"/>
          <w:color w:val="C00000"/>
        </w:rPr>
        <w:t xml:space="preserve">The objectives and requirements of the Program cannot be met </w:t>
      </w:r>
      <w:r w:rsidRPr="00B33A7B">
        <w:rPr>
          <w:rFonts w:cs="Arial"/>
        </w:rPr>
        <w:t>by continuing the commitment or Standard Agreement;</w:t>
      </w:r>
      <w:r w:rsidRPr="00B33A7B">
        <w:rPr>
          <w:rFonts w:cs="Arial"/>
        </w:rPr>
        <w:br/>
      </w:r>
    </w:p>
    <w:p w14:paraId="6EA19792" w14:textId="77777777" w:rsidR="004B3227" w:rsidRPr="00B33A7B" w:rsidRDefault="004B3227" w:rsidP="00993D09">
      <w:pPr>
        <w:pStyle w:val="ListParagraph"/>
        <w:numPr>
          <w:ilvl w:val="0"/>
          <w:numId w:val="43"/>
        </w:numPr>
        <w:ind w:left="1440" w:hanging="720"/>
        <w:rPr>
          <w:rFonts w:cs="Arial"/>
          <w:color w:val="FF0000"/>
        </w:rPr>
      </w:pPr>
      <w:r w:rsidRPr="00B33A7B">
        <w:rPr>
          <w:rFonts w:cs="Arial"/>
        </w:rPr>
        <w:t xml:space="preserve">Construction of the Capital Improvement Project </w:t>
      </w:r>
      <w:r w:rsidRPr="000708EA">
        <w:rPr>
          <w:rFonts w:cs="Arial"/>
          <w:color w:val="C00000"/>
        </w:rPr>
        <w:t xml:space="preserve">cannot proceed in a timely fashion in accordance with the </w:t>
      </w:r>
      <w:r w:rsidRPr="00B33A7B">
        <w:rPr>
          <w:rFonts w:cs="Arial"/>
        </w:rPr>
        <w:t>timeframes established in the Standard Agreement; or</w:t>
      </w:r>
      <w:r w:rsidRPr="00B33A7B">
        <w:rPr>
          <w:rFonts w:cs="Arial"/>
        </w:rPr>
        <w:br/>
      </w:r>
    </w:p>
    <w:p w14:paraId="4840AA8F" w14:textId="0982CB31" w:rsidR="004B3227" w:rsidRPr="00B33A7B" w:rsidRDefault="004B3227" w:rsidP="00993D09">
      <w:pPr>
        <w:pStyle w:val="ListParagraph"/>
        <w:numPr>
          <w:ilvl w:val="0"/>
          <w:numId w:val="43"/>
        </w:numPr>
        <w:ind w:left="1440" w:hanging="720"/>
        <w:rPr>
          <w:rFonts w:cs="Arial"/>
          <w:color w:val="FF0000"/>
        </w:rPr>
      </w:pPr>
      <w:r w:rsidRPr="00B33A7B">
        <w:rPr>
          <w:rFonts w:cs="Arial"/>
        </w:rPr>
        <w:t xml:space="preserve">Funding </w:t>
      </w:r>
      <w:r w:rsidRPr="000708EA">
        <w:rPr>
          <w:rFonts w:cs="Arial"/>
          <w:color w:val="C00000"/>
        </w:rPr>
        <w:t xml:space="preserve">conditions have not been </w:t>
      </w:r>
      <w:r w:rsidRPr="00B33A7B">
        <w:rPr>
          <w:rFonts w:cs="Arial"/>
        </w:rPr>
        <w:t xml:space="preserve">or cannot </w:t>
      </w:r>
      <w:r w:rsidRPr="000708EA">
        <w:rPr>
          <w:rFonts w:cs="Arial"/>
          <w:color w:val="C00000"/>
        </w:rPr>
        <w:t>be fulfilled within required time periods</w:t>
      </w:r>
      <w:r w:rsidR="00BD38D3" w:rsidRPr="000708EA">
        <w:rPr>
          <w:rFonts w:cs="Arial"/>
          <w:color w:val="C00000"/>
        </w:rPr>
        <w:t>; or</w:t>
      </w:r>
    </w:p>
    <w:p w14:paraId="73DC06CA" w14:textId="77777777" w:rsidR="004B3227" w:rsidRPr="000708EA" w:rsidRDefault="004B3227" w:rsidP="004B3227">
      <w:pPr>
        <w:ind w:left="720" w:hanging="720"/>
        <w:rPr>
          <w:rFonts w:cs="Arial"/>
          <w:color w:val="C00000"/>
        </w:rPr>
      </w:pPr>
    </w:p>
    <w:p w14:paraId="5AFD613A" w14:textId="6A1E8EE1" w:rsidR="004B3227" w:rsidRPr="00B33A7B" w:rsidRDefault="004B3227" w:rsidP="00993D09">
      <w:pPr>
        <w:pStyle w:val="ListParagraph"/>
        <w:numPr>
          <w:ilvl w:val="0"/>
          <w:numId w:val="43"/>
        </w:numPr>
        <w:ind w:left="1440" w:hanging="720"/>
        <w:rPr>
          <w:rFonts w:cs="Arial"/>
          <w:color w:val="FF0000"/>
        </w:rPr>
      </w:pPr>
      <w:r w:rsidRPr="000708EA">
        <w:rPr>
          <w:rFonts w:cs="Arial"/>
          <w:color w:val="C00000"/>
        </w:rPr>
        <w:t xml:space="preserve">There has been a material change, not approved by the Department, in the </w:t>
      </w:r>
      <w:r w:rsidRPr="00B33A7B">
        <w:rPr>
          <w:rFonts w:cs="Arial"/>
        </w:rPr>
        <w:t>Capital Improvement Project</w:t>
      </w:r>
      <w:r w:rsidR="007E6A36" w:rsidRPr="00B33A7B">
        <w:rPr>
          <w:rFonts w:cs="Arial"/>
        </w:rPr>
        <w:t xml:space="preserve">s </w:t>
      </w:r>
      <w:r w:rsidR="007E6A36" w:rsidRPr="000708EA">
        <w:rPr>
          <w:color w:val="C00000"/>
        </w:rPr>
        <w:t xml:space="preserve">or the </w:t>
      </w:r>
      <w:r w:rsidR="007E6A36" w:rsidRPr="000708EA">
        <w:rPr>
          <w:color w:val="C00000"/>
          <w:spacing w:val="-64"/>
        </w:rPr>
        <w:t xml:space="preserve"> </w:t>
      </w:r>
      <w:r w:rsidR="007E6A36" w:rsidRPr="000708EA">
        <w:rPr>
          <w:color w:val="C00000"/>
        </w:rPr>
        <w:t>Principals</w:t>
      </w:r>
      <w:r w:rsidR="007E6A36" w:rsidRPr="000708EA">
        <w:rPr>
          <w:color w:val="C00000"/>
          <w:spacing w:val="-1"/>
        </w:rPr>
        <w:t xml:space="preserve"> </w:t>
      </w:r>
      <w:r w:rsidR="007E6A36" w:rsidRPr="000708EA">
        <w:rPr>
          <w:color w:val="C00000"/>
        </w:rPr>
        <w:t>or</w:t>
      </w:r>
      <w:r w:rsidR="007E6A36" w:rsidRPr="000708EA">
        <w:rPr>
          <w:color w:val="C00000"/>
          <w:spacing w:val="-3"/>
        </w:rPr>
        <w:t xml:space="preserve"> </w:t>
      </w:r>
      <w:r w:rsidR="007E6A36" w:rsidRPr="000708EA">
        <w:rPr>
          <w:color w:val="C00000"/>
        </w:rPr>
        <w:t>management</w:t>
      </w:r>
      <w:r w:rsidR="007E6A36" w:rsidRPr="000708EA">
        <w:rPr>
          <w:color w:val="C00000"/>
          <w:spacing w:val="-2"/>
        </w:rPr>
        <w:t xml:space="preserve"> </w:t>
      </w:r>
      <w:r w:rsidR="007E6A36" w:rsidRPr="000708EA">
        <w:rPr>
          <w:color w:val="C00000"/>
        </w:rPr>
        <w:t>of</w:t>
      </w:r>
      <w:r w:rsidR="007E6A36" w:rsidRPr="000708EA">
        <w:rPr>
          <w:color w:val="C00000"/>
          <w:spacing w:val="-1"/>
        </w:rPr>
        <w:t xml:space="preserve"> </w:t>
      </w:r>
      <w:r w:rsidR="007E6A36" w:rsidRPr="000708EA">
        <w:rPr>
          <w:color w:val="C00000"/>
        </w:rPr>
        <w:t>the</w:t>
      </w:r>
      <w:r w:rsidR="007E6A36" w:rsidRPr="000708EA">
        <w:rPr>
          <w:color w:val="C00000"/>
          <w:spacing w:val="1"/>
        </w:rPr>
        <w:t xml:space="preserve"> </w:t>
      </w:r>
      <w:r w:rsidR="007E6A36" w:rsidRPr="00B33A7B">
        <w:rPr>
          <w:spacing w:val="1"/>
        </w:rPr>
        <w:t>Recipient/</w:t>
      </w:r>
      <w:r w:rsidR="007E6A36" w:rsidRPr="000708EA">
        <w:rPr>
          <w:color w:val="C00000"/>
        </w:rPr>
        <w:t>Sponsor</w:t>
      </w:r>
      <w:r w:rsidR="007E6A36" w:rsidRPr="000708EA">
        <w:rPr>
          <w:color w:val="C00000"/>
          <w:spacing w:val="-1"/>
        </w:rPr>
        <w:t xml:space="preserve"> </w:t>
      </w:r>
      <w:r w:rsidR="007E6A36" w:rsidRPr="000708EA">
        <w:rPr>
          <w:color w:val="C00000"/>
        </w:rPr>
        <w:t>or</w:t>
      </w:r>
      <w:r w:rsidR="007E6A36" w:rsidRPr="000708EA">
        <w:rPr>
          <w:color w:val="C00000"/>
          <w:spacing w:val="-3"/>
        </w:rPr>
        <w:t xml:space="preserve"> </w:t>
      </w:r>
      <w:r w:rsidR="007E6A36" w:rsidRPr="000708EA">
        <w:rPr>
          <w:color w:val="C00000"/>
        </w:rPr>
        <w:t>Project.</w:t>
      </w:r>
      <w:r w:rsidRPr="000708EA">
        <w:rPr>
          <w:rFonts w:cs="Arial"/>
          <w:color w:val="C00000"/>
        </w:rPr>
        <w:t xml:space="preserve"> </w:t>
      </w:r>
    </w:p>
    <w:p w14:paraId="4587D300" w14:textId="77777777" w:rsidR="004B3227" w:rsidRPr="00B33A7B" w:rsidRDefault="004B3227" w:rsidP="004B3227">
      <w:pPr>
        <w:pStyle w:val="ListParagraph"/>
        <w:ind w:left="1440" w:hanging="720"/>
        <w:rPr>
          <w:rFonts w:cs="Arial"/>
          <w:color w:val="FF0000"/>
        </w:rPr>
      </w:pPr>
    </w:p>
    <w:p w14:paraId="06B6742E" w14:textId="15F04261" w:rsidR="004B3227" w:rsidRPr="000708EA" w:rsidRDefault="004B3227" w:rsidP="004B3227">
      <w:pPr>
        <w:pStyle w:val="BodyText"/>
        <w:spacing w:after="0"/>
        <w:ind w:left="720"/>
        <w:rPr>
          <w:rFonts w:cs="Arial"/>
          <w:color w:val="C00000"/>
        </w:rPr>
      </w:pPr>
      <w:r w:rsidRPr="000708EA">
        <w:rPr>
          <w:rFonts w:cs="Arial"/>
          <w:color w:val="C00000"/>
        </w:rPr>
        <w:t xml:space="preserve">Upon </w:t>
      </w:r>
      <w:r w:rsidRPr="00B33A7B">
        <w:rPr>
          <w:rFonts w:cs="Arial"/>
        </w:rPr>
        <w:t>Recipient</w:t>
      </w:r>
      <w:r w:rsidRPr="0096339D">
        <w:rPr>
          <w:rFonts w:cs="Arial"/>
        </w:rPr>
        <w:t>/</w:t>
      </w:r>
      <w:r w:rsidRPr="000708EA">
        <w:rPr>
          <w:rFonts w:cs="Arial"/>
          <w:color w:val="C00000"/>
        </w:rPr>
        <w:t xml:space="preserve">Sponsor demonstration </w:t>
      </w:r>
      <w:r w:rsidRPr="0096339D">
        <w:rPr>
          <w:rFonts w:cs="Arial"/>
          <w:color w:val="C00000"/>
        </w:rPr>
        <w:t>of good cause to comply with any or all of the conditions of this subsection, the Department may extend the date for compliance and shall provide notice of the</w:t>
      </w:r>
      <w:r w:rsidRPr="0096339D">
        <w:rPr>
          <w:rFonts w:cs="Arial"/>
          <w:color w:val="C00000"/>
          <w:spacing w:val="1"/>
        </w:rPr>
        <w:t xml:space="preserve"> </w:t>
      </w:r>
      <w:r w:rsidRPr="0096339D">
        <w:rPr>
          <w:rFonts w:cs="Arial"/>
          <w:color w:val="C00000"/>
        </w:rPr>
        <w:t xml:space="preserve">extension in writing. </w:t>
      </w:r>
    </w:p>
    <w:p w14:paraId="2093BFA3" w14:textId="77777777" w:rsidR="004B3227" w:rsidRPr="000708EA" w:rsidRDefault="004B3227" w:rsidP="004B3227">
      <w:pPr>
        <w:pStyle w:val="BodyText"/>
        <w:spacing w:after="0"/>
        <w:ind w:left="720"/>
        <w:rPr>
          <w:rFonts w:cs="Arial"/>
          <w:color w:val="C00000"/>
        </w:rPr>
      </w:pPr>
    </w:p>
    <w:p w14:paraId="5F2B8929" w14:textId="77777777" w:rsidR="004B3227" w:rsidRPr="00B33A7B" w:rsidRDefault="004B3227" w:rsidP="00993D09">
      <w:pPr>
        <w:pStyle w:val="ListParagraph"/>
        <w:numPr>
          <w:ilvl w:val="1"/>
          <w:numId w:val="41"/>
        </w:numPr>
        <w:ind w:left="720" w:hanging="720"/>
        <w:rPr>
          <w:rFonts w:cs="Arial"/>
          <w:color w:val="FF0000"/>
        </w:rPr>
      </w:pPr>
      <w:r w:rsidRPr="000708EA">
        <w:rPr>
          <w:rFonts w:cs="Arial"/>
          <w:color w:val="C00000"/>
        </w:rPr>
        <w:t xml:space="preserve">Upon receipt of a notice of intent to cancel the </w:t>
      </w:r>
      <w:r w:rsidRPr="00B33A7B">
        <w:rPr>
          <w:rFonts w:cs="Arial"/>
        </w:rPr>
        <w:t>grant</w:t>
      </w:r>
      <w:r w:rsidRPr="00B33A7B">
        <w:rPr>
          <w:rFonts w:cs="Arial"/>
          <w:color w:val="FF0000"/>
        </w:rPr>
        <w:t xml:space="preserve"> </w:t>
      </w:r>
      <w:r w:rsidRPr="000708EA">
        <w:rPr>
          <w:rFonts w:cs="Arial"/>
          <w:color w:val="C00000"/>
        </w:rPr>
        <w:t xml:space="preserve">from the Department, the </w:t>
      </w:r>
      <w:r w:rsidRPr="00B33A7B">
        <w:rPr>
          <w:rFonts w:cs="Arial"/>
        </w:rPr>
        <w:t xml:space="preserve">Recipient </w:t>
      </w:r>
      <w:r w:rsidRPr="000708EA">
        <w:rPr>
          <w:rFonts w:cs="Arial"/>
          <w:color w:val="C00000"/>
        </w:rPr>
        <w:t>shall have the right to appeal to the Director of the Department.</w:t>
      </w:r>
    </w:p>
    <w:p w14:paraId="103D9A5A" w14:textId="77777777" w:rsidR="004B3227" w:rsidRPr="00B33A7B" w:rsidRDefault="004B3227" w:rsidP="003E2167">
      <w:pPr>
        <w:pStyle w:val="Style2"/>
        <w:ind w:left="1620" w:hanging="1620"/>
        <w:outlineLvl w:val="1"/>
      </w:pPr>
    </w:p>
    <w:p w14:paraId="0FAB1951" w14:textId="012C547D" w:rsidR="00321199" w:rsidRPr="00B33A7B" w:rsidRDefault="00321199" w:rsidP="009D5B67">
      <w:pPr>
        <w:pStyle w:val="Style2"/>
        <w:outlineLvl w:val="1"/>
        <w:rPr>
          <w:color w:val="auto"/>
        </w:rPr>
      </w:pPr>
      <w:bookmarkStart w:id="41" w:name="_Toc21277649"/>
      <w:bookmarkStart w:id="42" w:name="_Toc106173301"/>
      <w:bookmarkStart w:id="43" w:name="_Hlk12196964"/>
      <w:r w:rsidRPr="00B33A7B">
        <w:rPr>
          <w:color w:val="auto"/>
        </w:rPr>
        <w:t xml:space="preserve">Section </w:t>
      </w:r>
      <w:r w:rsidR="00047A5C" w:rsidRPr="00B33A7B">
        <w:rPr>
          <w:color w:val="auto"/>
        </w:rPr>
        <w:t>502</w:t>
      </w:r>
      <w:r w:rsidRPr="00B33A7B">
        <w:rPr>
          <w:color w:val="auto"/>
        </w:rPr>
        <w:t>. Reporting Requirements</w:t>
      </w:r>
      <w:bookmarkEnd w:id="41"/>
      <w:r w:rsidR="00C260A1" w:rsidRPr="00B33A7B">
        <w:rPr>
          <w:color w:val="auto"/>
        </w:rPr>
        <w:t>.</w:t>
      </w:r>
      <w:bookmarkEnd w:id="42"/>
    </w:p>
    <w:p w14:paraId="150C10EF" w14:textId="77777777" w:rsidR="006D65C9" w:rsidRPr="00B33A7B" w:rsidRDefault="006D65C9" w:rsidP="006369DD"/>
    <w:p w14:paraId="597BA2E2" w14:textId="21BD60C4" w:rsidR="00321199" w:rsidRPr="00B33A7B" w:rsidRDefault="00866B0F" w:rsidP="00993D09">
      <w:pPr>
        <w:pStyle w:val="ListParagraph"/>
        <w:numPr>
          <w:ilvl w:val="0"/>
          <w:numId w:val="24"/>
        </w:numPr>
        <w:ind w:right="90"/>
        <w:rPr>
          <w:rFonts w:cs="Arial"/>
          <w:color w:val="000000" w:themeColor="text1"/>
          <w:shd w:val="clear" w:color="auto" w:fill="FFFFFF"/>
        </w:rPr>
      </w:pPr>
      <w:bookmarkStart w:id="44" w:name="_Hlk11686602"/>
      <w:bookmarkStart w:id="45" w:name="_Toc488727880"/>
      <w:bookmarkEnd w:id="43"/>
      <w:r w:rsidRPr="00B33A7B">
        <w:rPr>
          <w:rFonts w:cs="Arial"/>
          <w:color w:val="000000" w:themeColor="text1"/>
          <w:shd w:val="clear" w:color="auto" w:fill="FFFFFF"/>
        </w:rPr>
        <w:t>D</w:t>
      </w:r>
      <w:r w:rsidR="0091200B" w:rsidRPr="00B33A7B">
        <w:rPr>
          <w:rFonts w:cs="Arial"/>
          <w:color w:val="000000" w:themeColor="text1"/>
          <w:shd w:val="clear" w:color="auto" w:fill="FFFFFF"/>
        </w:rPr>
        <w:t xml:space="preserve">uring the </w:t>
      </w:r>
      <w:r w:rsidRPr="00B33A7B">
        <w:rPr>
          <w:rFonts w:cs="Arial"/>
          <w:color w:val="000000" w:themeColor="text1"/>
          <w:shd w:val="clear" w:color="auto" w:fill="FFFFFF"/>
        </w:rPr>
        <w:t>full term</w:t>
      </w:r>
      <w:r w:rsidR="0091200B" w:rsidRPr="00B33A7B">
        <w:rPr>
          <w:rFonts w:cs="Arial"/>
          <w:color w:val="000000" w:themeColor="text1"/>
          <w:shd w:val="clear" w:color="auto" w:fill="FFFFFF"/>
        </w:rPr>
        <w:t xml:space="preserve"> of</w:t>
      </w:r>
      <w:r w:rsidR="004F7CD4" w:rsidRPr="00B33A7B">
        <w:rPr>
          <w:rFonts w:cs="Arial"/>
          <w:color w:val="000000" w:themeColor="text1"/>
          <w:shd w:val="clear" w:color="auto" w:fill="FFFFFF"/>
        </w:rPr>
        <w:t xml:space="preserve"> </w:t>
      </w:r>
      <w:r w:rsidR="0091200B" w:rsidRPr="00B33A7B">
        <w:rPr>
          <w:rFonts w:cs="Arial"/>
          <w:color w:val="000000" w:themeColor="text1"/>
          <w:shd w:val="clear" w:color="auto" w:fill="FFFFFF"/>
        </w:rPr>
        <w:t>the Standard Agreem</w:t>
      </w:r>
      <w:r w:rsidR="0091200B" w:rsidRPr="00EA2407">
        <w:rPr>
          <w:rFonts w:cs="Arial"/>
          <w:color w:val="000000" w:themeColor="text1"/>
          <w:shd w:val="clear" w:color="auto" w:fill="FFFFFF"/>
        </w:rPr>
        <w:t>ent</w:t>
      </w:r>
      <w:r w:rsidRPr="00EA2407">
        <w:rPr>
          <w:rFonts w:cs="Arial"/>
          <w:color w:val="000000" w:themeColor="text1"/>
          <w:shd w:val="clear" w:color="auto" w:fill="FFFFFF"/>
        </w:rPr>
        <w:t xml:space="preserve"> and</w:t>
      </w:r>
      <w:r w:rsidR="0091200B" w:rsidRPr="00EA2407">
        <w:rPr>
          <w:rFonts w:cs="Arial"/>
          <w:color w:val="000000" w:themeColor="text1"/>
          <w:shd w:val="clear" w:color="auto" w:fill="FFFFFF"/>
        </w:rPr>
        <w:t xml:space="preserve"> </w:t>
      </w:r>
      <w:r w:rsidR="004C4F2D" w:rsidRPr="00EA2407">
        <w:rPr>
          <w:rFonts w:cs="Arial"/>
          <w:color w:val="000000" w:themeColor="text1"/>
          <w:shd w:val="clear" w:color="auto" w:fill="FFFFFF"/>
        </w:rPr>
        <w:t xml:space="preserve">Covenant </w:t>
      </w:r>
      <w:r w:rsidR="0091200B" w:rsidRPr="00EA2407">
        <w:rPr>
          <w:rFonts w:cs="Arial"/>
          <w:color w:val="000000" w:themeColor="text1"/>
          <w:shd w:val="clear" w:color="auto" w:fill="FFFFFF"/>
        </w:rPr>
        <w:t>and</w:t>
      </w:r>
      <w:r w:rsidR="0091200B" w:rsidRPr="00B33A7B">
        <w:rPr>
          <w:rFonts w:cs="Arial"/>
          <w:color w:val="000000" w:themeColor="text1"/>
          <w:shd w:val="clear" w:color="auto" w:fill="FFFFFF"/>
        </w:rPr>
        <w:t xml:space="preserve"> according to the deadlines identified in the Standard Agreement and the </w:t>
      </w:r>
      <w:r w:rsidR="004C4F2D">
        <w:rPr>
          <w:rFonts w:cs="Arial"/>
          <w:color w:val="000000" w:themeColor="text1"/>
          <w:shd w:val="clear" w:color="auto" w:fill="FFFFFF"/>
        </w:rPr>
        <w:t>C</w:t>
      </w:r>
      <w:r w:rsidR="004C4F2D" w:rsidRPr="00B33A7B">
        <w:rPr>
          <w:rFonts w:cs="Arial"/>
          <w:color w:val="000000" w:themeColor="text1"/>
          <w:shd w:val="clear" w:color="auto" w:fill="FFFFFF"/>
        </w:rPr>
        <w:t>ovenant</w:t>
      </w:r>
      <w:r w:rsidR="0091200B" w:rsidRPr="00B33A7B">
        <w:rPr>
          <w:rFonts w:cs="Arial"/>
          <w:color w:val="000000" w:themeColor="text1"/>
          <w:shd w:val="clear" w:color="auto" w:fill="FFFFFF"/>
        </w:rPr>
        <w:t xml:space="preserve">, the Recipient shall submit, upon request of the Department, an annual performance report regarding the construction of the Capital Improvement Project; and upon receipt of the </w:t>
      </w:r>
      <w:r w:rsidR="002C5374" w:rsidRPr="00B33A7B">
        <w:rPr>
          <w:rFonts w:cs="Arial"/>
          <w:color w:val="000000" w:themeColor="text1"/>
          <w:shd w:val="clear" w:color="auto" w:fill="FFFFFF"/>
        </w:rPr>
        <w:t>c</w:t>
      </w:r>
      <w:r w:rsidR="0091200B" w:rsidRPr="00B33A7B">
        <w:rPr>
          <w:rFonts w:cs="Arial"/>
          <w:color w:val="000000" w:themeColor="text1"/>
          <w:shd w:val="clear" w:color="auto" w:fill="FFFFFF"/>
        </w:rPr>
        <w:t xml:space="preserve">ertificate of </w:t>
      </w:r>
      <w:r w:rsidR="002C5374" w:rsidRPr="00B33A7B">
        <w:rPr>
          <w:rFonts w:cs="Arial"/>
          <w:color w:val="000000" w:themeColor="text1"/>
          <w:shd w:val="clear" w:color="auto" w:fill="FFFFFF"/>
        </w:rPr>
        <w:t>o</w:t>
      </w:r>
      <w:r w:rsidR="0091200B" w:rsidRPr="00B33A7B">
        <w:rPr>
          <w:rFonts w:cs="Arial"/>
          <w:color w:val="000000" w:themeColor="text1"/>
          <w:shd w:val="clear" w:color="auto" w:fill="FFFFFF"/>
        </w:rPr>
        <w:t>ccupancy, an annual monitoring report</w:t>
      </w:r>
      <w:r w:rsidR="00007353" w:rsidRPr="00B33A7B">
        <w:rPr>
          <w:rFonts w:cs="Arial"/>
          <w:color w:val="000000" w:themeColor="text1"/>
          <w:shd w:val="clear" w:color="auto" w:fill="FFFFFF"/>
        </w:rPr>
        <w:t xml:space="preserve">, on a form </w:t>
      </w:r>
      <w:r w:rsidR="00C57A00" w:rsidRPr="00B33A7B">
        <w:rPr>
          <w:rFonts w:cs="Arial"/>
          <w:color w:val="000000" w:themeColor="text1"/>
          <w:shd w:val="clear" w:color="auto" w:fill="FFFFFF"/>
        </w:rPr>
        <w:t>provided by the Department,</w:t>
      </w:r>
      <w:r w:rsidR="0091200B" w:rsidRPr="00B33A7B">
        <w:rPr>
          <w:rFonts w:cs="Arial"/>
          <w:color w:val="000000" w:themeColor="text1"/>
          <w:shd w:val="clear" w:color="auto" w:fill="FFFFFF"/>
        </w:rPr>
        <w:t xml:space="preserve"> regarding the affordability and occupancy of the housing </w:t>
      </w:r>
      <w:r w:rsidR="00F30361" w:rsidRPr="00B33A7B">
        <w:rPr>
          <w:rFonts w:cs="Arial"/>
          <w:color w:val="000000" w:themeColor="text1"/>
          <w:shd w:val="clear" w:color="auto" w:fill="FFFFFF"/>
        </w:rPr>
        <w:t>p</w:t>
      </w:r>
      <w:r w:rsidR="0091200B" w:rsidRPr="00B33A7B">
        <w:rPr>
          <w:rFonts w:cs="Arial"/>
          <w:color w:val="000000" w:themeColor="text1"/>
          <w:shd w:val="clear" w:color="auto" w:fill="FFFFFF"/>
        </w:rPr>
        <w:t>roject designated in the application.</w:t>
      </w:r>
      <w:bookmarkEnd w:id="44"/>
    </w:p>
    <w:p w14:paraId="77248F17" w14:textId="77777777" w:rsidR="00321199" w:rsidRPr="00B33A7B" w:rsidRDefault="00321199" w:rsidP="00F546A4">
      <w:pPr>
        <w:pStyle w:val="ListParagraph"/>
        <w:ind w:right="90"/>
        <w:rPr>
          <w:rFonts w:cs="Arial"/>
          <w:color w:val="000000" w:themeColor="text1"/>
          <w:shd w:val="clear" w:color="auto" w:fill="FFFFFF"/>
        </w:rPr>
      </w:pPr>
    </w:p>
    <w:p w14:paraId="50926123" w14:textId="2815D314" w:rsidR="00B47480" w:rsidRPr="00B33A7B" w:rsidRDefault="0091200B" w:rsidP="00993D09">
      <w:pPr>
        <w:pStyle w:val="ListParagraph"/>
        <w:numPr>
          <w:ilvl w:val="0"/>
          <w:numId w:val="24"/>
        </w:numPr>
        <w:ind w:right="90"/>
        <w:rPr>
          <w:rFonts w:cs="Arial"/>
          <w:color w:val="000000" w:themeColor="text1"/>
          <w:shd w:val="clear" w:color="auto" w:fill="FFFFFF"/>
        </w:rPr>
      </w:pPr>
      <w:bookmarkStart w:id="46" w:name="_Hlk13767942"/>
      <w:r w:rsidRPr="00B33A7B">
        <w:rPr>
          <w:rFonts w:cs="Arial"/>
          <w:color w:val="000000" w:themeColor="text1"/>
          <w:shd w:val="clear" w:color="auto" w:fill="FFFFFF"/>
        </w:rPr>
        <w:t>At any time during the term of the Standard Agreement and</w:t>
      </w:r>
      <w:r w:rsidR="004A7841" w:rsidRPr="00B33A7B">
        <w:rPr>
          <w:rFonts w:cs="Arial"/>
          <w:color w:val="000000" w:themeColor="text1"/>
          <w:shd w:val="clear" w:color="auto" w:fill="FFFFFF"/>
        </w:rPr>
        <w:t>/or</w:t>
      </w:r>
      <w:r w:rsidRPr="00B33A7B">
        <w:rPr>
          <w:rFonts w:cs="Arial"/>
          <w:color w:val="000000" w:themeColor="text1"/>
          <w:shd w:val="clear" w:color="auto" w:fill="FFFFFF"/>
        </w:rPr>
        <w:t xml:space="preserve"> </w:t>
      </w:r>
      <w:r w:rsidR="004C4F2D">
        <w:rPr>
          <w:rFonts w:cs="Arial"/>
          <w:color w:val="000000" w:themeColor="text1"/>
          <w:shd w:val="clear" w:color="auto" w:fill="FFFFFF"/>
        </w:rPr>
        <w:t>C</w:t>
      </w:r>
      <w:r w:rsidR="004C4F2D" w:rsidRPr="00B33A7B">
        <w:rPr>
          <w:rFonts w:cs="Arial"/>
          <w:color w:val="000000" w:themeColor="text1"/>
          <w:shd w:val="clear" w:color="auto" w:fill="FFFFFF"/>
        </w:rPr>
        <w:t>ovenant</w:t>
      </w:r>
      <w:r w:rsidRPr="00B33A7B">
        <w:rPr>
          <w:rFonts w:cs="Arial"/>
          <w:color w:val="000000" w:themeColor="text1"/>
          <w:shd w:val="clear" w:color="auto" w:fill="FFFFFF"/>
        </w:rPr>
        <w:t>,</w:t>
      </w:r>
      <w:r w:rsidR="009C41D1" w:rsidRPr="00B33A7B">
        <w:rPr>
          <w:rFonts w:cs="Arial"/>
          <w:color w:val="000000" w:themeColor="text1"/>
          <w:shd w:val="clear" w:color="auto" w:fill="FFFFFF"/>
        </w:rPr>
        <w:t xml:space="preserve"> </w:t>
      </w:r>
      <w:r w:rsidRPr="00B33A7B">
        <w:rPr>
          <w:rFonts w:cs="Arial"/>
          <w:color w:val="000000" w:themeColor="text1"/>
          <w:shd w:val="clear" w:color="auto" w:fill="FFFFFF"/>
        </w:rPr>
        <w:t>the Department may perform or cause to</w:t>
      </w:r>
      <w:r w:rsidR="00052F24" w:rsidRPr="00B33A7B">
        <w:rPr>
          <w:rFonts w:cs="Arial"/>
          <w:color w:val="000000" w:themeColor="text1"/>
          <w:shd w:val="clear" w:color="auto" w:fill="FFFFFF"/>
        </w:rPr>
        <w:t xml:space="preserve"> be</w:t>
      </w:r>
      <w:r w:rsidRPr="00B33A7B">
        <w:rPr>
          <w:rFonts w:cs="Arial"/>
          <w:color w:val="000000" w:themeColor="text1"/>
          <w:shd w:val="clear" w:color="auto" w:fill="FFFFFF"/>
        </w:rPr>
        <w:t xml:space="preserve"> perform</w:t>
      </w:r>
      <w:r w:rsidR="00052F24" w:rsidRPr="00B33A7B">
        <w:rPr>
          <w:rFonts w:cs="Arial"/>
          <w:color w:val="000000" w:themeColor="text1"/>
          <w:shd w:val="clear" w:color="auto" w:fill="FFFFFF"/>
        </w:rPr>
        <w:t>ed</w:t>
      </w:r>
      <w:r w:rsidRPr="00B33A7B">
        <w:rPr>
          <w:rFonts w:cs="Arial"/>
          <w:color w:val="000000" w:themeColor="text1"/>
          <w:shd w:val="clear" w:color="auto" w:fill="FFFFFF"/>
        </w:rPr>
        <w:t xml:space="preserve"> a financial audit of any and all phases of the </w:t>
      </w:r>
      <w:r w:rsidR="00F03B49" w:rsidRPr="00B33A7B">
        <w:rPr>
          <w:rFonts w:cs="Arial"/>
          <w:color w:val="000000" w:themeColor="text1"/>
          <w:shd w:val="clear" w:color="auto" w:fill="FFFFFF"/>
        </w:rPr>
        <w:t>Qualifying Infill Project</w:t>
      </w:r>
      <w:r w:rsidR="00C533F0" w:rsidRPr="00B33A7B">
        <w:rPr>
          <w:rFonts w:cs="Arial"/>
          <w:color w:val="000000" w:themeColor="text1"/>
          <w:shd w:val="clear" w:color="auto" w:fill="FFFFFF"/>
        </w:rPr>
        <w:t xml:space="preserve"> or</w:t>
      </w:r>
      <w:r w:rsidR="005057CD" w:rsidRPr="00B33A7B">
        <w:rPr>
          <w:rFonts w:cs="Arial"/>
          <w:color w:val="000000" w:themeColor="text1"/>
          <w:shd w:val="clear" w:color="auto" w:fill="FFFFFF"/>
        </w:rPr>
        <w:t xml:space="preserve"> Qualifying Infill Area</w:t>
      </w:r>
      <w:r w:rsidR="00F03B49" w:rsidRPr="00B33A7B">
        <w:rPr>
          <w:rFonts w:cs="Arial"/>
          <w:color w:val="000000" w:themeColor="text1"/>
          <w:shd w:val="clear" w:color="auto" w:fill="FFFFFF"/>
        </w:rPr>
        <w:t xml:space="preserve"> and Capital Improvement </w:t>
      </w:r>
      <w:r w:rsidR="00C015BA" w:rsidRPr="00B33A7B">
        <w:rPr>
          <w:rFonts w:cs="Arial"/>
          <w:color w:val="000000" w:themeColor="text1"/>
          <w:shd w:val="clear" w:color="auto" w:fill="FFFFFF"/>
        </w:rPr>
        <w:t>P</w:t>
      </w:r>
      <w:r w:rsidRPr="00B33A7B">
        <w:rPr>
          <w:rFonts w:cs="Arial"/>
          <w:color w:val="000000" w:themeColor="text1"/>
          <w:shd w:val="clear" w:color="auto" w:fill="FFFFFF"/>
        </w:rPr>
        <w:t>roject.</w:t>
      </w:r>
      <w:bookmarkEnd w:id="46"/>
      <w:r w:rsidRPr="00B33A7B">
        <w:rPr>
          <w:rFonts w:cs="Arial"/>
          <w:color w:val="000000" w:themeColor="text1"/>
          <w:shd w:val="clear" w:color="auto" w:fill="FFFFFF"/>
        </w:rPr>
        <w:t xml:space="preserve"> At the Department’s request, the Recipient shall provide, at its own expense, a financial audit prepared by a certified public accountant.</w:t>
      </w:r>
      <w:r w:rsidR="00BC507C" w:rsidRPr="00B33A7B">
        <w:rPr>
          <w:rFonts w:cs="Arial"/>
          <w:color w:val="000000" w:themeColor="text1"/>
          <w:shd w:val="clear" w:color="auto" w:fill="FFFFFF"/>
        </w:rPr>
        <w:t xml:space="preserve"> </w:t>
      </w:r>
    </w:p>
    <w:p w14:paraId="59B50A75" w14:textId="07E8569B" w:rsidR="0091200B" w:rsidRPr="00B33A7B" w:rsidRDefault="0091200B" w:rsidP="00F546A4">
      <w:pPr>
        <w:pStyle w:val="ListParagraph"/>
        <w:ind w:right="90"/>
        <w:rPr>
          <w:rFonts w:cs="Arial"/>
          <w:color w:val="000000" w:themeColor="text1"/>
          <w:shd w:val="clear" w:color="auto" w:fill="FFFFFF"/>
        </w:rPr>
      </w:pPr>
    </w:p>
    <w:p w14:paraId="3920BA65" w14:textId="4C572477" w:rsidR="0091200B" w:rsidRPr="00B33A7B" w:rsidRDefault="0091200B" w:rsidP="00993D09">
      <w:pPr>
        <w:pStyle w:val="ListParagraph"/>
        <w:numPr>
          <w:ilvl w:val="0"/>
          <w:numId w:val="24"/>
        </w:numPr>
        <w:ind w:right="90"/>
        <w:rPr>
          <w:rFonts w:cs="Arial"/>
          <w:color w:val="000000" w:themeColor="text1"/>
          <w:shd w:val="clear" w:color="auto" w:fill="FFFFFF"/>
        </w:rPr>
      </w:pPr>
      <w:r w:rsidRPr="00B33A7B">
        <w:rPr>
          <w:rFonts w:cs="Arial"/>
          <w:color w:val="000000" w:themeColor="text1"/>
          <w:shd w:val="clear" w:color="auto" w:fill="FFFFFF"/>
        </w:rPr>
        <w:t xml:space="preserve">The Recipient and </w:t>
      </w:r>
      <w:r w:rsidR="002C5374" w:rsidRPr="00B33A7B">
        <w:rPr>
          <w:rFonts w:cs="Arial"/>
          <w:color w:val="000000" w:themeColor="text1"/>
          <w:shd w:val="clear" w:color="auto" w:fill="FFFFFF"/>
        </w:rPr>
        <w:t>o</w:t>
      </w:r>
      <w:r w:rsidRPr="00B33A7B">
        <w:rPr>
          <w:rFonts w:cs="Arial"/>
          <w:color w:val="000000" w:themeColor="text1"/>
          <w:shd w:val="clear" w:color="auto" w:fill="FFFFFF"/>
        </w:rPr>
        <w:t>wner</w:t>
      </w:r>
      <w:r w:rsidR="00D85BB8" w:rsidRPr="00B33A7B">
        <w:rPr>
          <w:rFonts w:cs="Arial"/>
          <w:color w:val="000000" w:themeColor="text1"/>
          <w:shd w:val="clear" w:color="auto" w:fill="FFFFFF"/>
        </w:rPr>
        <w:t xml:space="preserve"> of the </w:t>
      </w:r>
      <w:r w:rsidR="00111857" w:rsidRPr="00B33A7B">
        <w:rPr>
          <w:rFonts w:cs="Arial"/>
          <w:color w:val="000000" w:themeColor="text1"/>
          <w:shd w:val="clear" w:color="auto" w:fill="FFFFFF"/>
        </w:rPr>
        <w:t>parcel of land</w:t>
      </w:r>
      <w:r w:rsidR="00D85BB8" w:rsidRPr="00B33A7B">
        <w:rPr>
          <w:rFonts w:cs="Arial"/>
          <w:color w:val="000000" w:themeColor="text1"/>
          <w:shd w:val="clear" w:color="auto" w:fill="FFFFFF"/>
        </w:rPr>
        <w:t xml:space="preserve"> that is being developed</w:t>
      </w:r>
      <w:r w:rsidR="00F03B49" w:rsidRPr="00B33A7B">
        <w:rPr>
          <w:rFonts w:cs="Arial"/>
          <w:color w:val="000000" w:themeColor="text1"/>
          <w:shd w:val="clear" w:color="auto" w:fill="FFFFFF"/>
        </w:rPr>
        <w:t xml:space="preserve"> </w:t>
      </w:r>
      <w:r w:rsidRPr="00B33A7B">
        <w:rPr>
          <w:rFonts w:cs="Arial"/>
          <w:color w:val="000000" w:themeColor="text1"/>
          <w:shd w:val="clear" w:color="auto" w:fill="FFFFFF"/>
        </w:rPr>
        <w:t xml:space="preserve">agree to regular monitoring of the </w:t>
      </w:r>
      <w:r w:rsidR="00052F24" w:rsidRPr="00B33A7B">
        <w:rPr>
          <w:rFonts w:cs="Arial"/>
          <w:color w:val="000000" w:themeColor="text1"/>
          <w:shd w:val="clear" w:color="auto" w:fill="FFFFFF"/>
        </w:rPr>
        <w:t>h</w:t>
      </w:r>
      <w:r w:rsidRPr="00B33A7B">
        <w:rPr>
          <w:rFonts w:cs="Arial"/>
          <w:color w:val="000000" w:themeColor="text1"/>
          <w:shd w:val="clear" w:color="auto" w:fill="FFFFFF"/>
        </w:rPr>
        <w:t xml:space="preserve">ousing </w:t>
      </w:r>
      <w:r w:rsidR="00052F24" w:rsidRPr="00B33A7B">
        <w:rPr>
          <w:rFonts w:cs="Arial"/>
          <w:color w:val="000000" w:themeColor="text1"/>
          <w:shd w:val="clear" w:color="auto" w:fill="FFFFFF"/>
        </w:rPr>
        <w:t>d</w:t>
      </w:r>
      <w:r w:rsidRPr="00B33A7B">
        <w:rPr>
          <w:rFonts w:cs="Arial"/>
          <w:color w:val="000000" w:themeColor="text1"/>
          <w:shd w:val="clear" w:color="auto" w:fill="FFFFFF"/>
        </w:rPr>
        <w:t xml:space="preserve">evelopment by the Department or such designee the Department may name at any time during the term of the Standard Agreement and/or </w:t>
      </w:r>
      <w:r w:rsidR="004C4F2D">
        <w:rPr>
          <w:rFonts w:cs="Arial"/>
          <w:color w:val="000000" w:themeColor="text1"/>
          <w:shd w:val="clear" w:color="auto" w:fill="FFFFFF"/>
        </w:rPr>
        <w:t>C</w:t>
      </w:r>
      <w:r w:rsidR="004C4F2D" w:rsidRPr="00B33A7B">
        <w:rPr>
          <w:rFonts w:cs="Arial"/>
          <w:color w:val="000000" w:themeColor="text1"/>
          <w:shd w:val="clear" w:color="auto" w:fill="FFFFFF"/>
        </w:rPr>
        <w:t>ovenant</w:t>
      </w:r>
      <w:r w:rsidRPr="00B33A7B">
        <w:rPr>
          <w:rFonts w:cs="Arial"/>
          <w:color w:val="000000" w:themeColor="text1"/>
          <w:shd w:val="clear" w:color="auto" w:fill="FFFFFF"/>
        </w:rPr>
        <w:t xml:space="preserve">, to verify compliance with the requirements of the Program. The Recipient and </w:t>
      </w:r>
      <w:r w:rsidR="002C5374" w:rsidRPr="00B33A7B">
        <w:rPr>
          <w:rFonts w:cs="Arial"/>
          <w:color w:val="000000" w:themeColor="text1"/>
          <w:shd w:val="clear" w:color="auto" w:fill="FFFFFF"/>
        </w:rPr>
        <w:t>o</w:t>
      </w:r>
      <w:r w:rsidRPr="00B33A7B">
        <w:rPr>
          <w:rFonts w:cs="Arial"/>
          <w:color w:val="000000" w:themeColor="text1"/>
          <w:shd w:val="clear" w:color="auto" w:fill="FFFFFF"/>
        </w:rPr>
        <w:t xml:space="preserve">wner, or designee, shall submit annual reports as required by the Department </w:t>
      </w:r>
      <w:r w:rsidR="00052F24" w:rsidRPr="00B33A7B">
        <w:rPr>
          <w:rFonts w:cs="Arial"/>
          <w:color w:val="000000" w:themeColor="text1"/>
          <w:shd w:val="clear" w:color="auto" w:fill="FFFFFF"/>
        </w:rPr>
        <w:t xml:space="preserve">on </w:t>
      </w:r>
      <w:r w:rsidRPr="00B33A7B">
        <w:rPr>
          <w:rFonts w:cs="Arial"/>
          <w:color w:val="000000" w:themeColor="text1"/>
          <w:shd w:val="clear" w:color="auto" w:fill="FFFFFF"/>
        </w:rPr>
        <w:t xml:space="preserve">forms approved or provided by the Department, detailing components of the on-going operations of the housing development, as noted in </w:t>
      </w:r>
      <w:r w:rsidRPr="00B33A7B">
        <w:rPr>
          <w:rFonts w:cs="Arial"/>
          <w:color w:val="000000" w:themeColor="text1"/>
          <w:shd w:val="clear" w:color="auto" w:fill="FFFFFF"/>
        </w:rPr>
        <w:lastRenderedPageBreak/>
        <w:t xml:space="preserve">this subsection. The components of annual operations for which reporting is required, which the Department retains the right to inspect, or cause to be inspected, include, </w:t>
      </w:r>
      <w:r w:rsidR="002C5374" w:rsidRPr="00B33A7B">
        <w:rPr>
          <w:rFonts w:cs="Arial"/>
          <w:color w:val="000000" w:themeColor="text1"/>
          <w:shd w:val="clear" w:color="auto" w:fill="FFFFFF"/>
        </w:rPr>
        <w:t>and</w:t>
      </w:r>
      <w:r w:rsidRPr="00B33A7B">
        <w:rPr>
          <w:rFonts w:cs="Arial"/>
          <w:color w:val="000000" w:themeColor="text1"/>
          <w:shd w:val="clear" w:color="auto" w:fill="FFFFFF"/>
        </w:rPr>
        <w:t xml:space="preserve"> are not limited to:</w:t>
      </w:r>
    </w:p>
    <w:p w14:paraId="663A6F65" w14:textId="77777777" w:rsidR="0091200B" w:rsidRPr="00B33A7B" w:rsidRDefault="0091200B" w:rsidP="003E2167">
      <w:pPr>
        <w:pStyle w:val="ListParagraph"/>
        <w:ind w:left="1440" w:right="360"/>
        <w:rPr>
          <w:rFonts w:cs="Arial"/>
        </w:rPr>
      </w:pPr>
    </w:p>
    <w:p w14:paraId="249FFCD6" w14:textId="121A77C6" w:rsidR="00052F24" w:rsidRPr="00B33A7B" w:rsidRDefault="00EE52E6" w:rsidP="00993D09">
      <w:pPr>
        <w:pStyle w:val="ListParagraph"/>
        <w:numPr>
          <w:ilvl w:val="0"/>
          <w:numId w:val="44"/>
        </w:numPr>
        <w:ind w:right="360" w:hanging="720"/>
        <w:rPr>
          <w:rFonts w:cs="Arial"/>
        </w:rPr>
      </w:pPr>
      <w:r w:rsidRPr="00B33A7B">
        <w:rPr>
          <w:rFonts w:cs="Arial"/>
        </w:rPr>
        <w:t>T</w:t>
      </w:r>
      <w:r w:rsidR="0091200B" w:rsidRPr="00B33A7B">
        <w:rPr>
          <w:rFonts w:cs="Arial"/>
        </w:rPr>
        <w:t>he</w:t>
      </w:r>
      <w:r w:rsidRPr="00B33A7B">
        <w:rPr>
          <w:rFonts w:cs="Arial"/>
        </w:rPr>
        <w:t xml:space="preserve"> </w:t>
      </w:r>
      <w:r w:rsidR="00DF6948" w:rsidRPr="00B33A7B">
        <w:rPr>
          <w:rFonts w:cs="Arial"/>
        </w:rPr>
        <w:t>Qualifying Infill Project</w:t>
      </w:r>
      <w:r w:rsidRPr="00B33A7B">
        <w:rPr>
          <w:rFonts w:cs="Arial"/>
        </w:rPr>
        <w:t xml:space="preserve"> </w:t>
      </w:r>
      <w:r w:rsidR="00DC286B" w:rsidRPr="00B33A7B">
        <w:rPr>
          <w:rFonts w:cs="Arial"/>
        </w:rPr>
        <w:t xml:space="preserve"> or Qualifying Infill Projects </w:t>
      </w:r>
      <w:r w:rsidRPr="00B33A7B">
        <w:rPr>
          <w:rFonts w:cs="Arial"/>
        </w:rPr>
        <w:t>in the Qualifying Infill</w:t>
      </w:r>
      <w:r w:rsidR="003E2167" w:rsidRPr="00B33A7B">
        <w:rPr>
          <w:rFonts w:cs="Arial"/>
        </w:rPr>
        <w:t xml:space="preserve"> </w:t>
      </w:r>
      <w:r w:rsidRPr="00B33A7B">
        <w:rPr>
          <w:rFonts w:cs="Arial"/>
        </w:rPr>
        <w:t>Area</w:t>
      </w:r>
      <w:r w:rsidR="0091200B" w:rsidRPr="00B33A7B">
        <w:rPr>
          <w:rFonts w:cs="Arial"/>
        </w:rPr>
        <w:t xml:space="preserve">, including interior of </w:t>
      </w:r>
      <w:r w:rsidR="003935F3" w:rsidRPr="00B33A7B">
        <w:rPr>
          <w:rFonts w:cs="Arial"/>
        </w:rPr>
        <w:t>A</w:t>
      </w:r>
      <w:r w:rsidR="00550853" w:rsidRPr="00B33A7B">
        <w:rPr>
          <w:rFonts w:cs="Arial"/>
        </w:rPr>
        <w:t xml:space="preserve">ffordable </w:t>
      </w:r>
      <w:r w:rsidR="003935F3" w:rsidRPr="00B33A7B">
        <w:rPr>
          <w:rFonts w:cs="Arial"/>
        </w:rPr>
        <w:t>Units</w:t>
      </w:r>
      <w:r w:rsidR="0091200B" w:rsidRPr="00B33A7B">
        <w:rPr>
          <w:rFonts w:cs="Arial"/>
        </w:rPr>
        <w:t>, common areas, and exterior of t</w:t>
      </w:r>
      <w:r w:rsidRPr="00B33A7B">
        <w:rPr>
          <w:rFonts w:cs="Arial"/>
        </w:rPr>
        <w:t xml:space="preserve">he </w:t>
      </w:r>
      <w:r w:rsidR="0091200B" w:rsidRPr="00B33A7B">
        <w:rPr>
          <w:rFonts w:cs="Arial"/>
        </w:rPr>
        <w:t>development;</w:t>
      </w:r>
      <w:r w:rsidR="00BC507C" w:rsidRPr="00B33A7B">
        <w:rPr>
          <w:rFonts w:cs="Arial"/>
        </w:rPr>
        <w:t xml:space="preserve"> </w:t>
      </w:r>
    </w:p>
    <w:p w14:paraId="378D9AFD" w14:textId="77777777" w:rsidR="00F65DEB" w:rsidRPr="00B33A7B" w:rsidRDefault="00F65DEB" w:rsidP="003E2167">
      <w:pPr>
        <w:pStyle w:val="ListParagraph"/>
        <w:ind w:left="1440" w:right="360"/>
        <w:rPr>
          <w:rFonts w:cs="Arial"/>
        </w:rPr>
      </w:pPr>
    </w:p>
    <w:p w14:paraId="3D97EE31" w14:textId="16FC3852" w:rsidR="00F65DEB" w:rsidRPr="00B33A7B" w:rsidRDefault="00546627" w:rsidP="00993D09">
      <w:pPr>
        <w:pStyle w:val="ListParagraph"/>
        <w:numPr>
          <w:ilvl w:val="0"/>
          <w:numId w:val="44"/>
        </w:numPr>
        <w:ind w:right="360" w:hanging="720"/>
        <w:rPr>
          <w:rFonts w:cs="Arial"/>
        </w:rPr>
      </w:pPr>
      <w:r w:rsidRPr="00B33A7B">
        <w:rPr>
          <w:rFonts w:cs="Arial"/>
        </w:rPr>
        <w:t>T</w:t>
      </w:r>
      <w:r w:rsidR="00F65DEB" w:rsidRPr="00B33A7B">
        <w:rPr>
          <w:rFonts w:cs="Arial"/>
        </w:rPr>
        <w:t xml:space="preserve">enant files, demonstrating compliance with Program affordability </w:t>
      </w:r>
      <w:r w:rsidR="00921261" w:rsidRPr="00B33A7B">
        <w:rPr>
          <w:rFonts w:cs="Arial"/>
        </w:rPr>
        <w:t xml:space="preserve">and occupancy </w:t>
      </w:r>
      <w:r w:rsidR="00F65DEB" w:rsidRPr="00B33A7B">
        <w:rPr>
          <w:rFonts w:cs="Arial"/>
        </w:rPr>
        <w:t>standards;</w:t>
      </w:r>
    </w:p>
    <w:p w14:paraId="0899979C" w14:textId="77777777" w:rsidR="00F65DEB" w:rsidRPr="00B33A7B" w:rsidRDefault="00F65DEB" w:rsidP="003E2167">
      <w:pPr>
        <w:pStyle w:val="ListParagraph"/>
        <w:ind w:left="1440" w:right="360"/>
        <w:rPr>
          <w:rFonts w:cs="Arial"/>
        </w:rPr>
      </w:pPr>
    </w:p>
    <w:p w14:paraId="0759EBEE" w14:textId="7000BBE9" w:rsidR="00F65DEB" w:rsidRPr="00B33A7B" w:rsidRDefault="00546627" w:rsidP="00993D09">
      <w:pPr>
        <w:pStyle w:val="ListParagraph"/>
        <w:numPr>
          <w:ilvl w:val="0"/>
          <w:numId w:val="44"/>
        </w:numPr>
        <w:ind w:right="360" w:hanging="720"/>
        <w:rPr>
          <w:rFonts w:cs="Arial"/>
        </w:rPr>
      </w:pPr>
      <w:r w:rsidRPr="00B33A7B">
        <w:rPr>
          <w:rFonts w:cs="Arial"/>
        </w:rPr>
        <w:t>F</w:t>
      </w:r>
      <w:r w:rsidR="00F65DEB" w:rsidRPr="00B33A7B">
        <w:rPr>
          <w:rFonts w:cs="Arial"/>
        </w:rPr>
        <w:t>inancial records, including the right to request a certified financial audit of the revenue, expenses, and operations of the housing development; and</w:t>
      </w:r>
    </w:p>
    <w:p w14:paraId="1FBCBC0A" w14:textId="77777777" w:rsidR="00F65DEB" w:rsidRPr="00B33A7B" w:rsidRDefault="00F65DEB" w:rsidP="003E2167">
      <w:pPr>
        <w:pStyle w:val="ListParagraph"/>
        <w:ind w:left="1440" w:right="360"/>
        <w:rPr>
          <w:rFonts w:cs="Arial"/>
        </w:rPr>
      </w:pPr>
    </w:p>
    <w:p w14:paraId="79FD480C" w14:textId="63CD1D72" w:rsidR="00D70E8A" w:rsidRPr="00B33A7B" w:rsidRDefault="00546627" w:rsidP="00993D09">
      <w:pPr>
        <w:pStyle w:val="ListParagraph"/>
        <w:numPr>
          <w:ilvl w:val="0"/>
          <w:numId w:val="44"/>
        </w:numPr>
        <w:ind w:right="360" w:hanging="720"/>
        <w:rPr>
          <w:rFonts w:cs="Arial"/>
        </w:rPr>
      </w:pPr>
      <w:r w:rsidRPr="00B33A7B">
        <w:rPr>
          <w:rFonts w:cs="Arial"/>
        </w:rPr>
        <w:t>I</w:t>
      </w:r>
      <w:r w:rsidR="00F65DEB" w:rsidRPr="00B33A7B">
        <w:rPr>
          <w:rFonts w:cs="Arial"/>
        </w:rPr>
        <w:t>nsurance records to ensure continuous insurance coverage in accordance with Department and Program requirements.</w:t>
      </w:r>
    </w:p>
    <w:p w14:paraId="59712766" w14:textId="77777777" w:rsidR="00D70E8A" w:rsidRPr="00B33A7B" w:rsidRDefault="00D70E8A" w:rsidP="00D70E8A">
      <w:pPr>
        <w:pStyle w:val="ListParagraph"/>
        <w:rPr>
          <w:rFonts w:cs="Arial"/>
        </w:rPr>
      </w:pPr>
    </w:p>
    <w:p w14:paraId="1CBEE9B7" w14:textId="23F7E92E" w:rsidR="009E287B" w:rsidRPr="00457E3B" w:rsidRDefault="00F65DEB" w:rsidP="00FA446B">
      <w:pPr>
        <w:pStyle w:val="ListParagraph"/>
        <w:ind w:right="90"/>
        <w:rPr>
          <w:u w:val="single"/>
        </w:rPr>
      </w:pPr>
      <w:r w:rsidRPr="00B33A7B">
        <w:rPr>
          <w:rFonts w:cs="Arial"/>
          <w:color w:val="000000" w:themeColor="text1"/>
          <w:shd w:val="clear" w:color="auto" w:fill="FFFFFF"/>
        </w:rPr>
        <w:t>The Department retains the authority to compel the Recipient and owner to comply with Program requirements</w:t>
      </w:r>
      <w:r w:rsidR="001E466C" w:rsidRPr="00B33A7B">
        <w:rPr>
          <w:rFonts w:cs="Arial"/>
          <w:color w:val="000000" w:themeColor="text1"/>
          <w:shd w:val="clear" w:color="auto" w:fill="FFFFFF"/>
        </w:rPr>
        <w:t xml:space="preserve"> as detailed in the IIG </w:t>
      </w:r>
      <w:r w:rsidR="009F76EA" w:rsidRPr="00B33A7B">
        <w:rPr>
          <w:rFonts w:cs="Arial"/>
          <w:color w:val="000000" w:themeColor="text1"/>
          <w:shd w:val="clear" w:color="auto" w:fill="FFFFFF"/>
        </w:rPr>
        <w:t>r</w:t>
      </w:r>
      <w:r w:rsidR="001E466C" w:rsidRPr="00B33A7B">
        <w:rPr>
          <w:rFonts w:cs="Arial"/>
          <w:color w:val="000000" w:themeColor="text1"/>
          <w:shd w:val="clear" w:color="auto" w:fill="FFFFFF"/>
        </w:rPr>
        <w:t xml:space="preserve">estrictive </w:t>
      </w:r>
      <w:r w:rsidR="004C4F2D">
        <w:rPr>
          <w:rFonts w:cs="Arial"/>
          <w:color w:val="000000" w:themeColor="text1"/>
          <w:shd w:val="clear" w:color="auto" w:fill="FFFFFF"/>
        </w:rPr>
        <w:t>C</w:t>
      </w:r>
      <w:r w:rsidR="004C4F2D" w:rsidRPr="00B33A7B">
        <w:rPr>
          <w:rFonts w:cs="Arial"/>
          <w:color w:val="000000" w:themeColor="text1"/>
          <w:shd w:val="clear" w:color="auto" w:fill="FFFFFF"/>
        </w:rPr>
        <w:t xml:space="preserve">ovenant </w:t>
      </w:r>
      <w:r w:rsidR="001E466C" w:rsidRPr="00B33A7B">
        <w:rPr>
          <w:rFonts w:cs="Arial"/>
          <w:color w:val="000000" w:themeColor="text1"/>
          <w:shd w:val="clear" w:color="auto" w:fill="FFFFFF"/>
        </w:rPr>
        <w:t>recorded against the property</w:t>
      </w:r>
      <w:r w:rsidR="00546627" w:rsidRPr="00B33A7B">
        <w:rPr>
          <w:rFonts w:cs="Arial"/>
          <w:color w:val="000000" w:themeColor="text1"/>
          <w:shd w:val="clear" w:color="auto" w:fill="FFFFFF"/>
        </w:rPr>
        <w:t>.</w:t>
      </w:r>
      <w:bookmarkEnd w:id="45"/>
    </w:p>
    <w:sectPr w:rsidR="009E287B" w:rsidRPr="00457E3B" w:rsidSect="00324957">
      <w:footerReference w:type="default" r:id="rId25"/>
      <w:pgSz w:w="12240" w:h="15840" w:code="1"/>
      <w:pgMar w:top="990" w:right="1080" w:bottom="1350" w:left="1440" w:header="720" w:footer="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F56CED" w14:textId="77777777" w:rsidR="00F76AD6" w:rsidRDefault="00F76AD6">
      <w:r>
        <w:separator/>
      </w:r>
    </w:p>
  </w:endnote>
  <w:endnote w:type="continuationSeparator" w:id="0">
    <w:p w14:paraId="57CD548C" w14:textId="77777777" w:rsidR="00F76AD6" w:rsidRDefault="00F76AD6">
      <w:r>
        <w:continuationSeparator/>
      </w:r>
    </w:p>
  </w:endnote>
  <w:endnote w:type="continuationNotice" w:id="1">
    <w:p w14:paraId="309A4BE3" w14:textId="77777777" w:rsidR="00F76AD6" w:rsidRDefault="00F76A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004FB" w14:textId="77777777" w:rsidR="00572E87" w:rsidRDefault="00572E8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67BF044" w14:textId="77777777" w:rsidR="00572E87" w:rsidRDefault="00572E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9572126"/>
      <w:docPartObj>
        <w:docPartGallery w:val="Page Numbers (Bottom of Page)"/>
        <w:docPartUnique/>
      </w:docPartObj>
    </w:sdtPr>
    <w:sdtEndPr>
      <w:rPr>
        <w:rFonts w:cs="Arial"/>
        <w:i/>
        <w:iCs/>
        <w:noProof/>
        <w:color w:val="808080" w:themeColor="background1" w:themeShade="80"/>
        <w:sz w:val="22"/>
        <w:szCs w:val="22"/>
      </w:rPr>
    </w:sdtEndPr>
    <w:sdtContent>
      <w:p w14:paraId="1B45AE95" w14:textId="2C981577" w:rsidR="00572E87" w:rsidRPr="003023F9" w:rsidRDefault="00CD0B68" w:rsidP="003023F9">
        <w:pPr>
          <w:pStyle w:val="Footer"/>
          <w:tabs>
            <w:tab w:val="left" w:pos="90"/>
            <w:tab w:val="left" w:pos="6120"/>
          </w:tabs>
          <w:ind w:left="-720"/>
          <w:rPr>
            <w:rFonts w:cs="Arial"/>
            <w:i/>
            <w:iCs/>
            <w:color w:val="808080" w:themeColor="background1" w:themeShade="80"/>
            <w:sz w:val="22"/>
            <w:szCs w:val="22"/>
          </w:rPr>
        </w:pPr>
      </w:p>
    </w:sdtContent>
  </w:sdt>
  <w:p w14:paraId="6B0570E9" w14:textId="796414C2" w:rsidR="00572E87" w:rsidRDefault="00572E87" w:rsidP="00EB6449">
    <w:pPr>
      <w:pStyle w:val="Footer"/>
      <w:tabs>
        <w:tab w:val="left" w:pos="90"/>
        <w:tab w:val="left" w:pos="6120"/>
      </w:tabs>
      <w:jc w:val="center"/>
      <w:rPr>
        <w:rFonts w:cs="Arial"/>
        <w:i/>
        <w:color w:val="808080"/>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9449355"/>
      <w:docPartObj>
        <w:docPartGallery w:val="Page Numbers (Bottom of Page)"/>
        <w:docPartUnique/>
      </w:docPartObj>
    </w:sdtPr>
    <w:sdtEndPr>
      <w:rPr>
        <w:rFonts w:cs="Arial"/>
        <w:i/>
        <w:noProof/>
      </w:rPr>
    </w:sdtEndPr>
    <w:sdtContent>
      <w:sdt>
        <w:sdtPr>
          <w:id w:val="-1292049588"/>
          <w:docPartObj>
            <w:docPartGallery w:val="Page Numbers (Bottom of Page)"/>
            <w:docPartUnique/>
          </w:docPartObj>
        </w:sdtPr>
        <w:sdtEndPr>
          <w:rPr>
            <w:rFonts w:cs="Arial"/>
            <w:i/>
            <w:noProof/>
          </w:rPr>
        </w:sdtEndPr>
        <w:sdtContent>
          <w:p w14:paraId="21589081" w14:textId="44285036" w:rsidR="00572E87" w:rsidRDefault="00572E87" w:rsidP="000B4E99">
            <w:pPr>
              <w:pStyle w:val="Footer"/>
              <w:tabs>
                <w:tab w:val="left" w:pos="90"/>
                <w:tab w:val="left" w:pos="6120"/>
              </w:tabs>
              <w:rPr>
                <w:rFonts w:cs="Arial"/>
              </w:rPr>
            </w:pPr>
          </w:p>
          <w:sdt>
            <w:sdtPr>
              <w:id w:val="-662081933"/>
              <w:docPartObj>
                <w:docPartGallery w:val="Page Numbers (Bottom of Page)"/>
                <w:docPartUnique/>
              </w:docPartObj>
            </w:sdtPr>
            <w:sdtEndPr>
              <w:rPr>
                <w:rFonts w:cs="Arial"/>
                <w:i/>
                <w:iCs/>
                <w:noProof/>
                <w:color w:val="808080" w:themeColor="background1" w:themeShade="80"/>
                <w:sz w:val="22"/>
                <w:szCs w:val="22"/>
              </w:rPr>
            </w:sdtEndPr>
            <w:sdtContent>
              <w:p w14:paraId="4AF7EB45" w14:textId="15BE3731" w:rsidR="000B4E99" w:rsidRPr="003023F9" w:rsidRDefault="00336FFD" w:rsidP="000B4E99">
                <w:pPr>
                  <w:pStyle w:val="Footer"/>
                  <w:tabs>
                    <w:tab w:val="left" w:pos="90"/>
                    <w:tab w:val="left" w:pos="6120"/>
                  </w:tabs>
                  <w:ind w:left="-720"/>
                  <w:rPr>
                    <w:rFonts w:cs="Arial"/>
                    <w:i/>
                    <w:iCs/>
                    <w:color w:val="808080" w:themeColor="background1" w:themeShade="80"/>
                    <w:sz w:val="22"/>
                    <w:szCs w:val="22"/>
                  </w:rPr>
                </w:pPr>
                <w:r w:rsidRPr="00186001">
                  <w:rPr>
                    <w:rFonts w:cs="Arial"/>
                    <w:i/>
                    <w:iCs/>
                    <w:color w:val="808080" w:themeColor="background1" w:themeShade="80"/>
                    <w:sz w:val="22"/>
                    <w:szCs w:val="22"/>
                  </w:rPr>
                  <w:t xml:space="preserve">California </w:t>
                </w:r>
                <w:r w:rsidR="000B4E99" w:rsidRPr="003023F9">
                  <w:rPr>
                    <w:rFonts w:cs="Arial"/>
                    <w:i/>
                    <w:iCs/>
                    <w:color w:val="808080" w:themeColor="background1" w:themeShade="80"/>
                    <w:sz w:val="22"/>
                    <w:szCs w:val="22"/>
                  </w:rPr>
                  <w:t xml:space="preserve">Department of Housing and Community Development    </w:t>
                </w:r>
                <w:r w:rsidR="000B4E99">
                  <w:rPr>
                    <w:rFonts w:cs="Arial"/>
                    <w:i/>
                    <w:iCs/>
                    <w:color w:val="808080" w:themeColor="background1" w:themeShade="80"/>
                    <w:sz w:val="22"/>
                    <w:szCs w:val="22"/>
                  </w:rPr>
                  <w:t xml:space="preserve">                                                 Page </w:t>
                </w:r>
                <w:r w:rsidR="000B4E99" w:rsidRPr="003023F9">
                  <w:rPr>
                    <w:rFonts w:cs="Arial"/>
                    <w:i/>
                    <w:iCs/>
                    <w:color w:val="808080" w:themeColor="background1" w:themeShade="80"/>
                    <w:sz w:val="22"/>
                    <w:szCs w:val="22"/>
                  </w:rPr>
                  <w:fldChar w:fldCharType="begin"/>
                </w:r>
                <w:r w:rsidR="000B4E99" w:rsidRPr="003023F9">
                  <w:rPr>
                    <w:rFonts w:cs="Arial"/>
                    <w:i/>
                    <w:iCs/>
                    <w:color w:val="808080" w:themeColor="background1" w:themeShade="80"/>
                    <w:sz w:val="22"/>
                    <w:szCs w:val="22"/>
                  </w:rPr>
                  <w:instrText xml:space="preserve"> PAGE   \* MERGEFORMAT </w:instrText>
                </w:r>
                <w:r w:rsidR="000B4E99" w:rsidRPr="003023F9">
                  <w:rPr>
                    <w:rFonts w:cs="Arial"/>
                    <w:i/>
                    <w:iCs/>
                    <w:color w:val="808080" w:themeColor="background1" w:themeShade="80"/>
                    <w:sz w:val="22"/>
                    <w:szCs w:val="22"/>
                  </w:rPr>
                  <w:fldChar w:fldCharType="separate"/>
                </w:r>
                <w:r w:rsidR="000B4E99">
                  <w:rPr>
                    <w:rFonts w:cs="Arial"/>
                    <w:i/>
                    <w:iCs/>
                    <w:color w:val="808080" w:themeColor="background1" w:themeShade="80"/>
                  </w:rPr>
                  <w:t>2</w:t>
                </w:r>
                <w:r w:rsidR="000B4E99" w:rsidRPr="003023F9">
                  <w:rPr>
                    <w:rFonts w:cs="Arial"/>
                    <w:i/>
                    <w:iCs/>
                    <w:noProof/>
                    <w:color w:val="808080" w:themeColor="background1" w:themeShade="80"/>
                    <w:sz w:val="22"/>
                    <w:szCs w:val="22"/>
                  </w:rPr>
                  <w:fldChar w:fldCharType="end"/>
                </w:r>
                <w:r w:rsidR="000B4E99">
                  <w:rPr>
                    <w:rFonts w:cs="Arial"/>
                    <w:i/>
                    <w:iCs/>
                    <w:noProof/>
                    <w:color w:val="808080" w:themeColor="background1" w:themeShade="80"/>
                    <w:sz w:val="22"/>
                    <w:szCs w:val="22"/>
                  </w:rPr>
                  <w:t xml:space="preserve"> </w:t>
                </w:r>
                <w:r w:rsidR="000B4E99" w:rsidRPr="003023F9">
                  <w:rPr>
                    <w:rFonts w:cs="Arial"/>
                    <w:i/>
                    <w:iCs/>
                    <w:noProof/>
                    <w:color w:val="808080" w:themeColor="background1" w:themeShade="80"/>
                    <w:sz w:val="22"/>
                    <w:szCs w:val="22"/>
                  </w:rPr>
                  <w:t xml:space="preserve">   </w:t>
                </w:r>
                <w:r w:rsidR="000B4E99">
                  <w:rPr>
                    <w:rFonts w:cs="Arial"/>
                    <w:i/>
                    <w:iCs/>
                    <w:noProof/>
                    <w:color w:val="808080" w:themeColor="background1" w:themeShade="80"/>
                    <w:sz w:val="22"/>
                    <w:szCs w:val="22"/>
                  </w:rPr>
                  <w:t xml:space="preserve">                </w:t>
                </w:r>
                <w:r w:rsidR="000B4E99" w:rsidRPr="003023F9">
                  <w:rPr>
                    <w:rFonts w:cs="Arial"/>
                    <w:i/>
                    <w:iCs/>
                    <w:noProof/>
                    <w:color w:val="808080" w:themeColor="background1" w:themeShade="80"/>
                    <w:sz w:val="22"/>
                    <w:szCs w:val="22"/>
                  </w:rPr>
                  <w:t xml:space="preserve"> </w:t>
                </w:r>
                <w:r w:rsidR="000B4E99">
                  <w:rPr>
                    <w:rFonts w:cs="Arial"/>
                    <w:i/>
                    <w:iCs/>
                    <w:noProof/>
                    <w:color w:val="808080" w:themeColor="background1" w:themeShade="80"/>
                    <w:sz w:val="22"/>
                    <w:szCs w:val="22"/>
                  </w:rPr>
                  <w:t xml:space="preserve">                                        </w:t>
                </w:r>
                <w:r w:rsidR="000B4E99" w:rsidRPr="003023F9">
                  <w:rPr>
                    <w:rFonts w:cs="Arial"/>
                    <w:i/>
                    <w:iCs/>
                    <w:noProof/>
                    <w:color w:val="808080" w:themeColor="background1" w:themeShade="80"/>
                    <w:sz w:val="22"/>
                    <w:szCs w:val="22"/>
                  </w:rPr>
                  <w:t xml:space="preserve">  IIG-2019 Program Guidelines      </w:t>
                </w:r>
              </w:p>
            </w:sdtContent>
          </w:sdt>
          <w:p w14:paraId="25ED593F" w14:textId="3EC17623" w:rsidR="00572E87" w:rsidRPr="00EB6449" w:rsidRDefault="00CD0B68" w:rsidP="00C1049A">
            <w:pPr>
              <w:pStyle w:val="Footer"/>
              <w:tabs>
                <w:tab w:val="left" w:pos="90"/>
                <w:tab w:val="left" w:pos="6120"/>
              </w:tabs>
              <w:ind w:left="-720"/>
              <w:jc w:val="center"/>
              <w:rPr>
                <w:rFonts w:cs="Arial"/>
                <w:noProof/>
              </w:rPr>
            </w:pPr>
          </w:p>
        </w:sdtContent>
      </w:sdt>
      <w:p w14:paraId="4CE4A4BF" w14:textId="41B33242" w:rsidR="00572E87" w:rsidRPr="00C13089" w:rsidRDefault="00CD0B68" w:rsidP="00EB6449">
        <w:pPr>
          <w:pStyle w:val="Footer"/>
          <w:tabs>
            <w:tab w:val="left" w:pos="90"/>
            <w:tab w:val="left" w:pos="6120"/>
          </w:tabs>
          <w:jc w:val="center"/>
          <w:rPr>
            <w:rFonts w:cs="Arial"/>
            <w:i/>
          </w:rPr>
        </w:pPr>
      </w:p>
    </w:sdtContent>
  </w:sdt>
  <w:p w14:paraId="7A9107D4" w14:textId="77777777" w:rsidR="00572E87" w:rsidRDefault="00572E87" w:rsidP="00EB6449">
    <w:pPr>
      <w:pStyle w:val="Footer"/>
      <w:tabs>
        <w:tab w:val="left" w:pos="90"/>
        <w:tab w:val="left" w:pos="6120"/>
      </w:tabs>
      <w:jc w:val="center"/>
      <w:rPr>
        <w:rFonts w:cs="Arial"/>
        <w:i/>
        <w:color w:val="80808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C36A6B" w14:textId="77777777" w:rsidR="00F76AD6" w:rsidRDefault="00F76AD6">
      <w:r>
        <w:separator/>
      </w:r>
    </w:p>
  </w:footnote>
  <w:footnote w:type="continuationSeparator" w:id="0">
    <w:p w14:paraId="4AB3BFE5" w14:textId="77777777" w:rsidR="00F76AD6" w:rsidRDefault="00F76AD6">
      <w:r>
        <w:continuationSeparator/>
      </w:r>
    </w:p>
  </w:footnote>
  <w:footnote w:type="continuationNotice" w:id="1">
    <w:p w14:paraId="55AE51FC" w14:textId="77777777" w:rsidR="00F76AD6" w:rsidRDefault="00F76AD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1147D"/>
    <w:multiLevelType w:val="hybridMultilevel"/>
    <w:tmpl w:val="9C62E972"/>
    <w:lvl w:ilvl="0" w:tplc="DC0C49AE">
      <w:start w:val="1"/>
      <w:numFmt w:val="decimal"/>
      <w:lvlText w:val="(%1)"/>
      <w:lvlJc w:val="left"/>
      <w:pPr>
        <w:ind w:left="1451" w:hanging="540"/>
      </w:pPr>
      <w:rPr>
        <w:rFonts w:ascii="Arial" w:eastAsia="Arial" w:hAnsi="Arial" w:cs="Arial" w:hint="default"/>
        <w:b w:val="0"/>
        <w:bCs w:val="0"/>
        <w:i w:val="0"/>
        <w:iCs w:val="0"/>
        <w:spacing w:val="-1"/>
        <w:w w:val="100"/>
        <w:sz w:val="24"/>
        <w:szCs w:val="24"/>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81697C"/>
    <w:multiLevelType w:val="hybridMultilevel"/>
    <w:tmpl w:val="69C883C0"/>
    <w:lvl w:ilvl="0" w:tplc="C180EE1C">
      <w:start w:val="1"/>
      <w:numFmt w:val="decimal"/>
      <w:lvlText w:val="(%1)"/>
      <w:lvlJc w:val="left"/>
      <w:pPr>
        <w:ind w:left="1710" w:hanging="360"/>
      </w:pPr>
      <w:rPr>
        <w:rFonts w:hint="default"/>
      </w:rPr>
    </w:lvl>
    <w:lvl w:ilvl="1" w:tplc="04090019">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 w15:restartNumberingAfterBreak="0">
    <w:nsid w:val="03394CC8"/>
    <w:multiLevelType w:val="hybridMultilevel"/>
    <w:tmpl w:val="8BF23B44"/>
    <w:lvl w:ilvl="0" w:tplc="96861A8A">
      <w:start w:val="50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A35F78"/>
    <w:multiLevelType w:val="hybridMultilevel"/>
    <w:tmpl w:val="8C82EB50"/>
    <w:lvl w:ilvl="0" w:tplc="86CE1746">
      <w:start w:val="1"/>
      <w:numFmt w:val="lowerRoman"/>
      <w:lvlText w:val="(%1)"/>
      <w:lvlJc w:val="left"/>
      <w:pPr>
        <w:ind w:left="2880" w:hanging="360"/>
      </w:pPr>
      <w:rPr>
        <w:rFonts w:hint="default"/>
        <w:sz w:val="24"/>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 w15:restartNumberingAfterBreak="0">
    <w:nsid w:val="0682573E"/>
    <w:multiLevelType w:val="hybridMultilevel"/>
    <w:tmpl w:val="C658B256"/>
    <w:lvl w:ilvl="0" w:tplc="0409001B">
      <w:start w:val="1"/>
      <w:numFmt w:val="lowerRoman"/>
      <w:lvlText w:val="%1."/>
      <w:lvlJc w:val="right"/>
      <w:pPr>
        <w:ind w:left="2610" w:hanging="360"/>
      </w:p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5" w15:restartNumberingAfterBreak="0">
    <w:nsid w:val="075B653A"/>
    <w:multiLevelType w:val="hybridMultilevel"/>
    <w:tmpl w:val="556EB60A"/>
    <w:lvl w:ilvl="0" w:tplc="464A11C0">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084C7B82"/>
    <w:multiLevelType w:val="hybridMultilevel"/>
    <w:tmpl w:val="591C0DE0"/>
    <w:lvl w:ilvl="0" w:tplc="739A6990">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B4F244B8">
      <w:start w:val="1"/>
      <w:numFmt w:val="decimal"/>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8845DD4"/>
    <w:multiLevelType w:val="hybridMultilevel"/>
    <w:tmpl w:val="D58E3B82"/>
    <w:lvl w:ilvl="0" w:tplc="734CB2DE">
      <w:start w:val="1"/>
      <w:numFmt w:val="lowerLetter"/>
      <w:lvlText w:val="(%1)"/>
      <w:lvlJc w:val="left"/>
      <w:pPr>
        <w:ind w:left="904" w:hanging="533"/>
      </w:pPr>
      <w:rPr>
        <w:rFonts w:ascii="Arial" w:eastAsia="Arial" w:hAnsi="Arial" w:cs="Arial" w:hint="default"/>
        <w:b w:val="0"/>
        <w:bCs w:val="0"/>
        <w:i w:val="0"/>
        <w:iCs w:val="0"/>
        <w:spacing w:val="-1"/>
        <w:w w:val="100"/>
        <w:sz w:val="24"/>
        <w:szCs w:val="24"/>
        <w:lang w:val="en-US" w:eastAsia="en-US" w:bidi="ar-SA"/>
      </w:rPr>
    </w:lvl>
    <w:lvl w:ilvl="1" w:tplc="A6BCE9B4">
      <w:numFmt w:val="bullet"/>
      <w:lvlText w:val="•"/>
      <w:lvlJc w:val="left"/>
      <w:pPr>
        <w:ind w:left="1956" w:hanging="533"/>
      </w:pPr>
      <w:rPr>
        <w:rFonts w:hint="default"/>
        <w:lang w:val="en-US" w:eastAsia="en-US" w:bidi="ar-SA"/>
      </w:rPr>
    </w:lvl>
    <w:lvl w:ilvl="2" w:tplc="1E6C56C6">
      <w:numFmt w:val="bullet"/>
      <w:lvlText w:val="•"/>
      <w:lvlJc w:val="left"/>
      <w:pPr>
        <w:ind w:left="3012" w:hanging="533"/>
      </w:pPr>
      <w:rPr>
        <w:rFonts w:hint="default"/>
        <w:lang w:val="en-US" w:eastAsia="en-US" w:bidi="ar-SA"/>
      </w:rPr>
    </w:lvl>
    <w:lvl w:ilvl="3" w:tplc="5A803862">
      <w:numFmt w:val="bullet"/>
      <w:lvlText w:val="•"/>
      <w:lvlJc w:val="left"/>
      <w:pPr>
        <w:ind w:left="4068" w:hanging="533"/>
      </w:pPr>
      <w:rPr>
        <w:rFonts w:hint="default"/>
        <w:lang w:val="en-US" w:eastAsia="en-US" w:bidi="ar-SA"/>
      </w:rPr>
    </w:lvl>
    <w:lvl w:ilvl="4" w:tplc="944E0756">
      <w:numFmt w:val="bullet"/>
      <w:lvlText w:val="•"/>
      <w:lvlJc w:val="left"/>
      <w:pPr>
        <w:ind w:left="5124" w:hanging="533"/>
      </w:pPr>
      <w:rPr>
        <w:rFonts w:hint="default"/>
        <w:lang w:val="en-US" w:eastAsia="en-US" w:bidi="ar-SA"/>
      </w:rPr>
    </w:lvl>
    <w:lvl w:ilvl="5" w:tplc="B6C05E02">
      <w:numFmt w:val="bullet"/>
      <w:lvlText w:val="•"/>
      <w:lvlJc w:val="left"/>
      <w:pPr>
        <w:ind w:left="6180" w:hanging="533"/>
      </w:pPr>
      <w:rPr>
        <w:rFonts w:hint="default"/>
        <w:lang w:val="en-US" w:eastAsia="en-US" w:bidi="ar-SA"/>
      </w:rPr>
    </w:lvl>
    <w:lvl w:ilvl="6" w:tplc="E31ADCDC">
      <w:numFmt w:val="bullet"/>
      <w:lvlText w:val="•"/>
      <w:lvlJc w:val="left"/>
      <w:pPr>
        <w:ind w:left="7236" w:hanging="533"/>
      </w:pPr>
      <w:rPr>
        <w:rFonts w:hint="default"/>
        <w:lang w:val="en-US" w:eastAsia="en-US" w:bidi="ar-SA"/>
      </w:rPr>
    </w:lvl>
    <w:lvl w:ilvl="7" w:tplc="9612BF42">
      <w:numFmt w:val="bullet"/>
      <w:lvlText w:val="•"/>
      <w:lvlJc w:val="left"/>
      <w:pPr>
        <w:ind w:left="8292" w:hanging="533"/>
      </w:pPr>
      <w:rPr>
        <w:rFonts w:hint="default"/>
        <w:lang w:val="en-US" w:eastAsia="en-US" w:bidi="ar-SA"/>
      </w:rPr>
    </w:lvl>
    <w:lvl w:ilvl="8" w:tplc="B7D62894">
      <w:numFmt w:val="bullet"/>
      <w:lvlText w:val="•"/>
      <w:lvlJc w:val="left"/>
      <w:pPr>
        <w:ind w:left="9348" w:hanging="533"/>
      </w:pPr>
      <w:rPr>
        <w:rFonts w:hint="default"/>
        <w:lang w:val="en-US" w:eastAsia="en-US" w:bidi="ar-SA"/>
      </w:rPr>
    </w:lvl>
  </w:abstractNum>
  <w:abstractNum w:abstractNumId="8" w15:restartNumberingAfterBreak="0">
    <w:nsid w:val="089A1D29"/>
    <w:multiLevelType w:val="hybridMultilevel"/>
    <w:tmpl w:val="556EB60A"/>
    <w:lvl w:ilvl="0" w:tplc="464A11C0">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15:restartNumberingAfterBreak="0">
    <w:nsid w:val="09DB35CF"/>
    <w:multiLevelType w:val="hybridMultilevel"/>
    <w:tmpl w:val="3DB238D0"/>
    <w:lvl w:ilvl="0" w:tplc="04090001">
      <w:start w:val="1"/>
      <w:numFmt w:val="bullet"/>
      <w:lvlText w:val=""/>
      <w:lvlJc w:val="left"/>
      <w:pPr>
        <w:ind w:left="1710" w:hanging="360"/>
      </w:pPr>
      <w:rPr>
        <w:rFonts w:ascii="Symbol" w:hAnsi="Symbol"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0" w15:restartNumberingAfterBreak="0">
    <w:nsid w:val="0A5C2DB3"/>
    <w:multiLevelType w:val="hybridMultilevel"/>
    <w:tmpl w:val="556EB60A"/>
    <w:lvl w:ilvl="0" w:tplc="464A11C0">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15:restartNumberingAfterBreak="0">
    <w:nsid w:val="0F6E30C8"/>
    <w:multiLevelType w:val="hybridMultilevel"/>
    <w:tmpl w:val="B722046A"/>
    <w:lvl w:ilvl="0" w:tplc="A4F6F0C0">
      <w:start w:val="1"/>
      <w:numFmt w:val="lowerLetter"/>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1F102AE"/>
    <w:multiLevelType w:val="hybridMultilevel"/>
    <w:tmpl w:val="B722046A"/>
    <w:lvl w:ilvl="0" w:tplc="A4F6F0C0">
      <w:start w:val="1"/>
      <w:numFmt w:val="lowerLetter"/>
      <w:lvlText w:val="(%1)"/>
      <w:lvlJc w:val="left"/>
      <w:pPr>
        <w:ind w:left="720" w:hanging="72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162837F3"/>
    <w:multiLevelType w:val="hybridMultilevel"/>
    <w:tmpl w:val="69C883C0"/>
    <w:lvl w:ilvl="0" w:tplc="C180EE1C">
      <w:start w:val="1"/>
      <w:numFmt w:val="decimal"/>
      <w:lvlText w:val="(%1)"/>
      <w:lvlJc w:val="left"/>
      <w:pPr>
        <w:ind w:left="1710" w:hanging="360"/>
      </w:pPr>
      <w:rPr>
        <w:rFonts w:hint="default"/>
      </w:rPr>
    </w:lvl>
    <w:lvl w:ilvl="1" w:tplc="04090019">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4" w15:restartNumberingAfterBreak="0">
    <w:nsid w:val="17247CA2"/>
    <w:multiLevelType w:val="multilevel"/>
    <w:tmpl w:val="639E283C"/>
    <w:lvl w:ilvl="0">
      <w:start w:val="1"/>
      <w:numFmt w:val="low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start w:val="1"/>
      <w:numFmt w:val="upperLetter"/>
      <w:lvlText w:val="(%3)"/>
      <w:lvlJc w:val="left"/>
      <w:pPr>
        <w:tabs>
          <w:tab w:val="num" w:pos="2160"/>
        </w:tabs>
        <w:ind w:left="2160" w:hanging="360"/>
      </w:pPr>
      <w:rPr>
        <w:rFonts w:ascii="Arial" w:eastAsia="Arial" w:hAnsi="Arial" w:cs="Arial" w:hint="default"/>
        <w:spacing w:val="-27"/>
        <w:w w:val="99"/>
        <w:sz w:val="24"/>
        <w:szCs w:val="24"/>
      </w:r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5" w15:restartNumberingAfterBreak="0">
    <w:nsid w:val="17942BDC"/>
    <w:multiLevelType w:val="hybridMultilevel"/>
    <w:tmpl w:val="9C62E972"/>
    <w:lvl w:ilvl="0" w:tplc="DC0C49AE">
      <w:start w:val="1"/>
      <w:numFmt w:val="decimal"/>
      <w:lvlText w:val="(%1)"/>
      <w:lvlJc w:val="left"/>
      <w:pPr>
        <w:ind w:left="1451" w:hanging="540"/>
      </w:pPr>
      <w:rPr>
        <w:rFonts w:ascii="Arial" w:eastAsia="Arial" w:hAnsi="Arial" w:cs="Arial" w:hint="default"/>
        <w:b w:val="0"/>
        <w:bCs w:val="0"/>
        <w:i w:val="0"/>
        <w:iCs w:val="0"/>
        <w:spacing w:val="-1"/>
        <w:w w:val="100"/>
        <w:sz w:val="24"/>
        <w:szCs w:val="24"/>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8BB6B56"/>
    <w:multiLevelType w:val="hybridMultilevel"/>
    <w:tmpl w:val="556EB60A"/>
    <w:lvl w:ilvl="0" w:tplc="464A11C0">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 w15:restartNumberingAfterBreak="0">
    <w:nsid w:val="18CA2E47"/>
    <w:multiLevelType w:val="hybridMultilevel"/>
    <w:tmpl w:val="E3D86C70"/>
    <w:lvl w:ilvl="0" w:tplc="7D22FA6E">
      <w:start w:val="1"/>
      <w:numFmt w:val="lowerLetter"/>
      <w:lvlText w:val="(%1)"/>
      <w:lvlJc w:val="left"/>
      <w:pPr>
        <w:ind w:left="1080" w:hanging="360"/>
      </w:pPr>
      <w:rPr>
        <w:rFonts w:ascii="Arial" w:hAnsi="Arial" w:hint="default"/>
        <w:w w:val="100"/>
        <w:sz w:val="24"/>
        <w:szCs w:val="24"/>
      </w:rPr>
    </w:lvl>
    <w:lvl w:ilvl="1" w:tplc="F97C8C08">
      <w:start w:val="1"/>
      <w:numFmt w:val="decimal"/>
      <w:lvlText w:val="(%2)"/>
      <w:lvlJc w:val="left"/>
      <w:pPr>
        <w:ind w:left="1800" w:hanging="360"/>
      </w:pPr>
      <w:rPr>
        <w:rFonts w:ascii="Arial" w:eastAsia="Arial" w:hAnsi="Arial" w:cs="Arial" w:hint="default"/>
        <w:b w:val="0"/>
        <w:bCs w:val="0"/>
        <w:i w:val="0"/>
        <w:iCs w:val="0"/>
        <w:color w:val="333333"/>
        <w:spacing w:val="-3"/>
        <w:w w:val="98"/>
        <w:sz w:val="24"/>
        <w:szCs w:val="24"/>
      </w:rPr>
    </w:lvl>
    <w:lvl w:ilvl="2" w:tplc="B4F244B8">
      <w:start w:val="1"/>
      <w:numFmt w:val="decimal"/>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19A9182F"/>
    <w:multiLevelType w:val="hybridMultilevel"/>
    <w:tmpl w:val="556EB60A"/>
    <w:lvl w:ilvl="0" w:tplc="464A11C0">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9" w15:restartNumberingAfterBreak="0">
    <w:nsid w:val="19C84D34"/>
    <w:multiLevelType w:val="hybridMultilevel"/>
    <w:tmpl w:val="C1C4FDB2"/>
    <w:lvl w:ilvl="0" w:tplc="25664000">
      <w:start w:val="1"/>
      <w:numFmt w:val="lowerLetter"/>
      <w:lvlText w:val="(%1)"/>
      <w:lvlJc w:val="left"/>
      <w:pPr>
        <w:ind w:left="911" w:hanging="540"/>
      </w:pPr>
      <w:rPr>
        <w:rFonts w:ascii="Arial" w:eastAsia="Arial" w:hAnsi="Arial" w:cs="Arial" w:hint="default"/>
        <w:b w:val="0"/>
        <w:bCs w:val="0"/>
        <w:i w:val="0"/>
        <w:iCs w:val="0"/>
        <w:spacing w:val="-3"/>
        <w:w w:val="98"/>
        <w:sz w:val="24"/>
        <w:szCs w:val="24"/>
        <w:lang w:val="en-US" w:eastAsia="en-US" w:bidi="ar-SA"/>
      </w:rPr>
    </w:lvl>
    <w:lvl w:ilvl="1" w:tplc="C616D4B0">
      <w:start w:val="1"/>
      <w:numFmt w:val="decimal"/>
      <w:lvlText w:val="(%2)"/>
      <w:lvlJc w:val="left"/>
      <w:pPr>
        <w:ind w:left="1451" w:hanging="540"/>
      </w:pPr>
      <w:rPr>
        <w:rFonts w:ascii="Arial" w:eastAsia="Arial" w:hAnsi="Arial" w:cs="Arial" w:hint="default"/>
        <w:b w:val="0"/>
        <w:bCs w:val="0"/>
        <w:i w:val="0"/>
        <w:iCs w:val="0"/>
        <w:spacing w:val="-1"/>
        <w:w w:val="100"/>
        <w:sz w:val="24"/>
        <w:szCs w:val="24"/>
        <w:lang w:val="en-US" w:eastAsia="en-US" w:bidi="ar-SA"/>
      </w:rPr>
    </w:lvl>
    <w:lvl w:ilvl="2" w:tplc="80444232">
      <w:start w:val="1"/>
      <w:numFmt w:val="upperLetter"/>
      <w:lvlText w:val="(%3)"/>
      <w:lvlJc w:val="left"/>
      <w:pPr>
        <w:ind w:left="2571" w:hanging="540"/>
      </w:pPr>
      <w:rPr>
        <w:rFonts w:ascii="Arial" w:eastAsia="Arial" w:hAnsi="Arial" w:cs="Arial" w:hint="default"/>
        <w:b w:val="0"/>
        <w:bCs w:val="0"/>
        <w:i w:val="0"/>
        <w:iCs w:val="0"/>
        <w:spacing w:val="-1"/>
        <w:w w:val="100"/>
        <w:sz w:val="24"/>
        <w:szCs w:val="24"/>
        <w:lang w:val="en-US" w:eastAsia="en-US" w:bidi="ar-SA"/>
      </w:rPr>
    </w:lvl>
    <w:lvl w:ilvl="3" w:tplc="1D78E036">
      <w:numFmt w:val="bullet"/>
      <w:lvlText w:val="•"/>
      <w:lvlJc w:val="left"/>
      <w:pPr>
        <w:ind w:left="3682" w:hanging="540"/>
      </w:pPr>
      <w:rPr>
        <w:rFonts w:hint="default"/>
        <w:lang w:val="en-US" w:eastAsia="en-US" w:bidi="ar-SA"/>
      </w:rPr>
    </w:lvl>
    <w:lvl w:ilvl="4" w:tplc="FD007D10">
      <w:numFmt w:val="bullet"/>
      <w:lvlText w:val="•"/>
      <w:lvlJc w:val="left"/>
      <w:pPr>
        <w:ind w:left="4793" w:hanging="540"/>
      </w:pPr>
      <w:rPr>
        <w:rFonts w:hint="default"/>
        <w:lang w:val="en-US" w:eastAsia="en-US" w:bidi="ar-SA"/>
      </w:rPr>
    </w:lvl>
    <w:lvl w:ilvl="5" w:tplc="460A6520">
      <w:numFmt w:val="bullet"/>
      <w:lvlText w:val="•"/>
      <w:lvlJc w:val="left"/>
      <w:pPr>
        <w:ind w:left="5904" w:hanging="540"/>
      </w:pPr>
      <w:rPr>
        <w:rFonts w:hint="default"/>
        <w:lang w:val="en-US" w:eastAsia="en-US" w:bidi="ar-SA"/>
      </w:rPr>
    </w:lvl>
    <w:lvl w:ilvl="6" w:tplc="FF0ADA66">
      <w:numFmt w:val="bullet"/>
      <w:lvlText w:val="•"/>
      <w:lvlJc w:val="left"/>
      <w:pPr>
        <w:ind w:left="7015" w:hanging="540"/>
      </w:pPr>
      <w:rPr>
        <w:rFonts w:hint="default"/>
        <w:lang w:val="en-US" w:eastAsia="en-US" w:bidi="ar-SA"/>
      </w:rPr>
    </w:lvl>
    <w:lvl w:ilvl="7" w:tplc="318E717C">
      <w:numFmt w:val="bullet"/>
      <w:lvlText w:val="•"/>
      <w:lvlJc w:val="left"/>
      <w:pPr>
        <w:ind w:left="8126" w:hanging="540"/>
      </w:pPr>
      <w:rPr>
        <w:rFonts w:hint="default"/>
        <w:lang w:val="en-US" w:eastAsia="en-US" w:bidi="ar-SA"/>
      </w:rPr>
    </w:lvl>
    <w:lvl w:ilvl="8" w:tplc="256C2952">
      <w:numFmt w:val="bullet"/>
      <w:lvlText w:val="•"/>
      <w:lvlJc w:val="left"/>
      <w:pPr>
        <w:ind w:left="9237" w:hanging="540"/>
      </w:pPr>
      <w:rPr>
        <w:rFonts w:hint="default"/>
        <w:lang w:val="en-US" w:eastAsia="en-US" w:bidi="ar-SA"/>
      </w:rPr>
    </w:lvl>
  </w:abstractNum>
  <w:abstractNum w:abstractNumId="20" w15:restartNumberingAfterBreak="0">
    <w:nsid w:val="1A0C6823"/>
    <w:multiLevelType w:val="hybridMultilevel"/>
    <w:tmpl w:val="556EB60A"/>
    <w:lvl w:ilvl="0" w:tplc="464A11C0">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1" w15:restartNumberingAfterBreak="0">
    <w:nsid w:val="1A305F7C"/>
    <w:multiLevelType w:val="hybridMultilevel"/>
    <w:tmpl w:val="591C0DE0"/>
    <w:lvl w:ilvl="0" w:tplc="739A6990">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B4F244B8">
      <w:start w:val="1"/>
      <w:numFmt w:val="decimal"/>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1AA430B8"/>
    <w:multiLevelType w:val="hybridMultilevel"/>
    <w:tmpl w:val="711A7648"/>
    <w:lvl w:ilvl="0" w:tplc="421A42B0">
      <w:start w:val="1"/>
      <w:numFmt w:val="decimal"/>
      <w:lvlText w:val="(%1)"/>
      <w:lvlJc w:val="left"/>
      <w:pPr>
        <w:ind w:left="810" w:hanging="360"/>
      </w:pPr>
      <w:rPr>
        <w:rFonts w:ascii="Arial" w:eastAsia="Arial" w:hAnsi="Arial" w:cs="Arial" w:hint="default"/>
        <w:b w:val="0"/>
        <w:bCs w:val="0"/>
        <w:i w:val="0"/>
        <w:iCs w:val="0"/>
        <w:strike w:val="0"/>
        <w:dstrike w:val="0"/>
        <w:color w:val="FF0000"/>
        <w:spacing w:val="-3"/>
        <w:w w:val="98"/>
        <w:sz w:val="24"/>
        <w:szCs w:val="24"/>
        <w:u w:val="none"/>
        <w:effect w:val="none"/>
        <w:lang w:val="en-US" w:eastAsia="en-US" w:bidi="ar-SA"/>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3" w15:restartNumberingAfterBreak="0">
    <w:nsid w:val="1D06232C"/>
    <w:multiLevelType w:val="hybridMultilevel"/>
    <w:tmpl w:val="8C82EB50"/>
    <w:lvl w:ilvl="0" w:tplc="86CE1746">
      <w:start w:val="1"/>
      <w:numFmt w:val="lowerRoman"/>
      <w:lvlText w:val="(%1)"/>
      <w:lvlJc w:val="left"/>
      <w:pPr>
        <w:ind w:left="2880" w:hanging="360"/>
      </w:pPr>
      <w:rPr>
        <w:rFonts w:hint="default"/>
        <w:sz w:val="24"/>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4" w15:restartNumberingAfterBreak="0">
    <w:nsid w:val="1E1C5452"/>
    <w:multiLevelType w:val="hybridMultilevel"/>
    <w:tmpl w:val="712877A8"/>
    <w:lvl w:ilvl="0" w:tplc="C4884EB8">
      <w:start w:val="6"/>
      <w:numFmt w:val="lowerLetter"/>
      <w:lvlText w:val="(%1)"/>
      <w:lvlJc w:val="left"/>
      <w:pPr>
        <w:ind w:left="1800" w:hanging="720"/>
      </w:pPr>
      <w:rPr>
        <w:rFonts w:ascii="Arial" w:eastAsia="Arial" w:hAnsi="Arial" w:cs="Arial" w:hint="default"/>
        <w:b w:val="0"/>
        <w:bCs w:val="0"/>
        <w:strike w:val="0"/>
        <w:color w:val="000000" w:themeColor="text1"/>
        <w:w w:val="99"/>
        <w:sz w:val="24"/>
        <w:szCs w:val="24"/>
      </w:rPr>
    </w:lvl>
    <w:lvl w:ilvl="1" w:tplc="CFA212B8">
      <w:start w:val="1"/>
      <w:numFmt w:val="decimal"/>
      <w:lvlText w:val="(%2)"/>
      <w:lvlJc w:val="left"/>
      <w:pPr>
        <w:ind w:left="1440" w:hanging="360"/>
      </w:pPr>
      <w:rPr>
        <w:rFonts w:ascii="Arial" w:eastAsia="Arial" w:hAnsi="Arial" w:cs="Arial" w:hint="default"/>
        <w:b w:val="0"/>
        <w:bCs w:val="0"/>
        <w:i w:val="0"/>
        <w:iCs w:val="0"/>
        <w:spacing w:val="-3"/>
        <w:w w:val="98"/>
        <w:sz w:val="24"/>
        <w:szCs w:val="24"/>
        <w:lang w:val="en-US" w:eastAsia="en-US" w:bidi="ar-SA"/>
      </w:rPr>
    </w:lvl>
    <w:lvl w:ilvl="2" w:tplc="1068EC00">
      <w:start w:val="1"/>
      <w:numFmt w:val="upperLetter"/>
      <w:lvlText w:val="(%3)"/>
      <w:lvlJc w:val="left"/>
      <w:pPr>
        <w:ind w:left="2160" w:hanging="180"/>
      </w:pPr>
      <w:rPr>
        <w:rFonts w:ascii="Arial" w:eastAsia="Arial" w:hAnsi="Arial" w:cs="Arial" w:hint="default"/>
        <w:b w:val="0"/>
        <w:bCs w:val="0"/>
        <w:i w:val="0"/>
        <w:iCs w:val="0"/>
        <w:w w:val="98"/>
        <w:sz w:val="24"/>
        <w:szCs w:val="24"/>
        <w:lang w:val="en-US" w:eastAsia="en-US" w:bidi="ar-SA"/>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E986F49"/>
    <w:multiLevelType w:val="hybridMultilevel"/>
    <w:tmpl w:val="556EB60A"/>
    <w:lvl w:ilvl="0" w:tplc="464A11C0">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6" w15:restartNumberingAfterBreak="0">
    <w:nsid w:val="1ED2119C"/>
    <w:multiLevelType w:val="hybridMultilevel"/>
    <w:tmpl w:val="2E7251D6"/>
    <w:lvl w:ilvl="0" w:tplc="7070E0EC">
      <w:start w:val="1"/>
      <w:numFmt w:val="decimal"/>
      <w:lvlText w:val="(%1)"/>
      <w:lvlJc w:val="left"/>
      <w:pPr>
        <w:ind w:left="1440" w:hanging="360"/>
      </w:pPr>
      <w:rPr>
        <w:rFonts w:hint="default"/>
        <w:i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21C531E6"/>
    <w:multiLevelType w:val="hybridMultilevel"/>
    <w:tmpl w:val="2E7251D6"/>
    <w:lvl w:ilvl="0" w:tplc="7070E0EC">
      <w:start w:val="1"/>
      <w:numFmt w:val="decimal"/>
      <w:lvlText w:val="(%1)"/>
      <w:lvlJc w:val="left"/>
      <w:pPr>
        <w:ind w:left="1440" w:hanging="360"/>
      </w:pPr>
      <w:rPr>
        <w:rFonts w:hint="default"/>
        <w:i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220A0F2D"/>
    <w:multiLevelType w:val="hybridMultilevel"/>
    <w:tmpl w:val="2E7251D6"/>
    <w:lvl w:ilvl="0" w:tplc="7070E0EC">
      <w:start w:val="1"/>
      <w:numFmt w:val="decimal"/>
      <w:lvlText w:val="(%1)"/>
      <w:lvlJc w:val="left"/>
      <w:pPr>
        <w:ind w:left="1440" w:hanging="360"/>
      </w:pPr>
      <w:rPr>
        <w:rFonts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242275A7"/>
    <w:multiLevelType w:val="hybridMultilevel"/>
    <w:tmpl w:val="556EB60A"/>
    <w:lvl w:ilvl="0" w:tplc="464A11C0">
      <w:start w:val="1"/>
      <w:numFmt w:val="upperLetter"/>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30" w15:restartNumberingAfterBreak="0">
    <w:nsid w:val="2623407B"/>
    <w:multiLevelType w:val="hybridMultilevel"/>
    <w:tmpl w:val="2E7251D6"/>
    <w:lvl w:ilvl="0" w:tplc="7070E0EC">
      <w:start w:val="1"/>
      <w:numFmt w:val="decimal"/>
      <w:lvlText w:val="(%1)"/>
      <w:lvlJc w:val="left"/>
      <w:pPr>
        <w:ind w:left="1440" w:hanging="360"/>
      </w:pPr>
      <w:rPr>
        <w:rFonts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263D24B5"/>
    <w:multiLevelType w:val="multilevel"/>
    <w:tmpl w:val="639E283C"/>
    <w:lvl w:ilvl="0">
      <w:start w:val="1"/>
      <w:numFmt w:val="low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start w:val="1"/>
      <w:numFmt w:val="upperLetter"/>
      <w:lvlText w:val="(%3)"/>
      <w:lvlJc w:val="left"/>
      <w:pPr>
        <w:tabs>
          <w:tab w:val="num" w:pos="2160"/>
        </w:tabs>
        <w:ind w:left="2160" w:hanging="360"/>
      </w:pPr>
      <w:rPr>
        <w:rFonts w:ascii="Arial" w:eastAsia="Arial" w:hAnsi="Arial" w:cs="Arial" w:hint="default"/>
        <w:spacing w:val="-27"/>
        <w:w w:val="99"/>
        <w:sz w:val="24"/>
        <w:szCs w:val="24"/>
      </w:r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2" w15:restartNumberingAfterBreak="0">
    <w:nsid w:val="29444E9D"/>
    <w:multiLevelType w:val="hybridMultilevel"/>
    <w:tmpl w:val="2E7251D6"/>
    <w:lvl w:ilvl="0" w:tplc="7070E0EC">
      <w:start w:val="1"/>
      <w:numFmt w:val="decimal"/>
      <w:lvlText w:val="(%1)"/>
      <w:lvlJc w:val="left"/>
      <w:pPr>
        <w:ind w:left="1440" w:hanging="360"/>
      </w:pPr>
      <w:rPr>
        <w:rFonts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29CE7793"/>
    <w:multiLevelType w:val="hybridMultilevel"/>
    <w:tmpl w:val="591C0DE0"/>
    <w:lvl w:ilvl="0" w:tplc="739A6990">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B4F244B8">
      <w:start w:val="1"/>
      <w:numFmt w:val="decimal"/>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2AB47087"/>
    <w:multiLevelType w:val="hybridMultilevel"/>
    <w:tmpl w:val="556EB60A"/>
    <w:lvl w:ilvl="0" w:tplc="464A11C0">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5" w15:restartNumberingAfterBreak="0">
    <w:nsid w:val="2B6C1A89"/>
    <w:multiLevelType w:val="hybridMultilevel"/>
    <w:tmpl w:val="556EB60A"/>
    <w:lvl w:ilvl="0" w:tplc="464A11C0">
      <w:start w:val="1"/>
      <w:numFmt w:val="upperLetter"/>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36" w15:restartNumberingAfterBreak="0">
    <w:nsid w:val="2BE478CB"/>
    <w:multiLevelType w:val="hybridMultilevel"/>
    <w:tmpl w:val="D1A4FD32"/>
    <w:lvl w:ilvl="0" w:tplc="FE56BCF8">
      <w:start w:val="1"/>
      <w:numFmt w:val="decimal"/>
      <w:lvlText w:val="(%1)"/>
      <w:lvlJc w:val="left"/>
      <w:pPr>
        <w:ind w:left="2520" w:hanging="360"/>
      </w:pPr>
      <w:rPr>
        <w:rFonts w:ascii="Arial" w:hAnsi="Arial" w:cs="Arial" w:hint="default"/>
        <w:b w:val="0"/>
        <w:i w:val="0"/>
        <w:strike w:val="0"/>
        <w:color w:val="FF0000"/>
        <w:sz w:val="24"/>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7" w15:restartNumberingAfterBreak="0">
    <w:nsid w:val="2D315A9B"/>
    <w:multiLevelType w:val="hybridMultilevel"/>
    <w:tmpl w:val="41D644DA"/>
    <w:lvl w:ilvl="0" w:tplc="AABC7AA2">
      <w:start w:val="1"/>
      <w:numFmt w:val="decimal"/>
      <w:lvlText w:val="(%1)"/>
      <w:lvlJc w:val="left"/>
      <w:pPr>
        <w:ind w:left="2520" w:hanging="360"/>
      </w:pPr>
      <w:rPr>
        <w:rFonts w:ascii="Arial" w:hAnsi="Arial" w:cs="Arial" w:hint="default"/>
        <w:b w:val="0"/>
        <w:i w:val="0"/>
        <w:strike w:val="0"/>
        <w:color w:val="FF0000"/>
        <w:sz w:val="24"/>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8" w15:restartNumberingAfterBreak="0">
    <w:nsid w:val="2D4A2CF2"/>
    <w:multiLevelType w:val="hybridMultilevel"/>
    <w:tmpl w:val="556EB60A"/>
    <w:lvl w:ilvl="0" w:tplc="464A11C0">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9" w15:restartNumberingAfterBreak="0">
    <w:nsid w:val="2F144CFD"/>
    <w:multiLevelType w:val="hybridMultilevel"/>
    <w:tmpl w:val="B722046A"/>
    <w:lvl w:ilvl="0" w:tplc="A4F6F0C0">
      <w:start w:val="1"/>
      <w:numFmt w:val="lowerLetter"/>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2F951C63"/>
    <w:multiLevelType w:val="hybridMultilevel"/>
    <w:tmpl w:val="7598CB24"/>
    <w:lvl w:ilvl="0" w:tplc="8A348040">
      <w:start w:val="1"/>
      <w:numFmt w:val="decimal"/>
      <w:lvlText w:val="(%1)"/>
      <w:lvlJc w:val="left"/>
      <w:pPr>
        <w:ind w:left="470" w:hanging="360"/>
      </w:pPr>
      <w:rPr>
        <w:rFonts w:hint="default"/>
      </w:rPr>
    </w:lvl>
    <w:lvl w:ilvl="1" w:tplc="04090019" w:tentative="1">
      <w:start w:val="1"/>
      <w:numFmt w:val="lowerLetter"/>
      <w:lvlText w:val="%2."/>
      <w:lvlJc w:val="left"/>
      <w:pPr>
        <w:ind w:left="1190" w:hanging="360"/>
      </w:pPr>
    </w:lvl>
    <w:lvl w:ilvl="2" w:tplc="0409001B" w:tentative="1">
      <w:start w:val="1"/>
      <w:numFmt w:val="lowerRoman"/>
      <w:lvlText w:val="%3."/>
      <w:lvlJc w:val="right"/>
      <w:pPr>
        <w:ind w:left="1910" w:hanging="180"/>
      </w:pPr>
    </w:lvl>
    <w:lvl w:ilvl="3" w:tplc="0409000F" w:tentative="1">
      <w:start w:val="1"/>
      <w:numFmt w:val="decimal"/>
      <w:lvlText w:val="%4."/>
      <w:lvlJc w:val="left"/>
      <w:pPr>
        <w:ind w:left="2630" w:hanging="360"/>
      </w:pPr>
    </w:lvl>
    <w:lvl w:ilvl="4" w:tplc="04090019" w:tentative="1">
      <w:start w:val="1"/>
      <w:numFmt w:val="lowerLetter"/>
      <w:lvlText w:val="%5."/>
      <w:lvlJc w:val="left"/>
      <w:pPr>
        <w:ind w:left="3350" w:hanging="360"/>
      </w:pPr>
    </w:lvl>
    <w:lvl w:ilvl="5" w:tplc="0409001B" w:tentative="1">
      <w:start w:val="1"/>
      <w:numFmt w:val="lowerRoman"/>
      <w:lvlText w:val="%6."/>
      <w:lvlJc w:val="right"/>
      <w:pPr>
        <w:ind w:left="4070" w:hanging="180"/>
      </w:pPr>
    </w:lvl>
    <w:lvl w:ilvl="6" w:tplc="0409000F" w:tentative="1">
      <w:start w:val="1"/>
      <w:numFmt w:val="decimal"/>
      <w:lvlText w:val="%7."/>
      <w:lvlJc w:val="left"/>
      <w:pPr>
        <w:ind w:left="4790" w:hanging="360"/>
      </w:pPr>
    </w:lvl>
    <w:lvl w:ilvl="7" w:tplc="04090019" w:tentative="1">
      <w:start w:val="1"/>
      <w:numFmt w:val="lowerLetter"/>
      <w:lvlText w:val="%8."/>
      <w:lvlJc w:val="left"/>
      <w:pPr>
        <w:ind w:left="5510" w:hanging="360"/>
      </w:pPr>
    </w:lvl>
    <w:lvl w:ilvl="8" w:tplc="0409001B" w:tentative="1">
      <w:start w:val="1"/>
      <w:numFmt w:val="lowerRoman"/>
      <w:lvlText w:val="%9."/>
      <w:lvlJc w:val="right"/>
      <w:pPr>
        <w:ind w:left="6230" w:hanging="180"/>
      </w:pPr>
    </w:lvl>
  </w:abstractNum>
  <w:abstractNum w:abstractNumId="41" w15:restartNumberingAfterBreak="0">
    <w:nsid w:val="327B444A"/>
    <w:multiLevelType w:val="multilevel"/>
    <w:tmpl w:val="639E283C"/>
    <w:lvl w:ilvl="0">
      <w:start w:val="1"/>
      <w:numFmt w:val="low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start w:val="1"/>
      <w:numFmt w:val="upperLetter"/>
      <w:lvlText w:val="(%3)"/>
      <w:lvlJc w:val="left"/>
      <w:pPr>
        <w:tabs>
          <w:tab w:val="num" w:pos="2160"/>
        </w:tabs>
        <w:ind w:left="2160" w:hanging="360"/>
      </w:pPr>
      <w:rPr>
        <w:rFonts w:ascii="Arial" w:eastAsia="Arial" w:hAnsi="Arial" w:cs="Arial" w:hint="default"/>
        <w:spacing w:val="-27"/>
        <w:w w:val="99"/>
        <w:sz w:val="24"/>
        <w:szCs w:val="24"/>
      </w:r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2" w15:restartNumberingAfterBreak="0">
    <w:nsid w:val="337D079B"/>
    <w:multiLevelType w:val="multilevel"/>
    <w:tmpl w:val="639E283C"/>
    <w:lvl w:ilvl="0">
      <w:start w:val="1"/>
      <w:numFmt w:val="low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start w:val="1"/>
      <w:numFmt w:val="upperLetter"/>
      <w:lvlText w:val="(%3)"/>
      <w:lvlJc w:val="left"/>
      <w:pPr>
        <w:tabs>
          <w:tab w:val="num" w:pos="2160"/>
        </w:tabs>
        <w:ind w:left="2160" w:hanging="360"/>
      </w:pPr>
      <w:rPr>
        <w:rFonts w:ascii="Arial" w:eastAsia="Arial" w:hAnsi="Arial" w:cs="Arial" w:hint="default"/>
        <w:spacing w:val="-27"/>
        <w:w w:val="99"/>
        <w:sz w:val="24"/>
        <w:szCs w:val="24"/>
      </w:r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3" w15:restartNumberingAfterBreak="0">
    <w:nsid w:val="338C31C7"/>
    <w:multiLevelType w:val="hybridMultilevel"/>
    <w:tmpl w:val="591C0DE0"/>
    <w:lvl w:ilvl="0" w:tplc="739A6990">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B4F244B8">
      <w:start w:val="1"/>
      <w:numFmt w:val="decimal"/>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3659366E"/>
    <w:multiLevelType w:val="hybridMultilevel"/>
    <w:tmpl w:val="591C0DE0"/>
    <w:lvl w:ilvl="0" w:tplc="739A6990">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B4F244B8">
      <w:start w:val="1"/>
      <w:numFmt w:val="decimal"/>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3A6E4679"/>
    <w:multiLevelType w:val="hybridMultilevel"/>
    <w:tmpl w:val="556EB60A"/>
    <w:lvl w:ilvl="0" w:tplc="464A11C0">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6" w15:restartNumberingAfterBreak="0">
    <w:nsid w:val="3A8410F3"/>
    <w:multiLevelType w:val="hybridMultilevel"/>
    <w:tmpl w:val="2E7251D6"/>
    <w:lvl w:ilvl="0" w:tplc="7070E0EC">
      <w:start w:val="1"/>
      <w:numFmt w:val="decimal"/>
      <w:lvlText w:val="(%1)"/>
      <w:lvlJc w:val="left"/>
      <w:pPr>
        <w:ind w:left="1440" w:hanging="360"/>
      </w:pPr>
      <w:rPr>
        <w:rFonts w:hint="default"/>
        <w:i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15:restartNumberingAfterBreak="0">
    <w:nsid w:val="3AF21922"/>
    <w:multiLevelType w:val="hybridMultilevel"/>
    <w:tmpl w:val="6C8EE55C"/>
    <w:lvl w:ilvl="0" w:tplc="45E60774">
      <w:start w:val="1"/>
      <w:numFmt w:val="lowerLetter"/>
      <w:lvlText w:val="(%1)"/>
      <w:lvlJc w:val="left"/>
      <w:pPr>
        <w:ind w:left="720" w:hanging="540"/>
      </w:pPr>
      <w:rPr>
        <w:rFonts w:ascii="Arial" w:eastAsia="Arial" w:hAnsi="Arial" w:cs="Arial" w:hint="default"/>
        <w:b w:val="0"/>
        <w:bCs w:val="0"/>
        <w:i w:val="0"/>
        <w:iCs w:val="0"/>
        <w:spacing w:val="-3"/>
        <w:w w:val="98"/>
        <w:sz w:val="24"/>
        <w:szCs w:val="24"/>
        <w:lang w:val="en-US" w:eastAsia="en-US" w:bidi="ar-SA"/>
      </w:rPr>
    </w:lvl>
    <w:lvl w:ilvl="1" w:tplc="6E0882CE">
      <w:start w:val="1"/>
      <w:numFmt w:val="upperLetter"/>
      <w:lvlText w:val="(%2)"/>
      <w:lvlJc w:val="left"/>
      <w:pPr>
        <w:ind w:left="990" w:hanging="540"/>
      </w:pPr>
      <w:rPr>
        <w:rFonts w:ascii="Arial" w:eastAsia="Arial" w:hAnsi="Arial" w:cs="Arial" w:hint="default"/>
        <w:b w:val="0"/>
        <w:bCs w:val="0"/>
        <w:i w:val="0"/>
        <w:iCs w:val="0"/>
        <w:strike w:val="0"/>
        <w:dstrike w:val="0"/>
        <w:spacing w:val="-1"/>
        <w:w w:val="100"/>
        <w:sz w:val="24"/>
        <w:szCs w:val="24"/>
        <w:u w:val="none"/>
        <w:effect w:val="none"/>
        <w:lang w:val="en-US" w:eastAsia="en-US" w:bidi="ar-SA"/>
      </w:rPr>
    </w:lvl>
    <w:lvl w:ilvl="2" w:tplc="F97C8C08">
      <w:start w:val="1"/>
      <w:numFmt w:val="decimal"/>
      <w:lvlText w:val="(%3)"/>
      <w:lvlJc w:val="left"/>
      <w:pPr>
        <w:ind w:left="1280" w:hanging="540"/>
      </w:pPr>
      <w:rPr>
        <w:rFonts w:ascii="Arial" w:eastAsia="Arial" w:hAnsi="Arial" w:cs="Arial" w:hint="default"/>
        <w:b w:val="0"/>
        <w:bCs w:val="0"/>
        <w:i w:val="0"/>
        <w:iCs w:val="0"/>
        <w:strike w:val="0"/>
        <w:dstrike w:val="0"/>
        <w:color w:val="333333"/>
        <w:spacing w:val="-3"/>
        <w:w w:val="98"/>
        <w:sz w:val="24"/>
        <w:szCs w:val="24"/>
        <w:u w:val="none"/>
        <w:effect w:val="none"/>
        <w:lang w:val="en-US" w:eastAsia="en-US" w:bidi="ar-SA"/>
      </w:rPr>
    </w:lvl>
    <w:lvl w:ilvl="3" w:tplc="4C5A9084">
      <w:numFmt w:val="bullet"/>
      <w:lvlText w:val="•"/>
      <w:lvlJc w:val="left"/>
      <w:pPr>
        <w:ind w:left="2552" w:hanging="540"/>
      </w:pPr>
      <w:rPr>
        <w:rFonts w:hint="default"/>
        <w:lang w:val="en-US" w:eastAsia="en-US" w:bidi="ar-SA"/>
      </w:rPr>
    </w:lvl>
    <w:lvl w:ilvl="4" w:tplc="99A02274">
      <w:numFmt w:val="bullet"/>
      <w:lvlText w:val="•"/>
      <w:lvlJc w:val="left"/>
      <w:pPr>
        <w:ind w:left="3825" w:hanging="540"/>
      </w:pPr>
      <w:rPr>
        <w:rFonts w:hint="default"/>
        <w:lang w:val="en-US" w:eastAsia="en-US" w:bidi="ar-SA"/>
      </w:rPr>
    </w:lvl>
    <w:lvl w:ilvl="5" w:tplc="15C21A6E">
      <w:numFmt w:val="bullet"/>
      <w:lvlText w:val="•"/>
      <w:lvlJc w:val="left"/>
      <w:pPr>
        <w:ind w:left="5097" w:hanging="540"/>
      </w:pPr>
      <w:rPr>
        <w:rFonts w:hint="default"/>
        <w:lang w:val="en-US" w:eastAsia="en-US" w:bidi="ar-SA"/>
      </w:rPr>
    </w:lvl>
    <w:lvl w:ilvl="6" w:tplc="41EA3DAE">
      <w:numFmt w:val="bullet"/>
      <w:lvlText w:val="•"/>
      <w:lvlJc w:val="left"/>
      <w:pPr>
        <w:ind w:left="6370" w:hanging="540"/>
      </w:pPr>
      <w:rPr>
        <w:rFonts w:hint="default"/>
        <w:lang w:val="en-US" w:eastAsia="en-US" w:bidi="ar-SA"/>
      </w:rPr>
    </w:lvl>
    <w:lvl w:ilvl="7" w:tplc="9E06B960">
      <w:numFmt w:val="bullet"/>
      <w:lvlText w:val="•"/>
      <w:lvlJc w:val="left"/>
      <w:pPr>
        <w:ind w:left="7642" w:hanging="540"/>
      </w:pPr>
      <w:rPr>
        <w:rFonts w:hint="default"/>
        <w:lang w:val="en-US" w:eastAsia="en-US" w:bidi="ar-SA"/>
      </w:rPr>
    </w:lvl>
    <w:lvl w:ilvl="8" w:tplc="287A184C">
      <w:numFmt w:val="bullet"/>
      <w:lvlText w:val="•"/>
      <w:lvlJc w:val="left"/>
      <w:pPr>
        <w:ind w:left="8915" w:hanging="540"/>
      </w:pPr>
      <w:rPr>
        <w:rFonts w:hint="default"/>
        <w:lang w:val="en-US" w:eastAsia="en-US" w:bidi="ar-SA"/>
      </w:rPr>
    </w:lvl>
  </w:abstractNum>
  <w:abstractNum w:abstractNumId="48" w15:restartNumberingAfterBreak="0">
    <w:nsid w:val="3B90427B"/>
    <w:multiLevelType w:val="hybridMultilevel"/>
    <w:tmpl w:val="21A8B4D6"/>
    <w:lvl w:ilvl="0" w:tplc="207454E4">
      <w:start w:val="1"/>
      <w:numFmt w:val="lowerLetter"/>
      <w:lvlText w:val="(%1)"/>
      <w:lvlJc w:val="left"/>
      <w:pPr>
        <w:ind w:left="720" w:hanging="720"/>
      </w:pPr>
      <w:rPr>
        <w:rFonts w:ascii="Arial" w:hAnsi="Arial" w:hint="default"/>
        <w:color w:val="auto"/>
        <w:w w:val="100"/>
        <w:sz w:val="24"/>
        <w:szCs w:val="24"/>
      </w:rPr>
    </w:lvl>
    <w:lvl w:ilvl="1" w:tplc="B1CA43E4">
      <w:start w:val="1"/>
      <w:numFmt w:val="decimal"/>
      <w:lvlText w:val="(%2)"/>
      <w:lvlJc w:val="left"/>
      <w:pPr>
        <w:ind w:left="1080" w:hanging="360"/>
      </w:pPr>
      <w:rPr>
        <w:rFonts w:hint="default"/>
        <w:sz w:val="24"/>
      </w:rPr>
    </w:lvl>
    <w:lvl w:ilvl="2" w:tplc="FD5EB7AC">
      <w:start w:val="1"/>
      <w:numFmt w:val="upperLetter"/>
      <w:lvlText w:val="(%3)"/>
      <w:lvlJc w:val="left"/>
      <w:pPr>
        <w:ind w:left="2250" w:hanging="630"/>
      </w:pPr>
      <w:rPr>
        <w:rFonts w:ascii="Arial" w:eastAsia="Arial" w:hAnsi="Arial" w:cs="Arial" w:hint="default"/>
        <w:b w:val="0"/>
        <w:bCs w:val="0"/>
        <w:i w:val="0"/>
        <w:iCs w:val="0"/>
        <w:spacing w:val="-27"/>
        <w:w w:val="99"/>
        <w:sz w:val="24"/>
        <w:szCs w:val="24"/>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15:restartNumberingAfterBreak="0">
    <w:nsid w:val="3C96780F"/>
    <w:multiLevelType w:val="hybridMultilevel"/>
    <w:tmpl w:val="2E7251D6"/>
    <w:lvl w:ilvl="0" w:tplc="7070E0EC">
      <w:start w:val="1"/>
      <w:numFmt w:val="decimal"/>
      <w:lvlText w:val="(%1)"/>
      <w:lvlJc w:val="left"/>
      <w:pPr>
        <w:ind w:left="1440" w:hanging="360"/>
      </w:pPr>
      <w:rPr>
        <w:rFonts w:hint="default"/>
        <w:i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0" w15:restartNumberingAfterBreak="0">
    <w:nsid w:val="3C9E368A"/>
    <w:multiLevelType w:val="hybridMultilevel"/>
    <w:tmpl w:val="2E7251D6"/>
    <w:lvl w:ilvl="0" w:tplc="7070E0EC">
      <w:start w:val="1"/>
      <w:numFmt w:val="decimal"/>
      <w:lvlText w:val="(%1)"/>
      <w:lvlJc w:val="left"/>
      <w:pPr>
        <w:ind w:left="1440" w:hanging="360"/>
      </w:pPr>
      <w:rPr>
        <w:rFonts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1" w15:restartNumberingAfterBreak="0">
    <w:nsid w:val="3D81344E"/>
    <w:multiLevelType w:val="hybridMultilevel"/>
    <w:tmpl w:val="F7C49EF4"/>
    <w:lvl w:ilvl="0" w:tplc="68448944">
      <w:start w:val="1"/>
      <w:numFmt w:val="decimal"/>
      <w:lvlText w:val="(%1)"/>
      <w:lvlJc w:val="left"/>
      <w:pPr>
        <w:ind w:left="1440" w:hanging="360"/>
      </w:pPr>
      <w:rPr>
        <w:rFonts w:ascii="Arial" w:eastAsia="Arial" w:hAnsi="Arial" w:cs="Arial" w:hint="default"/>
        <w:b w:val="0"/>
        <w:bCs w:val="0"/>
        <w:i w:val="0"/>
        <w:iCs w:val="0"/>
        <w:color w:val="auto"/>
        <w:spacing w:val="-3"/>
        <w:w w:val="98"/>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3EF57434"/>
    <w:multiLevelType w:val="hybridMultilevel"/>
    <w:tmpl w:val="2E7251D6"/>
    <w:lvl w:ilvl="0" w:tplc="7070E0EC">
      <w:start w:val="1"/>
      <w:numFmt w:val="decimal"/>
      <w:lvlText w:val="(%1)"/>
      <w:lvlJc w:val="left"/>
      <w:pPr>
        <w:ind w:left="1440" w:hanging="360"/>
      </w:pPr>
      <w:rPr>
        <w:rFonts w:hint="default"/>
        <w:i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3" w15:restartNumberingAfterBreak="0">
    <w:nsid w:val="3F2815F5"/>
    <w:multiLevelType w:val="hybridMultilevel"/>
    <w:tmpl w:val="EFFE81B4"/>
    <w:lvl w:ilvl="0" w:tplc="04090001">
      <w:start w:val="1"/>
      <w:numFmt w:val="bullet"/>
      <w:lvlText w:val=""/>
      <w:lvlJc w:val="left"/>
      <w:pPr>
        <w:ind w:left="1440" w:hanging="360"/>
      </w:pPr>
      <w:rPr>
        <w:rFonts w:ascii="Symbol" w:hAnsi="Symbol" w:hint="default"/>
        <w:i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4" w15:restartNumberingAfterBreak="0">
    <w:nsid w:val="42561722"/>
    <w:multiLevelType w:val="hybridMultilevel"/>
    <w:tmpl w:val="8C82EB50"/>
    <w:lvl w:ilvl="0" w:tplc="86CE1746">
      <w:start w:val="1"/>
      <w:numFmt w:val="lowerRoman"/>
      <w:lvlText w:val="(%1)"/>
      <w:lvlJc w:val="left"/>
      <w:pPr>
        <w:ind w:left="2880" w:hanging="360"/>
      </w:pPr>
      <w:rPr>
        <w:rFonts w:hint="default"/>
        <w:sz w:val="24"/>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5" w15:restartNumberingAfterBreak="0">
    <w:nsid w:val="44327DCF"/>
    <w:multiLevelType w:val="hybridMultilevel"/>
    <w:tmpl w:val="D6587150"/>
    <w:lvl w:ilvl="0" w:tplc="04090015">
      <w:start w:val="1"/>
      <w:numFmt w:val="upperLetter"/>
      <w:lvlText w:val="%1."/>
      <w:lvlJc w:val="left"/>
      <w:pPr>
        <w:ind w:left="720" w:hanging="360"/>
      </w:pPr>
    </w:lvl>
    <w:lvl w:ilvl="1" w:tplc="7D22FA6E">
      <w:start w:val="1"/>
      <w:numFmt w:val="lowerLetter"/>
      <w:lvlText w:val="(%2)"/>
      <w:lvlJc w:val="left"/>
      <w:pPr>
        <w:ind w:left="1440" w:hanging="360"/>
      </w:pPr>
      <w:rPr>
        <w:rFonts w:ascii="Arial" w:hAnsi="Arial" w:hint="default"/>
        <w:w w:val="100"/>
        <w:sz w:val="24"/>
        <w:szCs w:val="24"/>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448E49A4"/>
    <w:multiLevelType w:val="hybridMultilevel"/>
    <w:tmpl w:val="2E7251D6"/>
    <w:lvl w:ilvl="0" w:tplc="7070E0EC">
      <w:start w:val="1"/>
      <w:numFmt w:val="decimal"/>
      <w:lvlText w:val="(%1)"/>
      <w:lvlJc w:val="left"/>
      <w:pPr>
        <w:ind w:left="1440" w:hanging="360"/>
      </w:pPr>
      <w:rPr>
        <w:rFonts w:hint="default"/>
        <w:i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7" w15:restartNumberingAfterBreak="0">
    <w:nsid w:val="451F759D"/>
    <w:multiLevelType w:val="multilevel"/>
    <w:tmpl w:val="639E283C"/>
    <w:lvl w:ilvl="0">
      <w:start w:val="1"/>
      <w:numFmt w:val="low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start w:val="1"/>
      <w:numFmt w:val="upperLetter"/>
      <w:lvlText w:val="(%3)"/>
      <w:lvlJc w:val="left"/>
      <w:pPr>
        <w:tabs>
          <w:tab w:val="num" w:pos="2160"/>
        </w:tabs>
        <w:ind w:left="2160" w:hanging="360"/>
      </w:pPr>
      <w:rPr>
        <w:rFonts w:ascii="Arial" w:eastAsia="Arial" w:hAnsi="Arial" w:cs="Arial" w:hint="default"/>
        <w:spacing w:val="-27"/>
        <w:w w:val="99"/>
        <w:sz w:val="24"/>
        <w:szCs w:val="24"/>
      </w:r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8" w15:restartNumberingAfterBreak="0">
    <w:nsid w:val="461562A8"/>
    <w:multiLevelType w:val="hybridMultilevel"/>
    <w:tmpl w:val="9500B668"/>
    <w:lvl w:ilvl="0" w:tplc="238C2352">
      <w:start w:val="1"/>
      <w:numFmt w:val="decimal"/>
      <w:lvlText w:val="(%1)"/>
      <w:lvlJc w:val="left"/>
      <w:pPr>
        <w:ind w:left="1440" w:hanging="360"/>
      </w:pPr>
      <w:rPr>
        <w:rFonts w:ascii="Arial" w:eastAsia="Arial" w:hAnsi="Arial" w:cs="Arial" w:hint="default"/>
        <w:b w:val="0"/>
        <w:bCs w:val="0"/>
        <w:i w:val="0"/>
        <w:iCs w:val="0"/>
        <w:color w:val="FF0000"/>
        <w:spacing w:val="-3"/>
        <w:w w:val="98"/>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46CF409C"/>
    <w:multiLevelType w:val="hybridMultilevel"/>
    <w:tmpl w:val="AA76E4FE"/>
    <w:lvl w:ilvl="0" w:tplc="8B0003EC">
      <w:start w:val="1"/>
      <w:numFmt w:val="lowerLetter"/>
      <w:lvlText w:val="(%1)"/>
      <w:lvlJc w:val="left"/>
      <w:pPr>
        <w:ind w:left="911" w:hanging="540"/>
      </w:pPr>
      <w:rPr>
        <w:rFonts w:ascii="Arial" w:eastAsia="Arial" w:hAnsi="Arial" w:cs="Arial" w:hint="default"/>
        <w:b w:val="0"/>
        <w:bCs w:val="0"/>
        <w:i w:val="0"/>
        <w:iCs w:val="0"/>
        <w:spacing w:val="-1"/>
        <w:w w:val="100"/>
        <w:sz w:val="24"/>
        <w:szCs w:val="24"/>
        <w:lang w:val="en-US" w:eastAsia="en-US" w:bidi="ar-SA"/>
      </w:rPr>
    </w:lvl>
    <w:lvl w:ilvl="1" w:tplc="DC0C49AE">
      <w:start w:val="1"/>
      <w:numFmt w:val="decimal"/>
      <w:lvlText w:val="(%2)"/>
      <w:lvlJc w:val="left"/>
      <w:pPr>
        <w:ind w:left="1451" w:hanging="540"/>
      </w:pPr>
      <w:rPr>
        <w:rFonts w:ascii="Arial" w:eastAsia="Arial" w:hAnsi="Arial" w:cs="Arial" w:hint="default"/>
        <w:b w:val="0"/>
        <w:bCs w:val="0"/>
        <w:i w:val="0"/>
        <w:iCs w:val="0"/>
        <w:spacing w:val="-1"/>
        <w:w w:val="100"/>
        <w:sz w:val="24"/>
        <w:szCs w:val="24"/>
        <w:lang w:val="en-US" w:eastAsia="en-US" w:bidi="ar-SA"/>
      </w:rPr>
    </w:lvl>
    <w:lvl w:ilvl="2" w:tplc="EC54ECD0">
      <w:numFmt w:val="bullet"/>
      <w:lvlText w:val="•"/>
      <w:lvlJc w:val="left"/>
      <w:pPr>
        <w:ind w:left="2571" w:hanging="540"/>
      </w:pPr>
      <w:rPr>
        <w:rFonts w:hint="default"/>
        <w:lang w:val="en-US" w:eastAsia="en-US" w:bidi="ar-SA"/>
      </w:rPr>
    </w:lvl>
    <w:lvl w:ilvl="3" w:tplc="8410F334">
      <w:numFmt w:val="bullet"/>
      <w:lvlText w:val="•"/>
      <w:lvlJc w:val="left"/>
      <w:pPr>
        <w:ind w:left="3682" w:hanging="540"/>
      </w:pPr>
      <w:rPr>
        <w:rFonts w:hint="default"/>
        <w:lang w:val="en-US" w:eastAsia="en-US" w:bidi="ar-SA"/>
      </w:rPr>
    </w:lvl>
    <w:lvl w:ilvl="4" w:tplc="CEECD576">
      <w:numFmt w:val="bullet"/>
      <w:lvlText w:val="•"/>
      <w:lvlJc w:val="left"/>
      <w:pPr>
        <w:ind w:left="4793" w:hanging="540"/>
      </w:pPr>
      <w:rPr>
        <w:rFonts w:hint="default"/>
        <w:lang w:val="en-US" w:eastAsia="en-US" w:bidi="ar-SA"/>
      </w:rPr>
    </w:lvl>
    <w:lvl w:ilvl="5" w:tplc="C4B61F78">
      <w:numFmt w:val="bullet"/>
      <w:lvlText w:val="•"/>
      <w:lvlJc w:val="left"/>
      <w:pPr>
        <w:ind w:left="5904" w:hanging="540"/>
      </w:pPr>
      <w:rPr>
        <w:rFonts w:hint="default"/>
        <w:lang w:val="en-US" w:eastAsia="en-US" w:bidi="ar-SA"/>
      </w:rPr>
    </w:lvl>
    <w:lvl w:ilvl="6" w:tplc="BABEBCEC">
      <w:numFmt w:val="bullet"/>
      <w:lvlText w:val="•"/>
      <w:lvlJc w:val="left"/>
      <w:pPr>
        <w:ind w:left="7015" w:hanging="540"/>
      </w:pPr>
      <w:rPr>
        <w:rFonts w:hint="default"/>
        <w:lang w:val="en-US" w:eastAsia="en-US" w:bidi="ar-SA"/>
      </w:rPr>
    </w:lvl>
    <w:lvl w:ilvl="7" w:tplc="271A644E">
      <w:numFmt w:val="bullet"/>
      <w:lvlText w:val="•"/>
      <w:lvlJc w:val="left"/>
      <w:pPr>
        <w:ind w:left="8126" w:hanging="540"/>
      </w:pPr>
      <w:rPr>
        <w:rFonts w:hint="default"/>
        <w:lang w:val="en-US" w:eastAsia="en-US" w:bidi="ar-SA"/>
      </w:rPr>
    </w:lvl>
    <w:lvl w:ilvl="8" w:tplc="63CCEE7C">
      <w:numFmt w:val="bullet"/>
      <w:lvlText w:val="•"/>
      <w:lvlJc w:val="left"/>
      <w:pPr>
        <w:ind w:left="9237" w:hanging="540"/>
      </w:pPr>
      <w:rPr>
        <w:rFonts w:hint="default"/>
        <w:lang w:val="en-US" w:eastAsia="en-US" w:bidi="ar-SA"/>
      </w:rPr>
    </w:lvl>
  </w:abstractNum>
  <w:abstractNum w:abstractNumId="60" w15:restartNumberingAfterBreak="0">
    <w:nsid w:val="4BA662C9"/>
    <w:multiLevelType w:val="hybridMultilevel"/>
    <w:tmpl w:val="82BE4A10"/>
    <w:lvl w:ilvl="0" w:tplc="F1A4CD70">
      <w:start w:val="1"/>
      <w:numFmt w:val="decimal"/>
      <w:lvlText w:val="(%1)"/>
      <w:lvlJc w:val="left"/>
      <w:pPr>
        <w:ind w:left="360" w:hanging="360"/>
      </w:pPr>
      <w:rPr>
        <w:rFonts w:ascii="Arial" w:hAnsi="Arial" w:cs="Arial" w:hint="default"/>
        <w:spacing w:val="-3"/>
        <w:w w:val="98"/>
        <w:sz w:val="24"/>
        <w:szCs w:val="24"/>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1" w15:restartNumberingAfterBreak="0">
    <w:nsid w:val="4BD1644F"/>
    <w:multiLevelType w:val="hybridMultilevel"/>
    <w:tmpl w:val="2E7251D6"/>
    <w:lvl w:ilvl="0" w:tplc="7070E0EC">
      <w:start w:val="1"/>
      <w:numFmt w:val="decimal"/>
      <w:lvlText w:val="(%1)"/>
      <w:lvlJc w:val="left"/>
      <w:pPr>
        <w:ind w:left="1440" w:hanging="360"/>
      </w:pPr>
      <w:rPr>
        <w:rFonts w:hint="default"/>
        <w:i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2" w15:restartNumberingAfterBreak="0">
    <w:nsid w:val="4CD26141"/>
    <w:multiLevelType w:val="hybridMultilevel"/>
    <w:tmpl w:val="556EB60A"/>
    <w:lvl w:ilvl="0" w:tplc="464A11C0">
      <w:start w:val="1"/>
      <w:numFmt w:val="upperLetter"/>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63" w15:restartNumberingAfterBreak="0">
    <w:nsid w:val="4CD7242A"/>
    <w:multiLevelType w:val="hybridMultilevel"/>
    <w:tmpl w:val="556EB60A"/>
    <w:lvl w:ilvl="0" w:tplc="464A11C0">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4" w15:restartNumberingAfterBreak="0">
    <w:nsid w:val="51AF681D"/>
    <w:multiLevelType w:val="hybridMultilevel"/>
    <w:tmpl w:val="69C883C0"/>
    <w:lvl w:ilvl="0" w:tplc="C180EE1C">
      <w:start w:val="1"/>
      <w:numFmt w:val="decimal"/>
      <w:lvlText w:val="(%1)"/>
      <w:lvlJc w:val="left"/>
      <w:pPr>
        <w:ind w:left="1710" w:hanging="360"/>
      </w:pPr>
      <w:rPr>
        <w:rFonts w:hint="default"/>
      </w:rPr>
    </w:lvl>
    <w:lvl w:ilvl="1" w:tplc="04090019">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65" w15:restartNumberingAfterBreak="0">
    <w:nsid w:val="51FF6B55"/>
    <w:multiLevelType w:val="hybridMultilevel"/>
    <w:tmpl w:val="2E7251D6"/>
    <w:lvl w:ilvl="0" w:tplc="7070E0EC">
      <w:start w:val="1"/>
      <w:numFmt w:val="decimal"/>
      <w:lvlText w:val="(%1)"/>
      <w:lvlJc w:val="left"/>
      <w:pPr>
        <w:ind w:left="1440" w:hanging="360"/>
      </w:pPr>
      <w:rPr>
        <w:rFonts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6" w15:restartNumberingAfterBreak="0">
    <w:nsid w:val="52D507BD"/>
    <w:multiLevelType w:val="hybridMultilevel"/>
    <w:tmpl w:val="811A5FAE"/>
    <w:lvl w:ilvl="0" w:tplc="5A88674E">
      <w:start w:val="1"/>
      <w:numFmt w:val="lowerLetter"/>
      <w:lvlText w:val="(%1)"/>
      <w:lvlJc w:val="left"/>
      <w:pPr>
        <w:ind w:left="911" w:hanging="540"/>
      </w:pPr>
      <w:rPr>
        <w:rFonts w:ascii="Arial" w:eastAsia="Arial" w:hAnsi="Arial" w:cs="Arial" w:hint="default"/>
        <w:b w:val="0"/>
        <w:bCs w:val="0"/>
        <w:i w:val="0"/>
        <w:iCs w:val="0"/>
        <w:spacing w:val="-1"/>
        <w:w w:val="100"/>
        <w:sz w:val="24"/>
        <w:szCs w:val="24"/>
        <w:lang w:val="en-US" w:eastAsia="en-US" w:bidi="ar-SA"/>
      </w:rPr>
    </w:lvl>
    <w:lvl w:ilvl="1" w:tplc="64FEC284">
      <w:start w:val="1"/>
      <w:numFmt w:val="decimal"/>
      <w:lvlText w:val="(%2)"/>
      <w:lvlJc w:val="left"/>
      <w:pPr>
        <w:ind w:left="1451" w:hanging="540"/>
      </w:pPr>
      <w:rPr>
        <w:rFonts w:ascii="Arial" w:eastAsia="Arial" w:hAnsi="Arial" w:cs="Arial" w:hint="default"/>
        <w:b w:val="0"/>
        <w:bCs w:val="0"/>
        <w:i w:val="0"/>
        <w:iCs w:val="0"/>
        <w:spacing w:val="-1"/>
        <w:w w:val="100"/>
        <w:sz w:val="24"/>
        <w:szCs w:val="24"/>
        <w:lang w:val="en-US" w:eastAsia="en-US" w:bidi="ar-SA"/>
      </w:rPr>
    </w:lvl>
    <w:lvl w:ilvl="2" w:tplc="D4147CC8">
      <w:numFmt w:val="bullet"/>
      <w:lvlText w:val="•"/>
      <w:lvlJc w:val="left"/>
      <w:pPr>
        <w:ind w:left="2571" w:hanging="540"/>
      </w:pPr>
      <w:rPr>
        <w:rFonts w:hint="default"/>
        <w:lang w:val="en-US" w:eastAsia="en-US" w:bidi="ar-SA"/>
      </w:rPr>
    </w:lvl>
    <w:lvl w:ilvl="3" w:tplc="722ED1B6">
      <w:numFmt w:val="bullet"/>
      <w:lvlText w:val="•"/>
      <w:lvlJc w:val="left"/>
      <w:pPr>
        <w:ind w:left="3682" w:hanging="540"/>
      </w:pPr>
      <w:rPr>
        <w:rFonts w:hint="default"/>
        <w:lang w:val="en-US" w:eastAsia="en-US" w:bidi="ar-SA"/>
      </w:rPr>
    </w:lvl>
    <w:lvl w:ilvl="4" w:tplc="DFE847DE">
      <w:numFmt w:val="bullet"/>
      <w:lvlText w:val="•"/>
      <w:lvlJc w:val="left"/>
      <w:pPr>
        <w:ind w:left="4793" w:hanging="540"/>
      </w:pPr>
      <w:rPr>
        <w:rFonts w:hint="default"/>
        <w:lang w:val="en-US" w:eastAsia="en-US" w:bidi="ar-SA"/>
      </w:rPr>
    </w:lvl>
    <w:lvl w:ilvl="5" w:tplc="A4FABA40">
      <w:numFmt w:val="bullet"/>
      <w:lvlText w:val="•"/>
      <w:lvlJc w:val="left"/>
      <w:pPr>
        <w:ind w:left="5904" w:hanging="540"/>
      </w:pPr>
      <w:rPr>
        <w:rFonts w:hint="default"/>
        <w:lang w:val="en-US" w:eastAsia="en-US" w:bidi="ar-SA"/>
      </w:rPr>
    </w:lvl>
    <w:lvl w:ilvl="6" w:tplc="AA447CD4">
      <w:numFmt w:val="bullet"/>
      <w:lvlText w:val="•"/>
      <w:lvlJc w:val="left"/>
      <w:pPr>
        <w:ind w:left="7015" w:hanging="540"/>
      </w:pPr>
      <w:rPr>
        <w:rFonts w:hint="default"/>
        <w:lang w:val="en-US" w:eastAsia="en-US" w:bidi="ar-SA"/>
      </w:rPr>
    </w:lvl>
    <w:lvl w:ilvl="7" w:tplc="5F9C7356">
      <w:numFmt w:val="bullet"/>
      <w:lvlText w:val="•"/>
      <w:lvlJc w:val="left"/>
      <w:pPr>
        <w:ind w:left="8126" w:hanging="540"/>
      </w:pPr>
      <w:rPr>
        <w:rFonts w:hint="default"/>
        <w:lang w:val="en-US" w:eastAsia="en-US" w:bidi="ar-SA"/>
      </w:rPr>
    </w:lvl>
    <w:lvl w:ilvl="8" w:tplc="2CFE6526">
      <w:numFmt w:val="bullet"/>
      <w:lvlText w:val="•"/>
      <w:lvlJc w:val="left"/>
      <w:pPr>
        <w:ind w:left="9237" w:hanging="540"/>
      </w:pPr>
      <w:rPr>
        <w:rFonts w:hint="default"/>
        <w:lang w:val="en-US" w:eastAsia="en-US" w:bidi="ar-SA"/>
      </w:rPr>
    </w:lvl>
  </w:abstractNum>
  <w:abstractNum w:abstractNumId="67" w15:restartNumberingAfterBreak="0">
    <w:nsid w:val="53076CEC"/>
    <w:multiLevelType w:val="hybridMultilevel"/>
    <w:tmpl w:val="2E7251D6"/>
    <w:lvl w:ilvl="0" w:tplc="7070E0EC">
      <w:start w:val="1"/>
      <w:numFmt w:val="decimal"/>
      <w:lvlText w:val="(%1)"/>
      <w:lvlJc w:val="left"/>
      <w:pPr>
        <w:ind w:left="1440" w:hanging="360"/>
      </w:pPr>
      <w:rPr>
        <w:rFonts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8" w15:restartNumberingAfterBreak="0">
    <w:nsid w:val="5ACB6590"/>
    <w:multiLevelType w:val="hybridMultilevel"/>
    <w:tmpl w:val="C1C4FDB2"/>
    <w:lvl w:ilvl="0" w:tplc="25664000">
      <w:start w:val="1"/>
      <w:numFmt w:val="lowerLetter"/>
      <w:lvlText w:val="(%1)"/>
      <w:lvlJc w:val="left"/>
      <w:pPr>
        <w:ind w:left="911" w:hanging="540"/>
      </w:pPr>
      <w:rPr>
        <w:rFonts w:ascii="Arial" w:eastAsia="Arial" w:hAnsi="Arial" w:cs="Arial" w:hint="default"/>
        <w:b w:val="0"/>
        <w:bCs w:val="0"/>
        <w:i w:val="0"/>
        <w:iCs w:val="0"/>
        <w:spacing w:val="-3"/>
        <w:w w:val="98"/>
        <w:sz w:val="24"/>
        <w:szCs w:val="24"/>
        <w:lang w:val="en-US" w:eastAsia="en-US" w:bidi="ar-SA"/>
      </w:rPr>
    </w:lvl>
    <w:lvl w:ilvl="1" w:tplc="C616D4B0">
      <w:start w:val="1"/>
      <w:numFmt w:val="decimal"/>
      <w:lvlText w:val="(%2)"/>
      <w:lvlJc w:val="left"/>
      <w:pPr>
        <w:ind w:left="1451" w:hanging="540"/>
      </w:pPr>
      <w:rPr>
        <w:rFonts w:ascii="Arial" w:eastAsia="Arial" w:hAnsi="Arial" w:cs="Arial" w:hint="default"/>
        <w:b w:val="0"/>
        <w:bCs w:val="0"/>
        <w:i w:val="0"/>
        <w:iCs w:val="0"/>
        <w:spacing w:val="-1"/>
        <w:w w:val="100"/>
        <w:sz w:val="24"/>
        <w:szCs w:val="24"/>
        <w:lang w:val="en-US" w:eastAsia="en-US" w:bidi="ar-SA"/>
      </w:rPr>
    </w:lvl>
    <w:lvl w:ilvl="2" w:tplc="80444232">
      <w:start w:val="1"/>
      <w:numFmt w:val="upperLetter"/>
      <w:lvlText w:val="(%3)"/>
      <w:lvlJc w:val="left"/>
      <w:pPr>
        <w:ind w:left="2571" w:hanging="540"/>
      </w:pPr>
      <w:rPr>
        <w:rFonts w:ascii="Arial" w:eastAsia="Arial" w:hAnsi="Arial" w:cs="Arial" w:hint="default"/>
        <w:b w:val="0"/>
        <w:bCs w:val="0"/>
        <w:i w:val="0"/>
        <w:iCs w:val="0"/>
        <w:spacing w:val="-1"/>
        <w:w w:val="100"/>
        <w:sz w:val="24"/>
        <w:szCs w:val="24"/>
        <w:lang w:val="en-US" w:eastAsia="en-US" w:bidi="ar-SA"/>
      </w:rPr>
    </w:lvl>
    <w:lvl w:ilvl="3" w:tplc="1D78E036">
      <w:numFmt w:val="bullet"/>
      <w:lvlText w:val="•"/>
      <w:lvlJc w:val="left"/>
      <w:pPr>
        <w:ind w:left="3682" w:hanging="540"/>
      </w:pPr>
      <w:rPr>
        <w:rFonts w:hint="default"/>
        <w:lang w:val="en-US" w:eastAsia="en-US" w:bidi="ar-SA"/>
      </w:rPr>
    </w:lvl>
    <w:lvl w:ilvl="4" w:tplc="FD007D10">
      <w:numFmt w:val="bullet"/>
      <w:lvlText w:val="•"/>
      <w:lvlJc w:val="left"/>
      <w:pPr>
        <w:ind w:left="4793" w:hanging="540"/>
      </w:pPr>
      <w:rPr>
        <w:rFonts w:hint="default"/>
        <w:lang w:val="en-US" w:eastAsia="en-US" w:bidi="ar-SA"/>
      </w:rPr>
    </w:lvl>
    <w:lvl w:ilvl="5" w:tplc="460A6520">
      <w:numFmt w:val="bullet"/>
      <w:lvlText w:val="•"/>
      <w:lvlJc w:val="left"/>
      <w:pPr>
        <w:ind w:left="5904" w:hanging="540"/>
      </w:pPr>
      <w:rPr>
        <w:rFonts w:hint="default"/>
        <w:lang w:val="en-US" w:eastAsia="en-US" w:bidi="ar-SA"/>
      </w:rPr>
    </w:lvl>
    <w:lvl w:ilvl="6" w:tplc="FF0ADA66">
      <w:numFmt w:val="bullet"/>
      <w:lvlText w:val="•"/>
      <w:lvlJc w:val="left"/>
      <w:pPr>
        <w:ind w:left="7015" w:hanging="540"/>
      </w:pPr>
      <w:rPr>
        <w:rFonts w:hint="default"/>
        <w:lang w:val="en-US" w:eastAsia="en-US" w:bidi="ar-SA"/>
      </w:rPr>
    </w:lvl>
    <w:lvl w:ilvl="7" w:tplc="318E717C">
      <w:numFmt w:val="bullet"/>
      <w:lvlText w:val="•"/>
      <w:lvlJc w:val="left"/>
      <w:pPr>
        <w:ind w:left="8126" w:hanging="540"/>
      </w:pPr>
      <w:rPr>
        <w:rFonts w:hint="default"/>
        <w:lang w:val="en-US" w:eastAsia="en-US" w:bidi="ar-SA"/>
      </w:rPr>
    </w:lvl>
    <w:lvl w:ilvl="8" w:tplc="256C2952">
      <w:numFmt w:val="bullet"/>
      <w:lvlText w:val="•"/>
      <w:lvlJc w:val="left"/>
      <w:pPr>
        <w:ind w:left="9237" w:hanging="540"/>
      </w:pPr>
      <w:rPr>
        <w:rFonts w:hint="default"/>
        <w:lang w:val="en-US" w:eastAsia="en-US" w:bidi="ar-SA"/>
      </w:rPr>
    </w:lvl>
  </w:abstractNum>
  <w:abstractNum w:abstractNumId="69" w15:restartNumberingAfterBreak="0">
    <w:nsid w:val="5C47509F"/>
    <w:multiLevelType w:val="hybridMultilevel"/>
    <w:tmpl w:val="2E7251D6"/>
    <w:lvl w:ilvl="0" w:tplc="7070E0EC">
      <w:start w:val="1"/>
      <w:numFmt w:val="decimal"/>
      <w:lvlText w:val="(%1)"/>
      <w:lvlJc w:val="left"/>
      <w:pPr>
        <w:ind w:left="1440" w:hanging="360"/>
      </w:pPr>
      <w:rPr>
        <w:rFonts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0" w15:restartNumberingAfterBreak="0">
    <w:nsid w:val="60F3187B"/>
    <w:multiLevelType w:val="hybridMultilevel"/>
    <w:tmpl w:val="CA443322"/>
    <w:lvl w:ilvl="0" w:tplc="7D22FA6E">
      <w:start w:val="1"/>
      <w:numFmt w:val="lowerLetter"/>
      <w:lvlText w:val="(%1)"/>
      <w:lvlJc w:val="left"/>
      <w:pPr>
        <w:ind w:left="900" w:hanging="360"/>
      </w:pPr>
      <w:rPr>
        <w:rFonts w:ascii="Arial" w:hAnsi="Arial" w:hint="default"/>
        <w:w w:val="100"/>
        <w:sz w:val="24"/>
        <w:szCs w:val="24"/>
      </w:rPr>
    </w:lvl>
    <w:lvl w:ilvl="1" w:tplc="EF88B3E2">
      <w:start w:val="1"/>
      <w:numFmt w:val="decimal"/>
      <w:lvlText w:val="(%2)"/>
      <w:lvlJc w:val="left"/>
      <w:pPr>
        <w:ind w:left="1800" w:hanging="360"/>
      </w:pPr>
      <w:rPr>
        <w:rFonts w:hint="default"/>
      </w:rPr>
    </w:lvl>
    <w:lvl w:ilvl="2" w:tplc="6E0882CE">
      <w:start w:val="1"/>
      <w:numFmt w:val="upperLetter"/>
      <w:lvlText w:val="(%3)"/>
      <w:lvlJc w:val="left"/>
      <w:pPr>
        <w:ind w:left="2520" w:hanging="180"/>
      </w:pPr>
      <w:rPr>
        <w:rFonts w:ascii="Arial" w:eastAsia="Arial" w:hAnsi="Arial" w:cs="Arial" w:hint="default"/>
        <w:b w:val="0"/>
        <w:bCs w:val="0"/>
        <w:i w:val="0"/>
        <w:iCs w:val="0"/>
        <w:strike w:val="0"/>
        <w:dstrike w:val="0"/>
        <w:spacing w:val="-1"/>
        <w:w w:val="100"/>
        <w:sz w:val="24"/>
        <w:szCs w:val="24"/>
        <w:u w:val="none"/>
        <w:effect w:val="none"/>
        <w:lang w:val="en-US" w:eastAsia="en-US" w:bidi="ar-SA"/>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1" w15:restartNumberingAfterBreak="0">
    <w:nsid w:val="65037220"/>
    <w:multiLevelType w:val="hybridMultilevel"/>
    <w:tmpl w:val="D95EAF1C"/>
    <w:lvl w:ilvl="0" w:tplc="59E89EE8">
      <w:start w:val="1"/>
      <w:numFmt w:val="lowerLetter"/>
      <w:lvlText w:val="(%1)"/>
      <w:lvlJc w:val="left"/>
      <w:pPr>
        <w:ind w:left="720" w:hanging="360"/>
      </w:pPr>
      <w:rPr>
        <w:rFonts w:hint="default"/>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1B">
      <w:start w:val="1"/>
      <w:numFmt w:val="lowerRoman"/>
      <w:lvlText w:val="%4."/>
      <w:lvlJc w:val="righ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654B3B2E"/>
    <w:multiLevelType w:val="hybridMultilevel"/>
    <w:tmpl w:val="EC10DD10"/>
    <w:lvl w:ilvl="0" w:tplc="04090001">
      <w:start w:val="1"/>
      <w:numFmt w:val="bullet"/>
      <w:lvlText w:val=""/>
      <w:lvlJc w:val="left"/>
      <w:pPr>
        <w:ind w:left="1710" w:hanging="360"/>
      </w:pPr>
      <w:rPr>
        <w:rFonts w:ascii="Symbol" w:hAnsi="Symbol"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1">
      <w:start w:val="1"/>
      <w:numFmt w:val="bullet"/>
      <w:lvlText w:val=""/>
      <w:lvlJc w:val="left"/>
      <w:pPr>
        <w:ind w:left="3870" w:hanging="360"/>
      </w:pPr>
      <w:rPr>
        <w:rFonts w:ascii="Symbol" w:hAnsi="Symbol" w:hint="default"/>
      </w:r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73" w15:restartNumberingAfterBreak="0">
    <w:nsid w:val="66355A98"/>
    <w:multiLevelType w:val="hybridMultilevel"/>
    <w:tmpl w:val="2E7251D6"/>
    <w:lvl w:ilvl="0" w:tplc="7070E0EC">
      <w:start w:val="1"/>
      <w:numFmt w:val="decimal"/>
      <w:lvlText w:val="(%1)"/>
      <w:lvlJc w:val="left"/>
      <w:pPr>
        <w:ind w:left="1440" w:hanging="360"/>
      </w:pPr>
      <w:rPr>
        <w:rFonts w:hint="default"/>
        <w:i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4" w15:restartNumberingAfterBreak="0">
    <w:nsid w:val="669C4B12"/>
    <w:multiLevelType w:val="hybridMultilevel"/>
    <w:tmpl w:val="2E7251D6"/>
    <w:lvl w:ilvl="0" w:tplc="7070E0EC">
      <w:start w:val="1"/>
      <w:numFmt w:val="decimal"/>
      <w:lvlText w:val="(%1)"/>
      <w:lvlJc w:val="left"/>
      <w:pPr>
        <w:ind w:left="1440" w:hanging="360"/>
      </w:pPr>
      <w:rPr>
        <w:rFonts w:hint="default"/>
        <w:i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5" w15:restartNumberingAfterBreak="0">
    <w:nsid w:val="67160262"/>
    <w:multiLevelType w:val="hybridMultilevel"/>
    <w:tmpl w:val="2E7251D6"/>
    <w:lvl w:ilvl="0" w:tplc="7070E0EC">
      <w:start w:val="1"/>
      <w:numFmt w:val="decimal"/>
      <w:lvlText w:val="(%1)"/>
      <w:lvlJc w:val="left"/>
      <w:pPr>
        <w:ind w:left="1440" w:hanging="360"/>
      </w:pPr>
      <w:rPr>
        <w:rFonts w:hint="default"/>
        <w:i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6" w15:restartNumberingAfterBreak="0">
    <w:nsid w:val="689A1BC3"/>
    <w:multiLevelType w:val="hybridMultilevel"/>
    <w:tmpl w:val="9500B668"/>
    <w:lvl w:ilvl="0" w:tplc="238C2352">
      <w:start w:val="1"/>
      <w:numFmt w:val="decimal"/>
      <w:lvlText w:val="(%1)"/>
      <w:lvlJc w:val="left"/>
      <w:pPr>
        <w:ind w:left="1440" w:hanging="360"/>
      </w:pPr>
      <w:rPr>
        <w:rFonts w:ascii="Arial" w:eastAsia="Arial" w:hAnsi="Arial" w:cs="Arial" w:hint="default"/>
        <w:b w:val="0"/>
        <w:bCs w:val="0"/>
        <w:i w:val="0"/>
        <w:iCs w:val="0"/>
        <w:color w:val="FF0000"/>
        <w:spacing w:val="-3"/>
        <w:w w:val="98"/>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6C9B4745"/>
    <w:multiLevelType w:val="hybridMultilevel"/>
    <w:tmpl w:val="D58E3B82"/>
    <w:lvl w:ilvl="0" w:tplc="734CB2DE">
      <w:start w:val="1"/>
      <w:numFmt w:val="lowerLetter"/>
      <w:lvlText w:val="(%1)"/>
      <w:lvlJc w:val="left"/>
      <w:pPr>
        <w:ind w:left="904" w:hanging="533"/>
      </w:pPr>
      <w:rPr>
        <w:rFonts w:ascii="Arial" w:eastAsia="Arial" w:hAnsi="Arial" w:cs="Arial" w:hint="default"/>
        <w:b w:val="0"/>
        <w:bCs w:val="0"/>
        <w:i w:val="0"/>
        <w:iCs w:val="0"/>
        <w:spacing w:val="-1"/>
        <w:w w:val="100"/>
        <w:sz w:val="24"/>
        <w:szCs w:val="24"/>
        <w:lang w:val="en-US" w:eastAsia="en-US" w:bidi="ar-SA"/>
      </w:rPr>
    </w:lvl>
    <w:lvl w:ilvl="1" w:tplc="A6BCE9B4">
      <w:numFmt w:val="bullet"/>
      <w:lvlText w:val="•"/>
      <w:lvlJc w:val="left"/>
      <w:pPr>
        <w:ind w:left="1956" w:hanging="533"/>
      </w:pPr>
      <w:rPr>
        <w:rFonts w:hint="default"/>
        <w:lang w:val="en-US" w:eastAsia="en-US" w:bidi="ar-SA"/>
      </w:rPr>
    </w:lvl>
    <w:lvl w:ilvl="2" w:tplc="1E6C56C6">
      <w:numFmt w:val="bullet"/>
      <w:lvlText w:val="•"/>
      <w:lvlJc w:val="left"/>
      <w:pPr>
        <w:ind w:left="3012" w:hanging="533"/>
      </w:pPr>
      <w:rPr>
        <w:rFonts w:hint="default"/>
        <w:lang w:val="en-US" w:eastAsia="en-US" w:bidi="ar-SA"/>
      </w:rPr>
    </w:lvl>
    <w:lvl w:ilvl="3" w:tplc="5A803862">
      <w:numFmt w:val="bullet"/>
      <w:lvlText w:val="•"/>
      <w:lvlJc w:val="left"/>
      <w:pPr>
        <w:ind w:left="4068" w:hanging="533"/>
      </w:pPr>
      <w:rPr>
        <w:rFonts w:hint="default"/>
        <w:lang w:val="en-US" w:eastAsia="en-US" w:bidi="ar-SA"/>
      </w:rPr>
    </w:lvl>
    <w:lvl w:ilvl="4" w:tplc="944E0756">
      <w:numFmt w:val="bullet"/>
      <w:lvlText w:val="•"/>
      <w:lvlJc w:val="left"/>
      <w:pPr>
        <w:ind w:left="5124" w:hanging="533"/>
      </w:pPr>
      <w:rPr>
        <w:rFonts w:hint="default"/>
        <w:lang w:val="en-US" w:eastAsia="en-US" w:bidi="ar-SA"/>
      </w:rPr>
    </w:lvl>
    <w:lvl w:ilvl="5" w:tplc="B6C05E02">
      <w:numFmt w:val="bullet"/>
      <w:lvlText w:val="•"/>
      <w:lvlJc w:val="left"/>
      <w:pPr>
        <w:ind w:left="6180" w:hanging="533"/>
      </w:pPr>
      <w:rPr>
        <w:rFonts w:hint="default"/>
        <w:lang w:val="en-US" w:eastAsia="en-US" w:bidi="ar-SA"/>
      </w:rPr>
    </w:lvl>
    <w:lvl w:ilvl="6" w:tplc="E31ADCDC">
      <w:numFmt w:val="bullet"/>
      <w:lvlText w:val="•"/>
      <w:lvlJc w:val="left"/>
      <w:pPr>
        <w:ind w:left="7236" w:hanging="533"/>
      </w:pPr>
      <w:rPr>
        <w:rFonts w:hint="default"/>
        <w:lang w:val="en-US" w:eastAsia="en-US" w:bidi="ar-SA"/>
      </w:rPr>
    </w:lvl>
    <w:lvl w:ilvl="7" w:tplc="9612BF42">
      <w:numFmt w:val="bullet"/>
      <w:lvlText w:val="•"/>
      <w:lvlJc w:val="left"/>
      <w:pPr>
        <w:ind w:left="8292" w:hanging="533"/>
      </w:pPr>
      <w:rPr>
        <w:rFonts w:hint="default"/>
        <w:lang w:val="en-US" w:eastAsia="en-US" w:bidi="ar-SA"/>
      </w:rPr>
    </w:lvl>
    <w:lvl w:ilvl="8" w:tplc="B7D62894">
      <w:numFmt w:val="bullet"/>
      <w:lvlText w:val="•"/>
      <w:lvlJc w:val="left"/>
      <w:pPr>
        <w:ind w:left="9348" w:hanging="533"/>
      </w:pPr>
      <w:rPr>
        <w:rFonts w:hint="default"/>
        <w:lang w:val="en-US" w:eastAsia="en-US" w:bidi="ar-SA"/>
      </w:rPr>
    </w:lvl>
  </w:abstractNum>
  <w:abstractNum w:abstractNumId="78" w15:restartNumberingAfterBreak="0">
    <w:nsid w:val="6D1A527B"/>
    <w:multiLevelType w:val="hybridMultilevel"/>
    <w:tmpl w:val="0394A898"/>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9" w15:restartNumberingAfterBreak="0">
    <w:nsid w:val="6D860497"/>
    <w:multiLevelType w:val="hybridMultilevel"/>
    <w:tmpl w:val="2E7251D6"/>
    <w:lvl w:ilvl="0" w:tplc="7070E0EC">
      <w:start w:val="1"/>
      <w:numFmt w:val="decimal"/>
      <w:lvlText w:val="(%1)"/>
      <w:lvlJc w:val="left"/>
      <w:pPr>
        <w:ind w:left="1440" w:hanging="360"/>
      </w:pPr>
      <w:rPr>
        <w:rFonts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0" w15:restartNumberingAfterBreak="0">
    <w:nsid w:val="6F3F0ED3"/>
    <w:multiLevelType w:val="hybridMultilevel"/>
    <w:tmpl w:val="2E7251D6"/>
    <w:lvl w:ilvl="0" w:tplc="7070E0EC">
      <w:start w:val="1"/>
      <w:numFmt w:val="decimal"/>
      <w:lvlText w:val="(%1)"/>
      <w:lvlJc w:val="left"/>
      <w:pPr>
        <w:ind w:left="1440" w:hanging="360"/>
      </w:pPr>
      <w:rPr>
        <w:rFonts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1" w15:restartNumberingAfterBreak="0">
    <w:nsid w:val="724A6148"/>
    <w:multiLevelType w:val="hybridMultilevel"/>
    <w:tmpl w:val="556EB60A"/>
    <w:lvl w:ilvl="0" w:tplc="464A11C0">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2" w15:restartNumberingAfterBreak="0">
    <w:nsid w:val="74193D49"/>
    <w:multiLevelType w:val="hybridMultilevel"/>
    <w:tmpl w:val="2084BAB2"/>
    <w:lvl w:ilvl="0" w:tplc="04090001">
      <w:start w:val="1"/>
      <w:numFmt w:val="bullet"/>
      <w:lvlText w:val=""/>
      <w:lvlJc w:val="left"/>
      <w:pPr>
        <w:ind w:left="1710" w:hanging="360"/>
      </w:pPr>
      <w:rPr>
        <w:rFonts w:ascii="Symbol" w:hAnsi="Symbol"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83" w15:restartNumberingAfterBreak="0">
    <w:nsid w:val="74455C9A"/>
    <w:multiLevelType w:val="multilevel"/>
    <w:tmpl w:val="639E283C"/>
    <w:lvl w:ilvl="0">
      <w:start w:val="1"/>
      <w:numFmt w:val="low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start w:val="1"/>
      <w:numFmt w:val="upperLetter"/>
      <w:lvlText w:val="(%3)"/>
      <w:lvlJc w:val="left"/>
      <w:pPr>
        <w:tabs>
          <w:tab w:val="num" w:pos="2160"/>
        </w:tabs>
        <w:ind w:left="2160" w:hanging="360"/>
      </w:pPr>
      <w:rPr>
        <w:rFonts w:ascii="Arial" w:eastAsia="Arial" w:hAnsi="Arial" w:cs="Arial" w:hint="default"/>
        <w:spacing w:val="-27"/>
        <w:w w:val="99"/>
        <w:sz w:val="24"/>
        <w:szCs w:val="24"/>
      </w:r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84" w15:restartNumberingAfterBreak="0">
    <w:nsid w:val="750332A0"/>
    <w:multiLevelType w:val="hybridMultilevel"/>
    <w:tmpl w:val="2E7251D6"/>
    <w:lvl w:ilvl="0" w:tplc="7070E0EC">
      <w:start w:val="1"/>
      <w:numFmt w:val="decimal"/>
      <w:lvlText w:val="(%1)"/>
      <w:lvlJc w:val="left"/>
      <w:pPr>
        <w:ind w:left="1440" w:hanging="360"/>
      </w:pPr>
      <w:rPr>
        <w:rFonts w:hint="default"/>
        <w:i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5" w15:restartNumberingAfterBreak="0">
    <w:nsid w:val="76CE1F9D"/>
    <w:multiLevelType w:val="hybridMultilevel"/>
    <w:tmpl w:val="B722046A"/>
    <w:lvl w:ilvl="0" w:tplc="A4F6F0C0">
      <w:start w:val="1"/>
      <w:numFmt w:val="lowerLetter"/>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6" w15:restartNumberingAfterBreak="0">
    <w:nsid w:val="76EF11BB"/>
    <w:multiLevelType w:val="hybridMultilevel"/>
    <w:tmpl w:val="2E7251D6"/>
    <w:lvl w:ilvl="0" w:tplc="7070E0EC">
      <w:start w:val="1"/>
      <w:numFmt w:val="decimal"/>
      <w:lvlText w:val="(%1)"/>
      <w:lvlJc w:val="left"/>
      <w:pPr>
        <w:ind w:left="1440" w:hanging="360"/>
      </w:pPr>
      <w:rPr>
        <w:rFonts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7" w15:restartNumberingAfterBreak="0">
    <w:nsid w:val="79AC0483"/>
    <w:multiLevelType w:val="hybridMultilevel"/>
    <w:tmpl w:val="469C23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7D811AD4"/>
    <w:multiLevelType w:val="hybridMultilevel"/>
    <w:tmpl w:val="C3D2D848"/>
    <w:lvl w:ilvl="0" w:tplc="F3DA804E">
      <w:start w:val="1"/>
      <w:numFmt w:val="decimal"/>
      <w:lvlText w:val="%1."/>
      <w:lvlJc w:val="left"/>
      <w:pPr>
        <w:ind w:left="720" w:hanging="360"/>
      </w:pPr>
    </w:lvl>
    <w:lvl w:ilvl="1" w:tplc="97563B60">
      <w:start w:val="1"/>
      <w:numFmt w:val="decimal"/>
      <w:lvlText w:val="(%2)"/>
      <w:lvlJc w:val="left"/>
      <w:pPr>
        <w:ind w:left="1080" w:hanging="360"/>
      </w:pPr>
    </w:lvl>
    <w:lvl w:ilvl="2" w:tplc="1BF25F34">
      <w:start w:val="1"/>
      <w:numFmt w:val="lowerRoman"/>
      <w:lvlText w:val="%3."/>
      <w:lvlJc w:val="right"/>
      <w:pPr>
        <w:ind w:left="2250" w:hanging="180"/>
      </w:pPr>
    </w:lvl>
    <w:lvl w:ilvl="3" w:tplc="A804525A">
      <w:start w:val="1"/>
      <w:numFmt w:val="decimal"/>
      <w:lvlText w:val="%4."/>
      <w:lvlJc w:val="left"/>
      <w:pPr>
        <w:ind w:left="2520" w:hanging="360"/>
      </w:pPr>
    </w:lvl>
    <w:lvl w:ilvl="4" w:tplc="CC461CAC">
      <w:start w:val="1"/>
      <w:numFmt w:val="lowerLetter"/>
      <w:lvlText w:val="%5."/>
      <w:lvlJc w:val="left"/>
      <w:pPr>
        <w:ind w:left="3240" w:hanging="360"/>
      </w:pPr>
    </w:lvl>
    <w:lvl w:ilvl="5" w:tplc="680ABD9C">
      <w:start w:val="1"/>
      <w:numFmt w:val="lowerRoman"/>
      <w:lvlText w:val="%6."/>
      <w:lvlJc w:val="right"/>
      <w:pPr>
        <w:ind w:left="3960" w:hanging="180"/>
      </w:pPr>
    </w:lvl>
    <w:lvl w:ilvl="6" w:tplc="8432052A">
      <w:start w:val="1"/>
      <w:numFmt w:val="decimal"/>
      <w:lvlText w:val="%7."/>
      <w:lvlJc w:val="left"/>
      <w:pPr>
        <w:ind w:left="4680" w:hanging="360"/>
      </w:pPr>
    </w:lvl>
    <w:lvl w:ilvl="7" w:tplc="66008FB6">
      <w:start w:val="1"/>
      <w:numFmt w:val="lowerLetter"/>
      <w:lvlText w:val="%8."/>
      <w:lvlJc w:val="left"/>
      <w:pPr>
        <w:ind w:left="5400" w:hanging="360"/>
      </w:pPr>
    </w:lvl>
    <w:lvl w:ilvl="8" w:tplc="E30842F4">
      <w:start w:val="1"/>
      <w:numFmt w:val="lowerRoman"/>
      <w:lvlText w:val="%9."/>
      <w:lvlJc w:val="right"/>
      <w:pPr>
        <w:ind w:left="6120" w:hanging="180"/>
      </w:pPr>
    </w:lvl>
  </w:abstractNum>
  <w:num w:numId="1">
    <w:abstractNumId w:val="33"/>
  </w:num>
  <w:num w:numId="2">
    <w:abstractNumId w:val="12"/>
  </w:num>
  <w:num w:numId="3">
    <w:abstractNumId w:val="29"/>
  </w:num>
  <w:num w:numId="4">
    <w:abstractNumId w:val="39"/>
  </w:num>
  <w:num w:numId="5">
    <w:abstractNumId w:val="64"/>
  </w:num>
  <w:num w:numId="6">
    <w:abstractNumId w:val="63"/>
  </w:num>
  <w:num w:numId="7">
    <w:abstractNumId w:val="25"/>
  </w:num>
  <w:num w:numId="8">
    <w:abstractNumId w:val="69"/>
  </w:num>
  <w:num w:numId="9">
    <w:abstractNumId w:val="8"/>
  </w:num>
  <w:num w:numId="10">
    <w:abstractNumId w:val="3"/>
  </w:num>
  <w:num w:numId="11">
    <w:abstractNumId w:val="23"/>
  </w:num>
  <w:num w:numId="12">
    <w:abstractNumId w:val="65"/>
  </w:num>
  <w:num w:numId="13">
    <w:abstractNumId w:val="10"/>
  </w:num>
  <w:num w:numId="14">
    <w:abstractNumId w:val="30"/>
  </w:num>
  <w:num w:numId="15">
    <w:abstractNumId w:val="43"/>
  </w:num>
  <w:num w:numId="16">
    <w:abstractNumId w:val="86"/>
  </w:num>
  <w:num w:numId="17">
    <w:abstractNumId w:val="20"/>
  </w:num>
  <w:num w:numId="18">
    <w:abstractNumId w:val="13"/>
  </w:num>
  <w:num w:numId="19">
    <w:abstractNumId w:val="45"/>
  </w:num>
  <w:num w:numId="20">
    <w:abstractNumId w:val="6"/>
  </w:num>
  <w:num w:numId="21">
    <w:abstractNumId w:val="38"/>
  </w:num>
  <w:num w:numId="22">
    <w:abstractNumId w:val="54"/>
  </w:num>
  <w:num w:numId="23">
    <w:abstractNumId w:val="11"/>
  </w:num>
  <w:num w:numId="24">
    <w:abstractNumId w:val="85"/>
  </w:num>
  <w:num w:numId="25">
    <w:abstractNumId w:val="28"/>
  </w:num>
  <w:num w:numId="26">
    <w:abstractNumId w:val="27"/>
  </w:num>
  <w:num w:numId="27">
    <w:abstractNumId w:val="48"/>
  </w:num>
  <w:num w:numId="28">
    <w:abstractNumId w:val="34"/>
  </w:num>
  <w:num w:numId="29">
    <w:abstractNumId w:val="7"/>
  </w:num>
  <w:num w:numId="30">
    <w:abstractNumId w:val="71"/>
  </w:num>
  <w:num w:numId="31">
    <w:abstractNumId w:val="51"/>
  </w:num>
  <w:num w:numId="32">
    <w:abstractNumId w:val="31"/>
  </w:num>
  <w:num w:numId="33">
    <w:abstractNumId w:val="44"/>
  </w:num>
  <w:num w:numId="34">
    <w:abstractNumId w:val="47"/>
  </w:num>
  <w:num w:numId="35">
    <w:abstractNumId w:val="22"/>
  </w:num>
  <w:num w:numId="36">
    <w:abstractNumId w:val="17"/>
  </w:num>
  <w:num w:numId="37">
    <w:abstractNumId w:val="19"/>
  </w:num>
  <w:num w:numId="38">
    <w:abstractNumId w:val="21"/>
  </w:num>
  <w:num w:numId="39">
    <w:abstractNumId w:val="70"/>
  </w:num>
  <w:num w:numId="40">
    <w:abstractNumId w:val="5"/>
  </w:num>
  <w:num w:numId="41">
    <w:abstractNumId w:val="55"/>
  </w:num>
  <w:num w:numId="42">
    <w:abstractNumId w:val="36"/>
  </w:num>
  <w:num w:numId="43">
    <w:abstractNumId w:val="37"/>
  </w:num>
  <w:num w:numId="44">
    <w:abstractNumId w:val="67"/>
  </w:num>
  <w:num w:numId="45">
    <w:abstractNumId w:val="24"/>
  </w:num>
  <w:num w:numId="46">
    <w:abstractNumId w:val="4"/>
  </w:num>
  <w:num w:numId="47">
    <w:abstractNumId w:val="53"/>
  </w:num>
  <w:num w:numId="48">
    <w:abstractNumId w:val="82"/>
  </w:num>
  <w:num w:numId="49">
    <w:abstractNumId w:val="87"/>
  </w:num>
  <w:num w:numId="50">
    <w:abstractNumId w:val="59"/>
  </w:num>
  <w:num w:numId="51">
    <w:abstractNumId w:val="66"/>
  </w:num>
  <w:num w:numId="52">
    <w:abstractNumId w:val="15"/>
  </w:num>
  <w:num w:numId="53">
    <w:abstractNumId w:val="50"/>
  </w:num>
  <w:num w:numId="54">
    <w:abstractNumId w:val="75"/>
  </w:num>
  <w:num w:numId="55">
    <w:abstractNumId w:val="60"/>
  </w:num>
  <w:num w:numId="56">
    <w:abstractNumId w:val="35"/>
  </w:num>
  <w:num w:numId="57">
    <w:abstractNumId w:val="77"/>
  </w:num>
  <w:num w:numId="58">
    <w:abstractNumId w:val="84"/>
  </w:num>
  <w:num w:numId="59">
    <w:abstractNumId w:val="62"/>
  </w:num>
  <w:num w:numId="60">
    <w:abstractNumId w:val="52"/>
  </w:num>
  <w:num w:numId="61">
    <w:abstractNumId w:val="72"/>
  </w:num>
  <w:num w:numId="62">
    <w:abstractNumId w:val="46"/>
  </w:num>
  <w:num w:numId="63">
    <w:abstractNumId w:val="9"/>
  </w:num>
  <w:num w:numId="64">
    <w:abstractNumId w:val="74"/>
  </w:num>
  <w:num w:numId="65">
    <w:abstractNumId w:val="56"/>
  </w:num>
  <w:num w:numId="66">
    <w:abstractNumId w:val="73"/>
  </w:num>
  <w:num w:numId="67">
    <w:abstractNumId w:val="26"/>
  </w:num>
  <w:num w:numId="68">
    <w:abstractNumId w:val="1"/>
  </w:num>
  <w:num w:numId="69">
    <w:abstractNumId w:val="58"/>
  </w:num>
  <w:num w:numId="70">
    <w:abstractNumId w:val="14"/>
  </w:num>
  <w:num w:numId="71">
    <w:abstractNumId w:val="16"/>
  </w:num>
  <w:num w:numId="72">
    <w:abstractNumId w:val="81"/>
  </w:num>
  <w:num w:numId="73">
    <w:abstractNumId w:val="68"/>
  </w:num>
  <w:num w:numId="74">
    <w:abstractNumId w:val="79"/>
  </w:num>
  <w:num w:numId="75">
    <w:abstractNumId w:val="0"/>
  </w:num>
  <w:num w:numId="76">
    <w:abstractNumId w:val="76"/>
  </w:num>
  <w:num w:numId="77">
    <w:abstractNumId w:val="49"/>
  </w:num>
  <w:num w:numId="78">
    <w:abstractNumId w:val="61"/>
  </w:num>
  <w:num w:numId="79">
    <w:abstractNumId w:val="40"/>
  </w:num>
  <w:num w:numId="80">
    <w:abstractNumId w:val="2"/>
  </w:num>
  <w:num w:numId="81">
    <w:abstractNumId w:val="88"/>
  </w:num>
  <w:num w:numId="82">
    <w:abstractNumId w:val="42"/>
  </w:num>
  <w:num w:numId="83">
    <w:abstractNumId w:val="83"/>
  </w:num>
  <w:num w:numId="84">
    <w:abstractNumId w:val="18"/>
  </w:num>
  <w:num w:numId="85">
    <w:abstractNumId w:val="80"/>
  </w:num>
  <w:num w:numId="86">
    <w:abstractNumId w:val="32"/>
  </w:num>
  <w:num w:numId="87">
    <w:abstractNumId w:val="41"/>
  </w:num>
  <w:num w:numId="88">
    <w:abstractNumId w:val="57"/>
  </w:num>
  <w:num w:numId="89">
    <w:abstractNumId w:val="78"/>
    <w:lvlOverride w:ilvl="0">
      <w:startOverride w:val="1"/>
    </w:lvlOverride>
    <w:lvlOverride w:ilvl="1"/>
    <w:lvlOverride w:ilvl="2"/>
    <w:lvlOverride w:ilvl="3"/>
    <w:lvlOverride w:ilvl="4"/>
    <w:lvlOverride w:ilvl="5"/>
    <w:lvlOverride w:ilvl="6"/>
    <w:lvlOverride w:ilvl="7"/>
    <w:lvlOverride w:ilvl="8"/>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activeWritingStyle w:appName="MSWord" w:lang="en-US" w:vendorID="64" w:dllVersion="0" w:nlCheck="1" w:checkStyle="0"/>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ocumentProtection w:edit="readOnly" w:enforcement="1" w:cryptProviderType="rsaAES" w:cryptAlgorithmClass="hash" w:cryptAlgorithmType="typeAny" w:cryptAlgorithmSid="14" w:cryptSpinCount="100000" w:hash="Xun1s5cA8toZaXluKMeECMYB4kQX8MoRA96TB96+bdvEPw6knW6CqejrWqgLycTPUH3c4e46WNDal+yEdjxRYg==" w:salt="CUuH77hTzd6ziSmzFLiRQA=="/>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W3NDE1NTCxMDaxMLBQ0lEKTi0uzszPAykwrAUA1Xd/aSwAAAA="/>
  </w:docVars>
  <w:rsids>
    <w:rsidRoot w:val="001D1FA0"/>
    <w:rsid w:val="00000006"/>
    <w:rsid w:val="00000369"/>
    <w:rsid w:val="00000384"/>
    <w:rsid w:val="00000A9A"/>
    <w:rsid w:val="00000BD5"/>
    <w:rsid w:val="0000102A"/>
    <w:rsid w:val="0000116F"/>
    <w:rsid w:val="000011B0"/>
    <w:rsid w:val="0000180E"/>
    <w:rsid w:val="00001A68"/>
    <w:rsid w:val="00001B25"/>
    <w:rsid w:val="0000268D"/>
    <w:rsid w:val="00002719"/>
    <w:rsid w:val="00002B16"/>
    <w:rsid w:val="00002C0A"/>
    <w:rsid w:val="0000320D"/>
    <w:rsid w:val="00003B3D"/>
    <w:rsid w:val="0000415D"/>
    <w:rsid w:val="00004D08"/>
    <w:rsid w:val="00004DE9"/>
    <w:rsid w:val="0000509B"/>
    <w:rsid w:val="00005CD0"/>
    <w:rsid w:val="00006594"/>
    <w:rsid w:val="000070CA"/>
    <w:rsid w:val="0000723E"/>
    <w:rsid w:val="00007353"/>
    <w:rsid w:val="0000736B"/>
    <w:rsid w:val="0000740D"/>
    <w:rsid w:val="000104D5"/>
    <w:rsid w:val="00010B39"/>
    <w:rsid w:val="00010DBB"/>
    <w:rsid w:val="00011081"/>
    <w:rsid w:val="0001154A"/>
    <w:rsid w:val="00011C92"/>
    <w:rsid w:val="00011CF2"/>
    <w:rsid w:val="00011D35"/>
    <w:rsid w:val="00012399"/>
    <w:rsid w:val="0001240D"/>
    <w:rsid w:val="00012424"/>
    <w:rsid w:val="00012603"/>
    <w:rsid w:val="00012823"/>
    <w:rsid w:val="00012F70"/>
    <w:rsid w:val="00013040"/>
    <w:rsid w:val="00014898"/>
    <w:rsid w:val="00014CFC"/>
    <w:rsid w:val="00015076"/>
    <w:rsid w:val="00015188"/>
    <w:rsid w:val="00015407"/>
    <w:rsid w:val="0001565B"/>
    <w:rsid w:val="0001574D"/>
    <w:rsid w:val="00016623"/>
    <w:rsid w:val="0001685A"/>
    <w:rsid w:val="00016E71"/>
    <w:rsid w:val="0001724C"/>
    <w:rsid w:val="00017E26"/>
    <w:rsid w:val="0002060C"/>
    <w:rsid w:val="000207B6"/>
    <w:rsid w:val="00020BC8"/>
    <w:rsid w:val="000211C7"/>
    <w:rsid w:val="00021DCC"/>
    <w:rsid w:val="00022372"/>
    <w:rsid w:val="00022376"/>
    <w:rsid w:val="00022AC8"/>
    <w:rsid w:val="00022C8C"/>
    <w:rsid w:val="00022F35"/>
    <w:rsid w:val="000232DE"/>
    <w:rsid w:val="00023C15"/>
    <w:rsid w:val="00023F90"/>
    <w:rsid w:val="00024446"/>
    <w:rsid w:val="0002511D"/>
    <w:rsid w:val="00025619"/>
    <w:rsid w:val="0002589F"/>
    <w:rsid w:val="00026346"/>
    <w:rsid w:val="00026811"/>
    <w:rsid w:val="00026C8C"/>
    <w:rsid w:val="00026D8F"/>
    <w:rsid w:val="00026E62"/>
    <w:rsid w:val="00026EDE"/>
    <w:rsid w:val="00027CDB"/>
    <w:rsid w:val="00027E68"/>
    <w:rsid w:val="00030124"/>
    <w:rsid w:val="00030136"/>
    <w:rsid w:val="00030408"/>
    <w:rsid w:val="0003046F"/>
    <w:rsid w:val="00030EFA"/>
    <w:rsid w:val="0003127F"/>
    <w:rsid w:val="00031519"/>
    <w:rsid w:val="00032A1E"/>
    <w:rsid w:val="00032CB4"/>
    <w:rsid w:val="00032D06"/>
    <w:rsid w:val="00032E28"/>
    <w:rsid w:val="00032F9D"/>
    <w:rsid w:val="0003336B"/>
    <w:rsid w:val="000335A3"/>
    <w:rsid w:val="00033B57"/>
    <w:rsid w:val="0003427E"/>
    <w:rsid w:val="0003541A"/>
    <w:rsid w:val="000356E7"/>
    <w:rsid w:val="00035876"/>
    <w:rsid w:val="00036088"/>
    <w:rsid w:val="0003662C"/>
    <w:rsid w:val="00036A5B"/>
    <w:rsid w:val="00036B13"/>
    <w:rsid w:val="00040533"/>
    <w:rsid w:val="00040AD8"/>
    <w:rsid w:val="000413E4"/>
    <w:rsid w:val="00041907"/>
    <w:rsid w:val="00041CE7"/>
    <w:rsid w:val="000424B6"/>
    <w:rsid w:val="00042E6F"/>
    <w:rsid w:val="00043444"/>
    <w:rsid w:val="000436AC"/>
    <w:rsid w:val="000439A0"/>
    <w:rsid w:val="00043CEA"/>
    <w:rsid w:val="00043F9A"/>
    <w:rsid w:val="00043FA6"/>
    <w:rsid w:val="00044292"/>
    <w:rsid w:val="0004429B"/>
    <w:rsid w:val="00044757"/>
    <w:rsid w:val="00044F4F"/>
    <w:rsid w:val="00046865"/>
    <w:rsid w:val="00046929"/>
    <w:rsid w:val="00046CA9"/>
    <w:rsid w:val="00046EE2"/>
    <w:rsid w:val="0004723D"/>
    <w:rsid w:val="0004761C"/>
    <w:rsid w:val="00047A5C"/>
    <w:rsid w:val="00047B65"/>
    <w:rsid w:val="00047BEC"/>
    <w:rsid w:val="00047D92"/>
    <w:rsid w:val="000504E4"/>
    <w:rsid w:val="000511CD"/>
    <w:rsid w:val="00051566"/>
    <w:rsid w:val="00052142"/>
    <w:rsid w:val="00052477"/>
    <w:rsid w:val="00052C4F"/>
    <w:rsid w:val="00052CF9"/>
    <w:rsid w:val="00052F24"/>
    <w:rsid w:val="000533F2"/>
    <w:rsid w:val="0005367F"/>
    <w:rsid w:val="00053F07"/>
    <w:rsid w:val="0005423C"/>
    <w:rsid w:val="000543D4"/>
    <w:rsid w:val="000546B5"/>
    <w:rsid w:val="00054923"/>
    <w:rsid w:val="00054975"/>
    <w:rsid w:val="00054C9C"/>
    <w:rsid w:val="00054CF2"/>
    <w:rsid w:val="00054DE2"/>
    <w:rsid w:val="00054F5E"/>
    <w:rsid w:val="00055006"/>
    <w:rsid w:val="000558B0"/>
    <w:rsid w:val="00055917"/>
    <w:rsid w:val="00055CA2"/>
    <w:rsid w:val="00055D29"/>
    <w:rsid w:val="00055E7F"/>
    <w:rsid w:val="0005657D"/>
    <w:rsid w:val="000566DA"/>
    <w:rsid w:val="000567D0"/>
    <w:rsid w:val="00056A81"/>
    <w:rsid w:val="00056AED"/>
    <w:rsid w:val="00056D39"/>
    <w:rsid w:val="0005733A"/>
    <w:rsid w:val="00057910"/>
    <w:rsid w:val="0005798F"/>
    <w:rsid w:val="00060126"/>
    <w:rsid w:val="00060301"/>
    <w:rsid w:val="00061ECF"/>
    <w:rsid w:val="00062157"/>
    <w:rsid w:val="000621A7"/>
    <w:rsid w:val="00062614"/>
    <w:rsid w:val="0006266C"/>
    <w:rsid w:val="00062A41"/>
    <w:rsid w:val="00062F00"/>
    <w:rsid w:val="00063246"/>
    <w:rsid w:val="00063E47"/>
    <w:rsid w:val="00064CC9"/>
    <w:rsid w:val="00064E84"/>
    <w:rsid w:val="00064F55"/>
    <w:rsid w:val="0006520B"/>
    <w:rsid w:val="0006524B"/>
    <w:rsid w:val="00065880"/>
    <w:rsid w:val="00065B11"/>
    <w:rsid w:val="00065BBF"/>
    <w:rsid w:val="0006665C"/>
    <w:rsid w:val="00066C88"/>
    <w:rsid w:val="00067911"/>
    <w:rsid w:val="00067977"/>
    <w:rsid w:val="000679F4"/>
    <w:rsid w:val="00067B12"/>
    <w:rsid w:val="00067BAC"/>
    <w:rsid w:val="00067D35"/>
    <w:rsid w:val="000708EA"/>
    <w:rsid w:val="000713AD"/>
    <w:rsid w:val="00071A96"/>
    <w:rsid w:val="000722A8"/>
    <w:rsid w:val="00072EF0"/>
    <w:rsid w:val="00072FAA"/>
    <w:rsid w:val="00073000"/>
    <w:rsid w:val="00074081"/>
    <w:rsid w:val="00074208"/>
    <w:rsid w:val="0007471E"/>
    <w:rsid w:val="00074A5A"/>
    <w:rsid w:val="00074F0D"/>
    <w:rsid w:val="00075075"/>
    <w:rsid w:val="000752C0"/>
    <w:rsid w:val="00075573"/>
    <w:rsid w:val="00075AEF"/>
    <w:rsid w:val="00075CED"/>
    <w:rsid w:val="00075D41"/>
    <w:rsid w:val="00075EBD"/>
    <w:rsid w:val="00075F50"/>
    <w:rsid w:val="0007625E"/>
    <w:rsid w:val="00076ED2"/>
    <w:rsid w:val="00077C68"/>
    <w:rsid w:val="000808EB"/>
    <w:rsid w:val="00080DAF"/>
    <w:rsid w:val="000812C3"/>
    <w:rsid w:val="000822FB"/>
    <w:rsid w:val="000823C7"/>
    <w:rsid w:val="00082851"/>
    <w:rsid w:val="000838F2"/>
    <w:rsid w:val="000842DC"/>
    <w:rsid w:val="00084517"/>
    <w:rsid w:val="00084691"/>
    <w:rsid w:val="000847FE"/>
    <w:rsid w:val="000853BD"/>
    <w:rsid w:val="00085A8D"/>
    <w:rsid w:val="00085C00"/>
    <w:rsid w:val="00085C16"/>
    <w:rsid w:val="000864E0"/>
    <w:rsid w:val="000865F4"/>
    <w:rsid w:val="00086996"/>
    <w:rsid w:val="000873B5"/>
    <w:rsid w:val="00087537"/>
    <w:rsid w:val="000875C7"/>
    <w:rsid w:val="000876EE"/>
    <w:rsid w:val="00087AF6"/>
    <w:rsid w:val="00090A96"/>
    <w:rsid w:val="000916C1"/>
    <w:rsid w:val="00091B81"/>
    <w:rsid w:val="00092498"/>
    <w:rsid w:val="000926C0"/>
    <w:rsid w:val="000928CF"/>
    <w:rsid w:val="00092D4E"/>
    <w:rsid w:val="0009314E"/>
    <w:rsid w:val="000933A0"/>
    <w:rsid w:val="00093850"/>
    <w:rsid w:val="00094920"/>
    <w:rsid w:val="00094C41"/>
    <w:rsid w:val="00094C6F"/>
    <w:rsid w:val="000952B9"/>
    <w:rsid w:val="000958CB"/>
    <w:rsid w:val="0009623D"/>
    <w:rsid w:val="0009695F"/>
    <w:rsid w:val="00096AF4"/>
    <w:rsid w:val="00096ECE"/>
    <w:rsid w:val="0009717F"/>
    <w:rsid w:val="000974C4"/>
    <w:rsid w:val="00097777"/>
    <w:rsid w:val="00097CA0"/>
    <w:rsid w:val="00097F8C"/>
    <w:rsid w:val="000A0279"/>
    <w:rsid w:val="000A0E9B"/>
    <w:rsid w:val="000A0F74"/>
    <w:rsid w:val="000A16DA"/>
    <w:rsid w:val="000A18FF"/>
    <w:rsid w:val="000A2887"/>
    <w:rsid w:val="000A305D"/>
    <w:rsid w:val="000A325A"/>
    <w:rsid w:val="000A3705"/>
    <w:rsid w:val="000A38C6"/>
    <w:rsid w:val="000A3BD9"/>
    <w:rsid w:val="000A3CAF"/>
    <w:rsid w:val="000A3E38"/>
    <w:rsid w:val="000A3EEB"/>
    <w:rsid w:val="000A411E"/>
    <w:rsid w:val="000A4650"/>
    <w:rsid w:val="000A5117"/>
    <w:rsid w:val="000A5478"/>
    <w:rsid w:val="000A56F8"/>
    <w:rsid w:val="000A596E"/>
    <w:rsid w:val="000A59E2"/>
    <w:rsid w:val="000A6388"/>
    <w:rsid w:val="000A7077"/>
    <w:rsid w:val="000A7247"/>
    <w:rsid w:val="000A779D"/>
    <w:rsid w:val="000B079D"/>
    <w:rsid w:val="000B081A"/>
    <w:rsid w:val="000B08A5"/>
    <w:rsid w:val="000B15A9"/>
    <w:rsid w:val="000B1656"/>
    <w:rsid w:val="000B1BA2"/>
    <w:rsid w:val="000B1E20"/>
    <w:rsid w:val="000B2157"/>
    <w:rsid w:val="000B22E0"/>
    <w:rsid w:val="000B2A19"/>
    <w:rsid w:val="000B35AC"/>
    <w:rsid w:val="000B3AC0"/>
    <w:rsid w:val="000B3B03"/>
    <w:rsid w:val="000B3E65"/>
    <w:rsid w:val="000B406B"/>
    <w:rsid w:val="000B4831"/>
    <w:rsid w:val="000B4B94"/>
    <w:rsid w:val="000B4E99"/>
    <w:rsid w:val="000B53D6"/>
    <w:rsid w:val="000B5484"/>
    <w:rsid w:val="000B553B"/>
    <w:rsid w:val="000B5B80"/>
    <w:rsid w:val="000B5E6C"/>
    <w:rsid w:val="000B60FB"/>
    <w:rsid w:val="000B67B8"/>
    <w:rsid w:val="000B6894"/>
    <w:rsid w:val="000B69EE"/>
    <w:rsid w:val="000B6A3D"/>
    <w:rsid w:val="000B6B93"/>
    <w:rsid w:val="000B6F6C"/>
    <w:rsid w:val="000B7121"/>
    <w:rsid w:val="000B7422"/>
    <w:rsid w:val="000B784B"/>
    <w:rsid w:val="000B7B61"/>
    <w:rsid w:val="000B7B7F"/>
    <w:rsid w:val="000C039A"/>
    <w:rsid w:val="000C0722"/>
    <w:rsid w:val="000C0ADC"/>
    <w:rsid w:val="000C0CC1"/>
    <w:rsid w:val="000C0D1A"/>
    <w:rsid w:val="000C0F87"/>
    <w:rsid w:val="000C1384"/>
    <w:rsid w:val="000C166D"/>
    <w:rsid w:val="000C1707"/>
    <w:rsid w:val="000C1A26"/>
    <w:rsid w:val="000C1AC8"/>
    <w:rsid w:val="000C1BB2"/>
    <w:rsid w:val="000C214A"/>
    <w:rsid w:val="000C2532"/>
    <w:rsid w:val="000C28F3"/>
    <w:rsid w:val="000C2BF0"/>
    <w:rsid w:val="000C2ECE"/>
    <w:rsid w:val="000C35FF"/>
    <w:rsid w:val="000C3C8C"/>
    <w:rsid w:val="000C4012"/>
    <w:rsid w:val="000C4887"/>
    <w:rsid w:val="000C4903"/>
    <w:rsid w:val="000C4C8D"/>
    <w:rsid w:val="000C4D69"/>
    <w:rsid w:val="000C5178"/>
    <w:rsid w:val="000C5EC2"/>
    <w:rsid w:val="000C656D"/>
    <w:rsid w:val="000C6D50"/>
    <w:rsid w:val="000C73AE"/>
    <w:rsid w:val="000C7EC9"/>
    <w:rsid w:val="000D01DE"/>
    <w:rsid w:val="000D0F4F"/>
    <w:rsid w:val="000D1B9F"/>
    <w:rsid w:val="000D1CD8"/>
    <w:rsid w:val="000D1E4F"/>
    <w:rsid w:val="000D24D8"/>
    <w:rsid w:val="000D25E8"/>
    <w:rsid w:val="000D296F"/>
    <w:rsid w:val="000D2B5E"/>
    <w:rsid w:val="000D2BC8"/>
    <w:rsid w:val="000D2DC0"/>
    <w:rsid w:val="000D350A"/>
    <w:rsid w:val="000D3C97"/>
    <w:rsid w:val="000D3DB9"/>
    <w:rsid w:val="000D4989"/>
    <w:rsid w:val="000D4AD0"/>
    <w:rsid w:val="000D545C"/>
    <w:rsid w:val="000D5634"/>
    <w:rsid w:val="000D590B"/>
    <w:rsid w:val="000D5A5F"/>
    <w:rsid w:val="000D64E0"/>
    <w:rsid w:val="000D6B28"/>
    <w:rsid w:val="000D6EDD"/>
    <w:rsid w:val="000D771A"/>
    <w:rsid w:val="000D7C29"/>
    <w:rsid w:val="000E0183"/>
    <w:rsid w:val="000E0644"/>
    <w:rsid w:val="000E077E"/>
    <w:rsid w:val="000E0891"/>
    <w:rsid w:val="000E08F9"/>
    <w:rsid w:val="000E0ABB"/>
    <w:rsid w:val="000E0CE2"/>
    <w:rsid w:val="000E2303"/>
    <w:rsid w:val="000E2529"/>
    <w:rsid w:val="000E290D"/>
    <w:rsid w:val="000E2BB8"/>
    <w:rsid w:val="000E3601"/>
    <w:rsid w:val="000E3A4A"/>
    <w:rsid w:val="000E3E89"/>
    <w:rsid w:val="000E3EE5"/>
    <w:rsid w:val="000E42A7"/>
    <w:rsid w:val="000E42AC"/>
    <w:rsid w:val="000E4752"/>
    <w:rsid w:val="000E4881"/>
    <w:rsid w:val="000E4A8A"/>
    <w:rsid w:val="000E5020"/>
    <w:rsid w:val="000E509B"/>
    <w:rsid w:val="000E564F"/>
    <w:rsid w:val="000E5BD3"/>
    <w:rsid w:val="000E5E14"/>
    <w:rsid w:val="000E6012"/>
    <w:rsid w:val="000E615D"/>
    <w:rsid w:val="000E67D5"/>
    <w:rsid w:val="000E6BE4"/>
    <w:rsid w:val="000E7282"/>
    <w:rsid w:val="000E75BE"/>
    <w:rsid w:val="000E7BFD"/>
    <w:rsid w:val="000F019B"/>
    <w:rsid w:val="000F01CE"/>
    <w:rsid w:val="000F02F1"/>
    <w:rsid w:val="000F058B"/>
    <w:rsid w:val="000F0AA8"/>
    <w:rsid w:val="000F0CB9"/>
    <w:rsid w:val="000F0CD3"/>
    <w:rsid w:val="000F1514"/>
    <w:rsid w:val="000F1782"/>
    <w:rsid w:val="000F19CE"/>
    <w:rsid w:val="000F1C0C"/>
    <w:rsid w:val="000F2453"/>
    <w:rsid w:val="000F38F4"/>
    <w:rsid w:val="000F3A06"/>
    <w:rsid w:val="000F4303"/>
    <w:rsid w:val="000F5055"/>
    <w:rsid w:val="000F52B4"/>
    <w:rsid w:val="000F5D79"/>
    <w:rsid w:val="000F6BC6"/>
    <w:rsid w:val="000F6D34"/>
    <w:rsid w:val="000F7182"/>
    <w:rsid w:val="000F76D6"/>
    <w:rsid w:val="000F792A"/>
    <w:rsid w:val="000F7EE1"/>
    <w:rsid w:val="00100790"/>
    <w:rsid w:val="00100A0F"/>
    <w:rsid w:val="00100D5E"/>
    <w:rsid w:val="00101328"/>
    <w:rsid w:val="001015F7"/>
    <w:rsid w:val="001023CB"/>
    <w:rsid w:val="00102423"/>
    <w:rsid w:val="001024C1"/>
    <w:rsid w:val="001026EA"/>
    <w:rsid w:val="00102F92"/>
    <w:rsid w:val="00103417"/>
    <w:rsid w:val="00103E55"/>
    <w:rsid w:val="001042C7"/>
    <w:rsid w:val="00104599"/>
    <w:rsid w:val="0010463B"/>
    <w:rsid w:val="0010481B"/>
    <w:rsid w:val="001048BD"/>
    <w:rsid w:val="00104D03"/>
    <w:rsid w:val="0010637F"/>
    <w:rsid w:val="001067AD"/>
    <w:rsid w:val="00106CB0"/>
    <w:rsid w:val="001072B9"/>
    <w:rsid w:val="00107C78"/>
    <w:rsid w:val="00110371"/>
    <w:rsid w:val="0011041A"/>
    <w:rsid w:val="001106B3"/>
    <w:rsid w:val="00110B88"/>
    <w:rsid w:val="001113B8"/>
    <w:rsid w:val="001114E2"/>
    <w:rsid w:val="001115CC"/>
    <w:rsid w:val="0011180A"/>
    <w:rsid w:val="00111857"/>
    <w:rsid w:val="00111960"/>
    <w:rsid w:val="00111970"/>
    <w:rsid w:val="00111F11"/>
    <w:rsid w:val="00112CE9"/>
    <w:rsid w:val="00112DC6"/>
    <w:rsid w:val="00113615"/>
    <w:rsid w:val="001136A0"/>
    <w:rsid w:val="00113F18"/>
    <w:rsid w:val="00114B39"/>
    <w:rsid w:val="00114CCA"/>
    <w:rsid w:val="00114DD3"/>
    <w:rsid w:val="00115206"/>
    <w:rsid w:val="001167AF"/>
    <w:rsid w:val="001167B6"/>
    <w:rsid w:val="001167C7"/>
    <w:rsid w:val="00116C74"/>
    <w:rsid w:val="00116E64"/>
    <w:rsid w:val="001175A9"/>
    <w:rsid w:val="001176AB"/>
    <w:rsid w:val="0011787F"/>
    <w:rsid w:val="00117BB7"/>
    <w:rsid w:val="00117BD3"/>
    <w:rsid w:val="001206C5"/>
    <w:rsid w:val="00120CC7"/>
    <w:rsid w:val="00120E3D"/>
    <w:rsid w:val="001213B2"/>
    <w:rsid w:val="0012164C"/>
    <w:rsid w:val="00121650"/>
    <w:rsid w:val="001216CE"/>
    <w:rsid w:val="001217C6"/>
    <w:rsid w:val="00121DBF"/>
    <w:rsid w:val="001226C1"/>
    <w:rsid w:val="0012280E"/>
    <w:rsid w:val="00122A80"/>
    <w:rsid w:val="00122CAA"/>
    <w:rsid w:val="00122CBE"/>
    <w:rsid w:val="001232E8"/>
    <w:rsid w:val="00123349"/>
    <w:rsid w:val="00123C4A"/>
    <w:rsid w:val="00123C5C"/>
    <w:rsid w:val="00123D97"/>
    <w:rsid w:val="00123F27"/>
    <w:rsid w:val="001256F6"/>
    <w:rsid w:val="00125854"/>
    <w:rsid w:val="00125C75"/>
    <w:rsid w:val="00125EB8"/>
    <w:rsid w:val="00125FB9"/>
    <w:rsid w:val="00126048"/>
    <w:rsid w:val="001265B4"/>
    <w:rsid w:val="00127144"/>
    <w:rsid w:val="001277E5"/>
    <w:rsid w:val="00127844"/>
    <w:rsid w:val="0013004D"/>
    <w:rsid w:val="001300E0"/>
    <w:rsid w:val="00130166"/>
    <w:rsid w:val="00130613"/>
    <w:rsid w:val="0013067F"/>
    <w:rsid w:val="001317A6"/>
    <w:rsid w:val="00132659"/>
    <w:rsid w:val="00132FC5"/>
    <w:rsid w:val="00133061"/>
    <w:rsid w:val="00133591"/>
    <w:rsid w:val="0013420F"/>
    <w:rsid w:val="001342A5"/>
    <w:rsid w:val="001344AB"/>
    <w:rsid w:val="0013459D"/>
    <w:rsid w:val="00134915"/>
    <w:rsid w:val="00134D31"/>
    <w:rsid w:val="00135157"/>
    <w:rsid w:val="00135682"/>
    <w:rsid w:val="001356CB"/>
    <w:rsid w:val="001357B9"/>
    <w:rsid w:val="00135E70"/>
    <w:rsid w:val="001363B4"/>
    <w:rsid w:val="001365C4"/>
    <w:rsid w:val="00136CBD"/>
    <w:rsid w:val="00137446"/>
    <w:rsid w:val="00137B21"/>
    <w:rsid w:val="00140875"/>
    <w:rsid w:val="00140E96"/>
    <w:rsid w:val="001415A2"/>
    <w:rsid w:val="00141B72"/>
    <w:rsid w:val="00141C4A"/>
    <w:rsid w:val="00142639"/>
    <w:rsid w:val="00142A51"/>
    <w:rsid w:val="00142C92"/>
    <w:rsid w:val="00142F9E"/>
    <w:rsid w:val="00143275"/>
    <w:rsid w:val="00143769"/>
    <w:rsid w:val="001448DF"/>
    <w:rsid w:val="00144A14"/>
    <w:rsid w:val="00144CB3"/>
    <w:rsid w:val="00145BF2"/>
    <w:rsid w:val="00146012"/>
    <w:rsid w:val="0014648E"/>
    <w:rsid w:val="001469D2"/>
    <w:rsid w:val="00150A45"/>
    <w:rsid w:val="00150C02"/>
    <w:rsid w:val="00150C1D"/>
    <w:rsid w:val="00150F3B"/>
    <w:rsid w:val="001516D0"/>
    <w:rsid w:val="00151BE1"/>
    <w:rsid w:val="00152788"/>
    <w:rsid w:val="00152B13"/>
    <w:rsid w:val="00152E78"/>
    <w:rsid w:val="001533B2"/>
    <w:rsid w:val="001537FB"/>
    <w:rsid w:val="00153F91"/>
    <w:rsid w:val="001541CF"/>
    <w:rsid w:val="0015474F"/>
    <w:rsid w:val="00154790"/>
    <w:rsid w:val="00154B0E"/>
    <w:rsid w:val="00154EEB"/>
    <w:rsid w:val="00155151"/>
    <w:rsid w:val="00155758"/>
    <w:rsid w:val="00155822"/>
    <w:rsid w:val="00155979"/>
    <w:rsid w:val="0015690E"/>
    <w:rsid w:val="00157DF7"/>
    <w:rsid w:val="00160067"/>
    <w:rsid w:val="00160249"/>
    <w:rsid w:val="00160417"/>
    <w:rsid w:val="00160543"/>
    <w:rsid w:val="00160794"/>
    <w:rsid w:val="00160C88"/>
    <w:rsid w:val="00160E64"/>
    <w:rsid w:val="0016130F"/>
    <w:rsid w:val="0016183F"/>
    <w:rsid w:val="00161BB6"/>
    <w:rsid w:val="0016394B"/>
    <w:rsid w:val="00163A62"/>
    <w:rsid w:val="00163A6E"/>
    <w:rsid w:val="00163AC1"/>
    <w:rsid w:val="00163D9C"/>
    <w:rsid w:val="0016407F"/>
    <w:rsid w:val="001640E2"/>
    <w:rsid w:val="00164309"/>
    <w:rsid w:val="00164E2B"/>
    <w:rsid w:val="0016509C"/>
    <w:rsid w:val="001655FB"/>
    <w:rsid w:val="00165984"/>
    <w:rsid w:val="00165F2D"/>
    <w:rsid w:val="00165FAD"/>
    <w:rsid w:val="001665D4"/>
    <w:rsid w:val="00166A97"/>
    <w:rsid w:val="00166CE8"/>
    <w:rsid w:val="00166EFB"/>
    <w:rsid w:val="0016753A"/>
    <w:rsid w:val="00167801"/>
    <w:rsid w:val="00167C7A"/>
    <w:rsid w:val="00167CFA"/>
    <w:rsid w:val="00167E3E"/>
    <w:rsid w:val="00171967"/>
    <w:rsid w:val="001719A7"/>
    <w:rsid w:val="001725B5"/>
    <w:rsid w:val="001725F1"/>
    <w:rsid w:val="00172669"/>
    <w:rsid w:val="0017266E"/>
    <w:rsid w:val="00172974"/>
    <w:rsid w:val="00173AE6"/>
    <w:rsid w:val="00173EA8"/>
    <w:rsid w:val="0017415D"/>
    <w:rsid w:val="001743DD"/>
    <w:rsid w:val="001745A9"/>
    <w:rsid w:val="0017468C"/>
    <w:rsid w:val="00174DC9"/>
    <w:rsid w:val="00174FA1"/>
    <w:rsid w:val="00174FF1"/>
    <w:rsid w:val="001759C8"/>
    <w:rsid w:val="0017606D"/>
    <w:rsid w:val="00176662"/>
    <w:rsid w:val="00176BE7"/>
    <w:rsid w:val="00176E00"/>
    <w:rsid w:val="001770E9"/>
    <w:rsid w:val="00177167"/>
    <w:rsid w:val="00177811"/>
    <w:rsid w:val="00180113"/>
    <w:rsid w:val="00180DED"/>
    <w:rsid w:val="001812A7"/>
    <w:rsid w:val="00181747"/>
    <w:rsid w:val="0018177B"/>
    <w:rsid w:val="00181AF2"/>
    <w:rsid w:val="00181B0C"/>
    <w:rsid w:val="00181DCD"/>
    <w:rsid w:val="00181DF1"/>
    <w:rsid w:val="00182FE5"/>
    <w:rsid w:val="0018320C"/>
    <w:rsid w:val="001832BC"/>
    <w:rsid w:val="00183362"/>
    <w:rsid w:val="001833AE"/>
    <w:rsid w:val="001833AF"/>
    <w:rsid w:val="001835EF"/>
    <w:rsid w:val="001847D4"/>
    <w:rsid w:val="00184E96"/>
    <w:rsid w:val="001851BE"/>
    <w:rsid w:val="00185654"/>
    <w:rsid w:val="00185983"/>
    <w:rsid w:val="00185BBC"/>
    <w:rsid w:val="00185D4D"/>
    <w:rsid w:val="00186001"/>
    <w:rsid w:val="001860AB"/>
    <w:rsid w:val="001865BE"/>
    <w:rsid w:val="00186975"/>
    <w:rsid w:val="00186D32"/>
    <w:rsid w:val="001870DE"/>
    <w:rsid w:val="001871E6"/>
    <w:rsid w:val="00187370"/>
    <w:rsid w:val="00191559"/>
    <w:rsid w:val="0019155C"/>
    <w:rsid w:val="00191ABA"/>
    <w:rsid w:val="0019340F"/>
    <w:rsid w:val="001935CE"/>
    <w:rsid w:val="00194364"/>
    <w:rsid w:val="00195227"/>
    <w:rsid w:val="001952F6"/>
    <w:rsid w:val="00195375"/>
    <w:rsid w:val="00195519"/>
    <w:rsid w:val="001955E5"/>
    <w:rsid w:val="00195702"/>
    <w:rsid w:val="00195880"/>
    <w:rsid w:val="00195A74"/>
    <w:rsid w:val="00195AB8"/>
    <w:rsid w:val="00195FF1"/>
    <w:rsid w:val="00196359"/>
    <w:rsid w:val="001967B5"/>
    <w:rsid w:val="00196E1A"/>
    <w:rsid w:val="00197CC5"/>
    <w:rsid w:val="00197D3A"/>
    <w:rsid w:val="00197E8F"/>
    <w:rsid w:val="00197FE2"/>
    <w:rsid w:val="001A004E"/>
    <w:rsid w:val="001A0B37"/>
    <w:rsid w:val="001A13FA"/>
    <w:rsid w:val="001A14D7"/>
    <w:rsid w:val="001A16E8"/>
    <w:rsid w:val="001A1D89"/>
    <w:rsid w:val="001A2390"/>
    <w:rsid w:val="001A253B"/>
    <w:rsid w:val="001A29C7"/>
    <w:rsid w:val="001A2AB9"/>
    <w:rsid w:val="001A2DDA"/>
    <w:rsid w:val="001A31EF"/>
    <w:rsid w:val="001A3756"/>
    <w:rsid w:val="001A3C1D"/>
    <w:rsid w:val="001A4659"/>
    <w:rsid w:val="001A47CF"/>
    <w:rsid w:val="001A485F"/>
    <w:rsid w:val="001A520D"/>
    <w:rsid w:val="001A5628"/>
    <w:rsid w:val="001A6138"/>
    <w:rsid w:val="001A62E0"/>
    <w:rsid w:val="001A67F0"/>
    <w:rsid w:val="001A697B"/>
    <w:rsid w:val="001A6D0E"/>
    <w:rsid w:val="001A7128"/>
    <w:rsid w:val="001A736D"/>
    <w:rsid w:val="001A7775"/>
    <w:rsid w:val="001A7B43"/>
    <w:rsid w:val="001A7D4C"/>
    <w:rsid w:val="001B04BA"/>
    <w:rsid w:val="001B095F"/>
    <w:rsid w:val="001B12FA"/>
    <w:rsid w:val="001B1C17"/>
    <w:rsid w:val="001B1C8F"/>
    <w:rsid w:val="001B24E0"/>
    <w:rsid w:val="001B25F7"/>
    <w:rsid w:val="001B2BB9"/>
    <w:rsid w:val="001B30C4"/>
    <w:rsid w:val="001B3829"/>
    <w:rsid w:val="001B3975"/>
    <w:rsid w:val="001B3FFF"/>
    <w:rsid w:val="001B425C"/>
    <w:rsid w:val="001B44C6"/>
    <w:rsid w:val="001B538D"/>
    <w:rsid w:val="001B550D"/>
    <w:rsid w:val="001B61AA"/>
    <w:rsid w:val="001B62DC"/>
    <w:rsid w:val="001B638B"/>
    <w:rsid w:val="001B6F91"/>
    <w:rsid w:val="001C01E7"/>
    <w:rsid w:val="001C0B33"/>
    <w:rsid w:val="001C0F5C"/>
    <w:rsid w:val="001C1074"/>
    <w:rsid w:val="001C119E"/>
    <w:rsid w:val="001C1AE1"/>
    <w:rsid w:val="001C2D2F"/>
    <w:rsid w:val="001C3062"/>
    <w:rsid w:val="001C3C28"/>
    <w:rsid w:val="001C3EAA"/>
    <w:rsid w:val="001C3ED9"/>
    <w:rsid w:val="001C4808"/>
    <w:rsid w:val="001C4D2C"/>
    <w:rsid w:val="001C5285"/>
    <w:rsid w:val="001C5611"/>
    <w:rsid w:val="001C567B"/>
    <w:rsid w:val="001C592B"/>
    <w:rsid w:val="001C5EC1"/>
    <w:rsid w:val="001C6645"/>
    <w:rsid w:val="001C70E2"/>
    <w:rsid w:val="001C716C"/>
    <w:rsid w:val="001C7950"/>
    <w:rsid w:val="001C79D7"/>
    <w:rsid w:val="001D0E8F"/>
    <w:rsid w:val="001D10CC"/>
    <w:rsid w:val="001D1C44"/>
    <w:rsid w:val="001D1FA0"/>
    <w:rsid w:val="001D20A9"/>
    <w:rsid w:val="001D20B4"/>
    <w:rsid w:val="001D263C"/>
    <w:rsid w:val="001D2BF5"/>
    <w:rsid w:val="001D3324"/>
    <w:rsid w:val="001D3484"/>
    <w:rsid w:val="001D3AAD"/>
    <w:rsid w:val="001D3D72"/>
    <w:rsid w:val="001D4099"/>
    <w:rsid w:val="001D48D6"/>
    <w:rsid w:val="001D5187"/>
    <w:rsid w:val="001D52E2"/>
    <w:rsid w:val="001D5373"/>
    <w:rsid w:val="001D5A92"/>
    <w:rsid w:val="001D5F7F"/>
    <w:rsid w:val="001D614A"/>
    <w:rsid w:val="001D61B8"/>
    <w:rsid w:val="001D633F"/>
    <w:rsid w:val="001D6F39"/>
    <w:rsid w:val="001D7616"/>
    <w:rsid w:val="001D7BF4"/>
    <w:rsid w:val="001D7CD9"/>
    <w:rsid w:val="001E08D8"/>
    <w:rsid w:val="001E0B90"/>
    <w:rsid w:val="001E0C90"/>
    <w:rsid w:val="001E1072"/>
    <w:rsid w:val="001E1976"/>
    <w:rsid w:val="001E1C18"/>
    <w:rsid w:val="001E2209"/>
    <w:rsid w:val="001E27AE"/>
    <w:rsid w:val="001E2837"/>
    <w:rsid w:val="001E2AF2"/>
    <w:rsid w:val="001E2E65"/>
    <w:rsid w:val="001E311C"/>
    <w:rsid w:val="001E3C5E"/>
    <w:rsid w:val="001E4284"/>
    <w:rsid w:val="001E4341"/>
    <w:rsid w:val="001E466C"/>
    <w:rsid w:val="001E48AD"/>
    <w:rsid w:val="001E4949"/>
    <w:rsid w:val="001E4CE8"/>
    <w:rsid w:val="001E4D33"/>
    <w:rsid w:val="001E51AF"/>
    <w:rsid w:val="001E640B"/>
    <w:rsid w:val="001E70CB"/>
    <w:rsid w:val="001E7433"/>
    <w:rsid w:val="001E75BB"/>
    <w:rsid w:val="001F0058"/>
    <w:rsid w:val="001F00FA"/>
    <w:rsid w:val="001F0131"/>
    <w:rsid w:val="001F02B2"/>
    <w:rsid w:val="001F0BA8"/>
    <w:rsid w:val="001F0F3F"/>
    <w:rsid w:val="001F158E"/>
    <w:rsid w:val="001F16FA"/>
    <w:rsid w:val="001F1959"/>
    <w:rsid w:val="001F19E3"/>
    <w:rsid w:val="001F1FBF"/>
    <w:rsid w:val="001F29BD"/>
    <w:rsid w:val="001F2D91"/>
    <w:rsid w:val="001F39B9"/>
    <w:rsid w:val="001F3C2C"/>
    <w:rsid w:val="001F3D94"/>
    <w:rsid w:val="001F45B4"/>
    <w:rsid w:val="001F4637"/>
    <w:rsid w:val="001F4B32"/>
    <w:rsid w:val="001F4ED4"/>
    <w:rsid w:val="001F4F70"/>
    <w:rsid w:val="001F4FAF"/>
    <w:rsid w:val="001F52C6"/>
    <w:rsid w:val="001F5805"/>
    <w:rsid w:val="001F5EE7"/>
    <w:rsid w:val="001F62C9"/>
    <w:rsid w:val="001F68EF"/>
    <w:rsid w:val="001F73A4"/>
    <w:rsid w:val="001F7490"/>
    <w:rsid w:val="001F7581"/>
    <w:rsid w:val="00200044"/>
    <w:rsid w:val="0020012B"/>
    <w:rsid w:val="0020021D"/>
    <w:rsid w:val="002002A2"/>
    <w:rsid w:val="00200C52"/>
    <w:rsid w:val="00200CD2"/>
    <w:rsid w:val="00201AC6"/>
    <w:rsid w:val="0020203D"/>
    <w:rsid w:val="002023FB"/>
    <w:rsid w:val="002037D0"/>
    <w:rsid w:val="00203E29"/>
    <w:rsid w:val="0020400E"/>
    <w:rsid w:val="0020522C"/>
    <w:rsid w:val="00205868"/>
    <w:rsid w:val="00205CC3"/>
    <w:rsid w:val="00206C39"/>
    <w:rsid w:val="0020730E"/>
    <w:rsid w:val="002102A0"/>
    <w:rsid w:val="002102B5"/>
    <w:rsid w:val="002108B3"/>
    <w:rsid w:val="00210F98"/>
    <w:rsid w:val="00211076"/>
    <w:rsid w:val="00211229"/>
    <w:rsid w:val="00212425"/>
    <w:rsid w:val="00212632"/>
    <w:rsid w:val="00212963"/>
    <w:rsid w:val="00212D49"/>
    <w:rsid w:val="00213FF3"/>
    <w:rsid w:val="00214C91"/>
    <w:rsid w:val="002156E5"/>
    <w:rsid w:val="00216EF7"/>
    <w:rsid w:val="0021707C"/>
    <w:rsid w:val="00220568"/>
    <w:rsid w:val="00220B4F"/>
    <w:rsid w:val="00221066"/>
    <w:rsid w:val="00221335"/>
    <w:rsid w:val="00221540"/>
    <w:rsid w:val="00221A5C"/>
    <w:rsid w:val="00221D0F"/>
    <w:rsid w:val="00221E9F"/>
    <w:rsid w:val="00221FD9"/>
    <w:rsid w:val="00222ADC"/>
    <w:rsid w:val="0022313B"/>
    <w:rsid w:val="002236F0"/>
    <w:rsid w:val="0022393D"/>
    <w:rsid w:val="002239F2"/>
    <w:rsid w:val="00223CAB"/>
    <w:rsid w:val="00223D66"/>
    <w:rsid w:val="00224DA7"/>
    <w:rsid w:val="00225102"/>
    <w:rsid w:val="00225ED1"/>
    <w:rsid w:val="00225EE5"/>
    <w:rsid w:val="00225FA5"/>
    <w:rsid w:val="00226741"/>
    <w:rsid w:val="002267EA"/>
    <w:rsid w:val="00226CEA"/>
    <w:rsid w:val="00227545"/>
    <w:rsid w:val="00227F24"/>
    <w:rsid w:val="002304FD"/>
    <w:rsid w:val="0023050D"/>
    <w:rsid w:val="002308DC"/>
    <w:rsid w:val="00230B09"/>
    <w:rsid w:val="002310A3"/>
    <w:rsid w:val="002314A2"/>
    <w:rsid w:val="002319A4"/>
    <w:rsid w:val="00231CC5"/>
    <w:rsid w:val="00231FDD"/>
    <w:rsid w:val="00232530"/>
    <w:rsid w:val="0023275D"/>
    <w:rsid w:val="00232B0C"/>
    <w:rsid w:val="00232FE9"/>
    <w:rsid w:val="00233154"/>
    <w:rsid w:val="00233175"/>
    <w:rsid w:val="00233518"/>
    <w:rsid w:val="00233568"/>
    <w:rsid w:val="0023384D"/>
    <w:rsid w:val="00233A5D"/>
    <w:rsid w:val="00233AEF"/>
    <w:rsid w:val="0023400A"/>
    <w:rsid w:val="00234925"/>
    <w:rsid w:val="00234970"/>
    <w:rsid w:val="00234DF0"/>
    <w:rsid w:val="00234FA3"/>
    <w:rsid w:val="002357E8"/>
    <w:rsid w:val="00235FFA"/>
    <w:rsid w:val="00236295"/>
    <w:rsid w:val="002375BF"/>
    <w:rsid w:val="002379AD"/>
    <w:rsid w:val="002401A2"/>
    <w:rsid w:val="00240BBB"/>
    <w:rsid w:val="00240E95"/>
    <w:rsid w:val="00240FF5"/>
    <w:rsid w:val="00241B31"/>
    <w:rsid w:val="002429EB"/>
    <w:rsid w:val="00242C09"/>
    <w:rsid w:val="00242D44"/>
    <w:rsid w:val="00242F8E"/>
    <w:rsid w:val="00243007"/>
    <w:rsid w:val="002430D2"/>
    <w:rsid w:val="00243513"/>
    <w:rsid w:val="0024366D"/>
    <w:rsid w:val="00243C59"/>
    <w:rsid w:val="00243CCE"/>
    <w:rsid w:val="0024413D"/>
    <w:rsid w:val="00244931"/>
    <w:rsid w:val="002456E9"/>
    <w:rsid w:val="00246763"/>
    <w:rsid w:val="00246887"/>
    <w:rsid w:val="00246D74"/>
    <w:rsid w:val="00246E6A"/>
    <w:rsid w:val="00247112"/>
    <w:rsid w:val="002471E4"/>
    <w:rsid w:val="00247666"/>
    <w:rsid w:val="002479A4"/>
    <w:rsid w:val="00247AB3"/>
    <w:rsid w:val="00247BAA"/>
    <w:rsid w:val="00247D86"/>
    <w:rsid w:val="00247DD5"/>
    <w:rsid w:val="0025010E"/>
    <w:rsid w:val="0025029A"/>
    <w:rsid w:val="00250B62"/>
    <w:rsid w:val="002511A2"/>
    <w:rsid w:val="00251341"/>
    <w:rsid w:val="00251BC0"/>
    <w:rsid w:val="00251E9D"/>
    <w:rsid w:val="00251EF6"/>
    <w:rsid w:val="002521CD"/>
    <w:rsid w:val="00252DD7"/>
    <w:rsid w:val="0025353A"/>
    <w:rsid w:val="0025366C"/>
    <w:rsid w:val="002538F3"/>
    <w:rsid w:val="00253ADB"/>
    <w:rsid w:val="002540CC"/>
    <w:rsid w:val="00254450"/>
    <w:rsid w:val="0025481D"/>
    <w:rsid w:val="002557E4"/>
    <w:rsid w:val="002558BE"/>
    <w:rsid w:val="0025591D"/>
    <w:rsid w:val="00255E9C"/>
    <w:rsid w:val="00255FDD"/>
    <w:rsid w:val="0025618D"/>
    <w:rsid w:val="002561FF"/>
    <w:rsid w:val="00257372"/>
    <w:rsid w:val="002574FD"/>
    <w:rsid w:val="00257571"/>
    <w:rsid w:val="002575FF"/>
    <w:rsid w:val="00257672"/>
    <w:rsid w:val="0025790A"/>
    <w:rsid w:val="00257935"/>
    <w:rsid w:val="0025794E"/>
    <w:rsid w:val="00257C68"/>
    <w:rsid w:val="0026014B"/>
    <w:rsid w:val="0026093C"/>
    <w:rsid w:val="00260B3D"/>
    <w:rsid w:val="00260DB8"/>
    <w:rsid w:val="00261A60"/>
    <w:rsid w:val="00262114"/>
    <w:rsid w:val="0026247D"/>
    <w:rsid w:val="00262935"/>
    <w:rsid w:val="00262A77"/>
    <w:rsid w:val="00262CE3"/>
    <w:rsid w:val="00263505"/>
    <w:rsid w:val="002635AA"/>
    <w:rsid w:val="00263C26"/>
    <w:rsid w:val="00263E29"/>
    <w:rsid w:val="002645E7"/>
    <w:rsid w:val="00264750"/>
    <w:rsid w:val="00264D38"/>
    <w:rsid w:val="00264F31"/>
    <w:rsid w:val="00264FB7"/>
    <w:rsid w:val="0026508E"/>
    <w:rsid w:val="00265584"/>
    <w:rsid w:val="002659D9"/>
    <w:rsid w:val="00265F01"/>
    <w:rsid w:val="00266B08"/>
    <w:rsid w:val="00267144"/>
    <w:rsid w:val="00267429"/>
    <w:rsid w:val="002674FA"/>
    <w:rsid w:val="00267621"/>
    <w:rsid w:val="00270079"/>
    <w:rsid w:val="002701EC"/>
    <w:rsid w:val="0027064C"/>
    <w:rsid w:val="00270ACC"/>
    <w:rsid w:val="00271FF4"/>
    <w:rsid w:val="0027298C"/>
    <w:rsid w:val="00272BB5"/>
    <w:rsid w:val="00272F3A"/>
    <w:rsid w:val="00273656"/>
    <w:rsid w:val="00273FA3"/>
    <w:rsid w:val="00274661"/>
    <w:rsid w:val="00274903"/>
    <w:rsid w:val="00274E71"/>
    <w:rsid w:val="002750BE"/>
    <w:rsid w:val="00275A7A"/>
    <w:rsid w:val="0027607E"/>
    <w:rsid w:val="0027615C"/>
    <w:rsid w:val="00276DF6"/>
    <w:rsid w:val="002771D5"/>
    <w:rsid w:val="002774A1"/>
    <w:rsid w:val="0027755D"/>
    <w:rsid w:val="002802F1"/>
    <w:rsid w:val="002807D9"/>
    <w:rsid w:val="0028081A"/>
    <w:rsid w:val="00280A43"/>
    <w:rsid w:val="00280CF5"/>
    <w:rsid w:val="0028150D"/>
    <w:rsid w:val="0028269F"/>
    <w:rsid w:val="00282D5B"/>
    <w:rsid w:val="002834EC"/>
    <w:rsid w:val="002838A7"/>
    <w:rsid w:val="002839B7"/>
    <w:rsid w:val="00283A82"/>
    <w:rsid w:val="00283C23"/>
    <w:rsid w:val="00283E95"/>
    <w:rsid w:val="002840CD"/>
    <w:rsid w:val="00284482"/>
    <w:rsid w:val="00284776"/>
    <w:rsid w:val="002847E3"/>
    <w:rsid w:val="0028484B"/>
    <w:rsid w:val="00285D92"/>
    <w:rsid w:val="00285E24"/>
    <w:rsid w:val="00285F40"/>
    <w:rsid w:val="0028662F"/>
    <w:rsid w:val="002866F6"/>
    <w:rsid w:val="00286796"/>
    <w:rsid w:val="00286E32"/>
    <w:rsid w:val="0028714E"/>
    <w:rsid w:val="00287685"/>
    <w:rsid w:val="00287BBC"/>
    <w:rsid w:val="00287DA8"/>
    <w:rsid w:val="00287E87"/>
    <w:rsid w:val="002901F1"/>
    <w:rsid w:val="002909F3"/>
    <w:rsid w:val="00290F39"/>
    <w:rsid w:val="002917D2"/>
    <w:rsid w:val="00291AC9"/>
    <w:rsid w:val="00291EBE"/>
    <w:rsid w:val="00292067"/>
    <w:rsid w:val="00292328"/>
    <w:rsid w:val="0029266C"/>
    <w:rsid w:val="002931CF"/>
    <w:rsid w:val="002932D2"/>
    <w:rsid w:val="00293506"/>
    <w:rsid w:val="002938A4"/>
    <w:rsid w:val="00293CCA"/>
    <w:rsid w:val="00294422"/>
    <w:rsid w:val="00294450"/>
    <w:rsid w:val="00294A1B"/>
    <w:rsid w:val="00294A87"/>
    <w:rsid w:val="00294AFE"/>
    <w:rsid w:val="00295294"/>
    <w:rsid w:val="002953DC"/>
    <w:rsid w:val="002956A2"/>
    <w:rsid w:val="00295739"/>
    <w:rsid w:val="002957BB"/>
    <w:rsid w:val="00295CF3"/>
    <w:rsid w:val="00295DD6"/>
    <w:rsid w:val="00295EBE"/>
    <w:rsid w:val="00296472"/>
    <w:rsid w:val="00296869"/>
    <w:rsid w:val="00296CAD"/>
    <w:rsid w:val="00296EC7"/>
    <w:rsid w:val="00297296"/>
    <w:rsid w:val="002A0005"/>
    <w:rsid w:val="002A03B0"/>
    <w:rsid w:val="002A057D"/>
    <w:rsid w:val="002A08E3"/>
    <w:rsid w:val="002A0963"/>
    <w:rsid w:val="002A0B74"/>
    <w:rsid w:val="002A0C09"/>
    <w:rsid w:val="002A0FC1"/>
    <w:rsid w:val="002A140F"/>
    <w:rsid w:val="002A2881"/>
    <w:rsid w:val="002A29FC"/>
    <w:rsid w:val="002A2BA9"/>
    <w:rsid w:val="002A2BF6"/>
    <w:rsid w:val="002A2C24"/>
    <w:rsid w:val="002A2E87"/>
    <w:rsid w:val="002A2EB6"/>
    <w:rsid w:val="002A3284"/>
    <w:rsid w:val="002A3478"/>
    <w:rsid w:val="002A4465"/>
    <w:rsid w:val="002A48CD"/>
    <w:rsid w:val="002A4B67"/>
    <w:rsid w:val="002A4C86"/>
    <w:rsid w:val="002A537D"/>
    <w:rsid w:val="002A5520"/>
    <w:rsid w:val="002A562A"/>
    <w:rsid w:val="002A5CC9"/>
    <w:rsid w:val="002A696A"/>
    <w:rsid w:val="002A6CAA"/>
    <w:rsid w:val="002A743C"/>
    <w:rsid w:val="002B0142"/>
    <w:rsid w:val="002B144E"/>
    <w:rsid w:val="002B1F08"/>
    <w:rsid w:val="002B1FF8"/>
    <w:rsid w:val="002B21F4"/>
    <w:rsid w:val="002B2259"/>
    <w:rsid w:val="002B2651"/>
    <w:rsid w:val="002B299B"/>
    <w:rsid w:val="002B2B91"/>
    <w:rsid w:val="002B31B4"/>
    <w:rsid w:val="002B3204"/>
    <w:rsid w:val="002B3386"/>
    <w:rsid w:val="002B3701"/>
    <w:rsid w:val="002B37E0"/>
    <w:rsid w:val="002B4778"/>
    <w:rsid w:val="002B49B8"/>
    <w:rsid w:val="002B4A5A"/>
    <w:rsid w:val="002B4D02"/>
    <w:rsid w:val="002B4EA8"/>
    <w:rsid w:val="002B4EA9"/>
    <w:rsid w:val="002B52F0"/>
    <w:rsid w:val="002B5543"/>
    <w:rsid w:val="002B5718"/>
    <w:rsid w:val="002B578F"/>
    <w:rsid w:val="002B5B5D"/>
    <w:rsid w:val="002B5D80"/>
    <w:rsid w:val="002B63A8"/>
    <w:rsid w:val="002B6420"/>
    <w:rsid w:val="002B6B10"/>
    <w:rsid w:val="002B6BB0"/>
    <w:rsid w:val="002B6C44"/>
    <w:rsid w:val="002B73AA"/>
    <w:rsid w:val="002B7CAB"/>
    <w:rsid w:val="002C0202"/>
    <w:rsid w:val="002C058B"/>
    <w:rsid w:val="002C0EE1"/>
    <w:rsid w:val="002C172B"/>
    <w:rsid w:val="002C17C0"/>
    <w:rsid w:val="002C1E01"/>
    <w:rsid w:val="002C20DB"/>
    <w:rsid w:val="002C2179"/>
    <w:rsid w:val="002C2782"/>
    <w:rsid w:val="002C2A17"/>
    <w:rsid w:val="002C2B80"/>
    <w:rsid w:val="002C2BA6"/>
    <w:rsid w:val="002C2E0D"/>
    <w:rsid w:val="002C3ED5"/>
    <w:rsid w:val="002C3F31"/>
    <w:rsid w:val="002C492C"/>
    <w:rsid w:val="002C4EBB"/>
    <w:rsid w:val="002C5374"/>
    <w:rsid w:val="002C54B5"/>
    <w:rsid w:val="002C576A"/>
    <w:rsid w:val="002C5A4C"/>
    <w:rsid w:val="002C5C0A"/>
    <w:rsid w:val="002C623B"/>
    <w:rsid w:val="002C639D"/>
    <w:rsid w:val="002C6534"/>
    <w:rsid w:val="002C6695"/>
    <w:rsid w:val="002C67EA"/>
    <w:rsid w:val="002C6C5E"/>
    <w:rsid w:val="002C7889"/>
    <w:rsid w:val="002C7970"/>
    <w:rsid w:val="002C7EE6"/>
    <w:rsid w:val="002D0300"/>
    <w:rsid w:val="002D080B"/>
    <w:rsid w:val="002D088A"/>
    <w:rsid w:val="002D10FF"/>
    <w:rsid w:val="002D1605"/>
    <w:rsid w:val="002D1B29"/>
    <w:rsid w:val="002D1C14"/>
    <w:rsid w:val="002D1C77"/>
    <w:rsid w:val="002D235B"/>
    <w:rsid w:val="002D24CE"/>
    <w:rsid w:val="002D3BF4"/>
    <w:rsid w:val="002D4146"/>
    <w:rsid w:val="002D4837"/>
    <w:rsid w:val="002D5409"/>
    <w:rsid w:val="002D55F2"/>
    <w:rsid w:val="002D56A1"/>
    <w:rsid w:val="002D584A"/>
    <w:rsid w:val="002D5EB3"/>
    <w:rsid w:val="002D6047"/>
    <w:rsid w:val="002D67F1"/>
    <w:rsid w:val="002D69CE"/>
    <w:rsid w:val="002D6B9A"/>
    <w:rsid w:val="002D6D25"/>
    <w:rsid w:val="002D7067"/>
    <w:rsid w:val="002D7606"/>
    <w:rsid w:val="002D775E"/>
    <w:rsid w:val="002D786C"/>
    <w:rsid w:val="002D7E24"/>
    <w:rsid w:val="002D7ECC"/>
    <w:rsid w:val="002E0875"/>
    <w:rsid w:val="002E0A18"/>
    <w:rsid w:val="002E112D"/>
    <w:rsid w:val="002E15AD"/>
    <w:rsid w:val="002E1F43"/>
    <w:rsid w:val="002E2217"/>
    <w:rsid w:val="002E2243"/>
    <w:rsid w:val="002E2409"/>
    <w:rsid w:val="002E2B3D"/>
    <w:rsid w:val="002E2F63"/>
    <w:rsid w:val="002E34F4"/>
    <w:rsid w:val="002E3511"/>
    <w:rsid w:val="002E39C0"/>
    <w:rsid w:val="002E3DE9"/>
    <w:rsid w:val="002E3E62"/>
    <w:rsid w:val="002E40F2"/>
    <w:rsid w:val="002E4BEB"/>
    <w:rsid w:val="002E4CC6"/>
    <w:rsid w:val="002E4E70"/>
    <w:rsid w:val="002E501D"/>
    <w:rsid w:val="002E5517"/>
    <w:rsid w:val="002E56EC"/>
    <w:rsid w:val="002E5A10"/>
    <w:rsid w:val="002E5B6B"/>
    <w:rsid w:val="002E5C6F"/>
    <w:rsid w:val="002E5CB2"/>
    <w:rsid w:val="002E6B6E"/>
    <w:rsid w:val="002E7688"/>
    <w:rsid w:val="002E7BF0"/>
    <w:rsid w:val="002E7DE0"/>
    <w:rsid w:val="002F03F2"/>
    <w:rsid w:val="002F0555"/>
    <w:rsid w:val="002F2057"/>
    <w:rsid w:val="002F24B5"/>
    <w:rsid w:val="002F270D"/>
    <w:rsid w:val="002F3783"/>
    <w:rsid w:val="002F379A"/>
    <w:rsid w:val="002F3B20"/>
    <w:rsid w:val="002F3DF0"/>
    <w:rsid w:val="002F3DFD"/>
    <w:rsid w:val="002F3EB2"/>
    <w:rsid w:val="002F41A0"/>
    <w:rsid w:val="002F47E9"/>
    <w:rsid w:val="002F49DB"/>
    <w:rsid w:val="002F4C46"/>
    <w:rsid w:val="002F4CF6"/>
    <w:rsid w:val="002F4E30"/>
    <w:rsid w:val="002F5212"/>
    <w:rsid w:val="002F5525"/>
    <w:rsid w:val="002F5D5F"/>
    <w:rsid w:val="002F61A4"/>
    <w:rsid w:val="002F6280"/>
    <w:rsid w:val="002F65A1"/>
    <w:rsid w:val="002F6648"/>
    <w:rsid w:val="002F6B37"/>
    <w:rsid w:val="002F6B3F"/>
    <w:rsid w:val="0030017A"/>
    <w:rsid w:val="0030054D"/>
    <w:rsid w:val="0030214E"/>
    <w:rsid w:val="003023F9"/>
    <w:rsid w:val="00302F0D"/>
    <w:rsid w:val="003030AE"/>
    <w:rsid w:val="003031D2"/>
    <w:rsid w:val="00303A7D"/>
    <w:rsid w:val="00304D53"/>
    <w:rsid w:val="00304D77"/>
    <w:rsid w:val="00305CD7"/>
    <w:rsid w:val="00305D9D"/>
    <w:rsid w:val="003060AF"/>
    <w:rsid w:val="003060EA"/>
    <w:rsid w:val="003063B8"/>
    <w:rsid w:val="00306446"/>
    <w:rsid w:val="003068B3"/>
    <w:rsid w:val="00306ECE"/>
    <w:rsid w:val="00307781"/>
    <w:rsid w:val="00310908"/>
    <w:rsid w:val="00310A21"/>
    <w:rsid w:val="00311B95"/>
    <w:rsid w:val="00311F33"/>
    <w:rsid w:val="003121E1"/>
    <w:rsid w:val="003125FB"/>
    <w:rsid w:val="003126CA"/>
    <w:rsid w:val="00312D95"/>
    <w:rsid w:val="00312FC9"/>
    <w:rsid w:val="00313020"/>
    <w:rsid w:val="003144CE"/>
    <w:rsid w:val="003146EE"/>
    <w:rsid w:val="003147E4"/>
    <w:rsid w:val="0031495E"/>
    <w:rsid w:val="00315D98"/>
    <w:rsid w:val="00316205"/>
    <w:rsid w:val="003164BB"/>
    <w:rsid w:val="0031792C"/>
    <w:rsid w:val="00317BED"/>
    <w:rsid w:val="00317ED4"/>
    <w:rsid w:val="003204D6"/>
    <w:rsid w:val="00320C28"/>
    <w:rsid w:val="00321199"/>
    <w:rsid w:val="003218D9"/>
    <w:rsid w:val="00321BD1"/>
    <w:rsid w:val="00321CCD"/>
    <w:rsid w:val="00321EAB"/>
    <w:rsid w:val="00322242"/>
    <w:rsid w:val="00322545"/>
    <w:rsid w:val="00322834"/>
    <w:rsid w:val="00322851"/>
    <w:rsid w:val="00322989"/>
    <w:rsid w:val="003231EB"/>
    <w:rsid w:val="00323956"/>
    <w:rsid w:val="00323B04"/>
    <w:rsid w:val="00324957"/>
    <w:rsid w:val="00324E3E"/>
    <w:rsid w:val="00325C9C"/>
    <w:rsid w:val="00325EF0"/>
    <w:rsid w:val="00326586"/>
    <w:rsid w:val="00326CE7"/>
    <w:rsid w:val="00327FF0"/>
    <w:rsid w:val="0033046F"/>
    <w:rsid w:val="00330587"/>
    <w:rsid w:val="00330DEA"/>
    <w:rsid w:val="00331168"/>
    <w:rsid w:val="0033122A"/>
    <w:rsid w:val="003318A3"/>
    <w:rsid w:val="00331A6E"/>
    <w:rsid w:val="00331CD9"/>
    <w:rsid w:val="0033280E"/>
    <w:rsid w:val="00332828"/>
    <w:rsid w:val="00332C90"/>
    <w:rsid w:val="00333123"/>
    <w:rsid w:val="00333168"/>
    <w:rsid w:val="00333322"/>
    <w:rsid w:val="00333465"/>
    <w:rsid w:val="0033372A"/>
    <w:rsid w:val="00333A58"/>
    <w:rsid w:val="003340A4"/>
    <w:rsid w:val="00334C28"/>
    <w:rsid w:val="00334C64"/>
    <w:rsid w:val="00334D50"/>
    <w:rsid w:val="00334E50"/>
    <w:rsid w:val="00334FD1"/>
    <w:rsid w:val="0033586C"/>
    <w:rsid w:val="003359B5"/>
    <w:rsid w:val="003367F4"/>
    <w:rsid w:val="00336C51"/>
    <w:rsid w:val="00336FFD"/>
    <w:rsid w:val="00337744"/>
    <w:rsid w:val="003378C6"/>
    <w:rsid w:val="00337A65"/>
    <w:rsid w:val="00340A61"/>
    <w:rsid w:val="00340EF2"/>
    <w:rsid w:val="003414F5"/>
    <w:rsid w:val="00341A88"/>
    <w:rsid w:val="00341C2B"/>
    <w:rsid w:val="00341D52"/>
    <w:rsid w:val="00342135"/>
    <w:rsid w:val="00342528"/>
    <w:rsid w:val="003427A6"/>
    <w:rsid w:val="003428BF"/>
    <w:rsid w:val="00342EA0"/>
    <w:rsid w:val="0034302E"/>
    <w:rsid w:val="0034310C"/>
    <w:rsid w:val="00343730"/>
    <w:rsid w:val="00343996"/>
    <w:rsid w:val="00344246"/>
    <w:rsid w:val="00344447"/>
    <w:rsid w:val="00344519"/>
    <w:rsid w:val="00344845"/>
    <w:rsid w:val="003449DE"/>
    <w:rsid w:val="00345057"/>
    <w:rsid w:val="00345456"/>
    <w:rsid w:val="0034577E"/>
    <w:rsid w:val="00346630"/>
    <w:rsid w:val="00347117"/>
    <w:rsid w:val="003473FD"/>
    <w:rsid w:val="003474E8"/>
    <w:rsid w:val="00347593"/>
    <w:rsid w:val="003477D4"/>
    <w:rsid w:val="003477F4"/>
    <w:rsid w:val="00347912"/>
    <w:rsid w:val="00347D4D"/>
    <w:rsid w:val="00347ED7"/>
    <w:rsid w:val="0035032F"/>
    <w:rsid w:val="00350396"/>
    <w:rsid w:val="0035065A"/>
    <w:rsid w:val="00350D6D"/>
    <w:rsid w:val="00350EAF"/>
    <w:rsid w:val="00351400"/>
    <w:rsid w:val="0035156B"/>
    <w:rsid w:val="0035168A"/>
    <w:rsid w:val="00351A5C"/>
    <w:rsid w:val="00352495"/>
    <w:rsid w:val="00352871"/>
    <w:rsid w:val="00352E6D"/>
    <w:rsid w:val="003538E4"/>
    <w:rsid w:val="00353BCA"/>
    <w:rsid w:val="003543BE"/>
    <w:rsid w:val="0035445E"/>
    <w:rsid w:val="0035450D"/>
    <w:rsid w:val="00354713"/>
    <w:rsid w:val="00354A86"/>
    <w:rsid w:val="00354B06"/>
    <w:rsid w:val="00354F33"/>
    <w:rsid w:val="00355295"/>
    <w:rsid w:val="00355F34"/>
    <w:rsid w:val="00355F8F"/>
    <w:rsid w:val="003562E2"/>
    <w:rsid w:val="00356617"/>
    <w:rsid w:val="003570E7"/>
    <w:rsid w:val="003577BD"/>
    <w:rsid w:val="0036006F"/>
    <w:rsid w:val="003602D7"/>
    <w:rsid w:val="00360BE2"/>
    <w:rsid w:val="00361021"/>
    <w:rsid w:val="0036285A"/>
    <w:rsid w:val="003630DB"/>
    <w:rsid w:val="0036312D"/>
    <w:rsid w:val="00363A79"/>
    <w:rsid w:val="00363B1B"/>
    <w:rsid w:val="00363DC5"/>
    <w:rsid w:val="003650A8"/>
    <w:rsid w:val="00365285"/>
    <w:rsid w:val="00365A62"/>
    <w:rsid w:val="0036615B"/>
    <w:rsid w:val="00366A87"/>
    <w:rsid w:val="003702C3"/>
    <w:rsid w:val="00370BA8"/>
    <w:rsid w:val="003721DF"/>
    <w:rsid w:val="00372562"/>
    <w:rsid w:val="00372B17"/>
    <w:rsid w:val="00372C57"/>
    <w:rsid w:val="00372DCC"/>
    <w:rsid w:val="00372F79"/>
    <w:rsid w:val="00372FB6"/>
    <w:rsid w:val="003730D3"/>
    <w:rsid w:val="003731BD"/>
    <w:rsid w:val="0037402D"/>
    <w:rsid w:val="00374160"/>
    <w:rsid w:val="00374695"/>
    <w:rsid w:val="00374A97"/>
    <w:rsid w:val="00374C63"/>
    <w:rsid w:val="003752BC"/>
    <w:rsid w:val="00375530"/>
    <w:rsid w:val="003759D4"/>
    <w:rsid w:val="00375F31"/>
    <w:rsid w:val="00375FF8"/>
    <w:rsid w:val="003763D6"/>
    <w:rsid w:val="0037646B"/>
    <w:rsid w:val="0037676E"/>
    <w:rsid w:val="00376A52"/>
    <w:rsid w:val="00376BCD"/>
    <w:rsid w:val="00376BD0"/>
    <w:rsid w:val="00376ED7"/>
    <w:rsid w:val="0038035A"/>
    <w:rsid w:val="0038102F"/>
    <w:rsid w:val="00381773"/>
    <w:rsid w:val="00381E8F"/>
    <w:rsid w:val="00382047"/>
    <w:rsid w:val="003823F6"/>
    <w:rsid w:val="003824EE"/>
    <w:rsid w:val="00382F25"/>
    <w:rsid w:val="0038301D"/>
    <w:rsid w:val="0038307C"/>
    <w:rsid w:val="0038346E"/>
    <w:rsid w:val="00383F1D"/>
    <w:rsid w:val="00384021"/>
    <w:rsid w:val="00384D52"/>
    <w:rsid w:val="00384E90"/>
    <w:rsid w:val="00385330"/>
    <w:rsid w:val="00385AF8"/>
    <w:rsid w:val="00386227"/>
    <w:rsid w:val="003867AB"/>
    <w:rsid w:val="003867CC"/>
    <w:rsid w:val="00386841"/>
    <w:rsid w:val="00386910"/>
    <w:rsid w:val="003869FF"/>
    <w:rsid w:val="00386A3D"/>
    <w:rsid w:val="0039034A"/>
    <w:rsid w:val="003906D1"/>
    <w:rsid w:val="00390701"/>
    <w:rsid w:val="003908FA"/>
    <w:rsid w:val="00391108"/>
    <w:rsid w:val="003914C5"/>
    <w:rsid w:val="00391769"/>
    <w:rsid w:val="00391E82"/>
    <w:rsid w:val="00392051"/>
    <w:rsid w:val="00392217"/>
    <w:rsid w:val="00392801"/>
    <w:rsid w:val="0039297C"/>
    <w:rsid w:val="003935F3"/>
    <w:rsid w:val="00393D4F"/>
    <w:rsid w:val="00393F77"/>
    <w:rsid w:val="003958E6"/>
    <w:rsid w:val="0039624B"/>
    <w:rsid w:val="00396449"/>
    <w:rsid w:val="00396471"/>
    <w:rsid w:val="00396506"/>
    <w:rsid w:val="00396603"/>
    <w:rsid w:val="00397283"/>
    <w:rsid w:val="00397346"/>
    <w:rsid w:val="00397B5A"/>
    <w:rsid w:val="00397FC4"/>
    <w:rsid w:val="003A013F"/>
    <w:rsid w:val="003A1025"/>
    <w:rsid w:val="003A1544"/>
    <w:rsid w:val="003A248C"/>
    <w:rsid w:val="003A25D2"/>
    <w:rsid w:val="003A292A"/>
    <w:rsid w:val="003A2B6E"/>
    <w:rsid w:val="003A3057"/>
    <w:rsid w:val="003A31D1"/>
    <w:rsid w:val="003A36FF"/>
    <w:rsid w:val="003A37C9"/>
    <w:rsid w:val="003A390E"/>
    <w:rsid w:val="003A39B3"/>
    <w:rsid w:val="003A3CFE"/>
    <w:rsid w:val="003A415B"/>
    <w:rsid w:val="003A4216"/>
    <w:rsid w:val="003A49ED"/>
    <w:rsid w:val="003A4CD2"/>
    <w:rsid w:val="003A543F"/>
    <w:rsid w:val="003A5973"/>
    <w:rsid w:val="003A5A84"/>
    <w:rsid w:val="003A6148"/>
    <w:rsid w:val="003A63EF"/>
    <w:rsid w:val="003A645E"/>
    <w:rsid w:val="003A6767"/>
    <w:rsid w:val="003A6C95"/>
    <w:rsid w:val="003A708C"/>
    <w:rsid w:val="003A77E1"/>
    <w:rsid w:val="003A781B"/>
    <w:rsid w:val="003A7A3D"/>
    <w:rsid w:val="003B019D"/>
    <w:rsid w:val="003B0574"/>
    <w:rsid w:val="003B0761"/>
    <w:rsid w:val="003B11CC"/>
    <w:rsid w:val="003B1330"/>
    <w:rsid w:val="003B1457"/>
    <w:rsid w:val="003B15B0"/>
    <w:rsid w:val="003B15E9"/>
    <w:rsid w:val="003B162B"/>
    <w:rsid w:val="003B19B7"/>
    <w:rsid w:val="003B2AFD"/>
    <w:rsid w:val="003B3133"/>
    <w:rsid w:val="003B3139"/>
    <w:rsid w:val="003B3884"/>
    <w:rsid w:val="003B443B"/>
    <w:rsid w:val="003B4F67"/>
    <w:rsid w:val="003B50E5"/>
    <w:rsid w:val="003B586C"/>
    <w:rsid w:val="003B5922"/>
    <w:rsid w:val="003B5A4D"/>
    <w:rsid w:val="003B5B7D"/>
    <w:rsid w:val="003B5E1D"/>
    <w:rsid w:val="003B629B"/>
    <w:rsid w:val="003B6586"/>
    <w:rsid w:val="003B6B26"/>
    <w:rsid w:val="003B7231"/>
    <w:rsid w:val="003B7430"/>
    <w:rsid w:val="003B7518"/>
    <w:rsid w:val="003C01F7"/>
    <w:rsid w:val="003C046F"/>
    <w:rsid w:val="003C05B8"/>
    <w:rsid w:val="003C06FB"/>
    <w:rsid w:val="003C08FB"/>
    <w:rsid w:val="003C0903"/>
    <w:rsid w:val="003C09DA"/>
    <w:rsid w:val="003C0AF4"/>
    <w:rsid w:val="003C0B93"/>
    <w:rsid w:val="003C0C49"/>
    <w:rsid w:val="003C0CAA"/>
    <w:rsid w:val="003C0D34"/>
    <w:rsid w:val="003C1602"/>
    <w:rsid w:val="003C2258"/>
    <w:rsid w:val="003C24BE"/>
    <w:rsid w:val="003C2501"/>
    <w:rsid w:val="003C25B6"/>
    <w:rsid w:val="003C264C"/>
    <w:rsid w:val="003C2D5D"/>
    <w:rsid w:val="003C2D81"/>
    <w:rsid w:val="003C2EBC"/>
    <w:rsid w:val="003C3391"/>
    <w:rsid w:val="003C3E2E"/>
    <w:rsid w:val="003C4376"/>
    <w:rsid w:val="003C47F3"/>
    <w:rsid w:val="003C49BE"/>
    <w:rsid w:val="003C4CA7"/>
    <w:rsid w:val="003C5577"/>
    <w:rsid w:val="003C5787"/>
    <w:rsid w:val="003C598F"/>
    <w:rsid w:val="003C5C02"/>
    <w:rsid w:val="003C5F0D"/>
    <w:rsid w:val="003C5FFF"/>
    <w:rsid w:val="003C6468"/>
    <w:rsid w:val="003C668E"/>
    <w:rsid w:val="003C6B4D"/>
    <w:rsid w:val="003C76AC"/>
    <w:rsid w:val="003D0393"/>
    <w:rsid w:val="003D03CF"/>
    <w:rsid w:val="003D076E"/>
    <w:rsid w:val="003D1179"/>
    <w:rsid w:val="003D1191"/>
    <w:rsid w:val="003D1AA3"/>
    <w:rsid w:val="003D4275"/>
    <w:rsid w:val="003D4484"/>
    <w:rsid w:val="003D4AF2"/>
    <w:rsid w:val="003D4E4A"/>
    <w:rsid w:val="003D5380"/>
    <w:rsid w:val="003D5662"/>
    <w:rsid w:val="003D58C6"/>
    <w:rsid w:val="003D5E0E"/>
    <w:rsid w:val="003D5E65"/>
    <w:rsid w:val="003D60AD"/>
    <w:rsid w:val="003D697B"/>
    <w:rsid w:val="003D6ACB"/>
    <w:rsid w:val="003D6B1E"/>
    <w:rsid w:val="003D6D9D"/>
    <w:rsid w:val="003D6ED4"/>
    <w:rsid w:val="003D75FF"/>
    <w:rsid w:val="003D7835"/>
    <w:rsid w:val="003D7C7C"/>
    <w:rsid w:val="003D7C89"/>
    <w:rsid w:val="003D7CAE"/>
    <w:rsid w:val="003E0C8D"/>
    <w:rsid w:val="003E1348"/>
    <w:rsid w:val="003E1487"/>
    <w:rsid w:val="003E14C1"/>
    <w:rsid w:val="003E1BBE"/>
    <w:rsid w:val="003E1ED7"/>
    <w:rsid w:val="003E2167"/>
    <w:rsid w:val="003E2BB3"/>
    <w:rsid w:val="003E2CE6"/>
    <w:rsid w:val="003E2ECE"/>
    <w:rsid w:val="003E3084"/>
    <w:rsid w:val="003E3462"/>
    <w:rsid w:val="003E3699"/>
    <w:rsid w:val="003E36A7"/>
    <w:rsid w:val="003E3AF7"/>
    <w:rsid w:val="003E3AFF"/>
    <w:rsid w:val="003E40A4"/>
    <w:rsid w:val="003E4525"/>
    <w:rsid w:val="003E4DF0"/>
    <w:rsid w:val="003E4E74"/>
    <w:rsid w:val="003E56CD"/>
    <w:rsid w:val="003E5E74"/>
    <w:rsid w:val="003E659D"/>
    <w:rsid w:val="003E715E"/>
    <w:rsid w:val="003E7663"/>
    <w:rsid w:val="003E76C2"/>
    <w:rsid w:val="003E7A44"/>
    <w:rsid w:val="003E7C6D"/>
    <w:rsid w:val="003F0044"/>
    <w:rsid w:val="003F02FA"/>
    <w:rsid w:val="003F05B8"/>
    <w:rsid w:val="003F05E6"/>
    <w:rsid w:val="003F07F4"/>
    <w:rsid w:val="003F0B9D"/>
    <w:rsid w:val="003F1F42"/>
    <w:rsid w:val="003F2159"/>
    <w:rsid w:val="003F2492"/>
    <w:rsid w:val="003F2585"/>
    <w:rsid w:val="003F2865"/>
    <w:rsid w:val="003F35CC"/>
    <w:rsid w:val="003F4287"/>
    <w:rsid w:val="003F4608"/>
    <w:rsid w:val="003F46A7"/>
    <w:rsid w:val="003F510F"/>
    <w:rsid w:val="003F545D"/>
    <w:rsid w:val="003F56BB"/>
    <w:rsid w:val="003F6410"/>
    <w:rsid w:val="003F67EE"/>
    <w:rsid w:val="003F6B75"/>
    <w:rsid w:val="003F6B8B"/>
    <w:rsid w:val="003F6BE7"/>
    <w:rsid w:val="003F6BF0"/>
    <w:rsid w:val="003F707F"/>
    <w:rsid w:val="003F7273"/>
    <w:rsid w:val="003F73BC"/>
    <w:rsid w:val="004000CA"/>
    <w:rsid w:val="00400209"/>
    <w:rsid w:val="00400740"/>
    <w:rsid w:val="0040174B"/>
    <w:rsid w:val="00401D3B"/>
    <w:rsid w:val="0040278B"/>
    <w:rsid w:val="004028EB"/>
    <w:rsid w:val="0040296F"/>
    <w:rsid w:val="00402992"/>
    <w:rsid w:val="00402AB3"/>
    <w:rsid w:val="00403584"/>
    <w:rsid w:val="00404329"/>
    <w:rsid w:val="0040485A"/>
    <w:rsid w:val="00404F1E"/>
    <w:rsid w:val="00405029"/>
    <w:rsid w:val="0040524A"/>
    <w:rsid w:val="00405C57"/>
    <w:rsid w:val="00405DA8"/>
    <w:rsid w:val="00405FD0"/>
    <w:rsid w:val="00406146"/>
    <w:rsid w:val="00406641"/>
    <w:rsid w:val="00406A22"/>
    <w:rsid w:val="00406A95"/>
    <w:rsid w:val="004076AF"/>
    <w:rsid w:val="004079B6"/>
    <w:rsid w:val="00407BF3"/>
    <w:rsid w:val="00407C67"/>
    <w:rsid w:val="00407FD7"/>
    <w:rsid w:val="0041034E"/>
    <w:rsid w:val="00410A0E"/>
    <w:rsid w:val="00410D05"/>
    <w:rsid w:val="00411679"/>
    <w:rsid w:val="00411AF5"/>
    <w:rsid w:val="00411B80"/>
    <w:rsid w:val="00411F35"/>
    <w:rsid w:val="0041211B"/>
    <w:rsid w:val="004125D3"/>
    <w:rsid w:val="004128F3"/>
    <w:rsid w:val="00412976"/>
    <w:rsid w:val="004130CA"/>
    <w:rsid w:val="0041314B"/>
    <w:rsid w:val="00413174"/>
    <w:rsid w:val="00413603"/>
    <w:rsid w:val="00413D04"/>
    <w:rsid w:val="00414617"/>
    <w:rsid w:val="0041464C"/>
    <w:rsid w:val="004148D7"/>
    <w:rsid w:val="00414AB3"/>
    <w:rsid w:val="00414E89"/>
    <w:rsid w:val="00414EE8"/>
    <w:rsid w:val="004161F5"/>
    <w:rsid w:val="004163D9"/>
    <w:rsid w:val="00416977"/>
    <w:rsid w:val="00417461"/>
    <w:rsid w:val="0041769D"/>
    <w:rsid w:val="00417A94"/>
    <w:rsid w:val="00417EBC"/>
    <w:rsid w:val="00420760"/>
    <w:rsid w:val="00420ECE"/>
    <w:rsid w:val="00421031"/>
    <w:rsid w:val="00421066"/>
    <w:rsid w:val="00421778"/>
    <w:rsid w:val="00422864"/>
    <w:rsid w:val="00422ED0"/>
    <w:rsid w:val="0042361C"/>
    <w:rsid w:val="00423760"/>
    <w:rsid w:val="00423B27"/>
    <w:rsid w:val="00424A5E"/>
    <w:rsid w:val="00424AB8"/>
    <w:rsid w:val="0042549B"/>
    <w:rsid w:val="004256EC"/>
    <w:rsid w:val="00425F0B"/>
    <w:rsid w:val="004262A4"/>
    <w:rsid w:val="00426448"/>
    <w:rsid w:val="004264F4"/>
    <w:rsid w:val="00426D0F"/>
    <w:rsid w:val="0042720D"/>
    <w:rsid w:val="0042722C"/>
    <w:rsid w:val="00427644"/>
    <w:rsid w:val="004277A7"/>
    <w:rsid w:val="00427D18"/>
    <w:rsid w:val="00430C55"/>
    <w:rsid w:val="00431987"/>
    <w:rsid w:val="00431C57"/>
    <w:rsid w:val="00432483"/>
    <w:rsid w:val="0043251E"/>
    <w:rsid w:val="00432593"/>
    <w:rsid w:val="00432CDA"/>
    <w:rsid w:val="00432D60"/>
    <w:rsid w:val="004340BD"/>
    <w:rsid w:val="004345F3"/>
    <w:rsid w:val="0043509D"/>
    <w:rsid w:val="0043512A"/>
    <w:rsid w:val="00435A74"/>
    <w:rsid w:val="00435D20"/>
    <w:rsid w:val="004360FD"/>
    <w:rsid w:val="00436794"/>
    <w:rsid w:val="00436BDE"/>
    <w:rsid w:val="00436BF9"/>
    <w:rsid w:val="00436EE8"/>
    <w:rsid w:val="00437150"/>
    <w:rsid w:val="00437B07"/>
    <w:rsid w:val="0044055E"/>
    <w:rsid w:val="00441465"/>
    <w:rsid w:val="00442AF7"/>
    <w:rsid w:val="0044344B"/>
    <w:rsid w:val="004436C6"/>
    <w:rsid w:val="004437D6"/>
    <w:rsid w:val="00443F91"/>
    <w:rsid w:val="004440F0"/>
    <w:rsid w:val="004444D4"/>
    <w:rsid w:val="00444A61"/>
    <w:rsid w:val="00444C44"/>
    <w:rsid w:val="004454FA"/>
    <w:rsid w:val="0044557D"/>
    <w:rsid w:val="00445690"/>
    <w:rsid w:val="004456C0"/>
    <w:rsid w:val="0044576A"/>
    <w:rsid w:val="00445E76"/>
    <w:rsid w:val="00445EF8"/>
    <w:rsid w:val="004461C2"/>
    <w:rsid w:val="0044689D"/>
    <w:rsid w:val="00446978"/>
    <w:rsid w:val="00446AF9"/>
    <w:rsid w:val="00446BB2"/>
    <w:rsid w:val="00447112"/>
    <w:rsid w:val="00447975"/>
    <w:rsid w:val="00447D02"/>
    <w:rsid w:val="00447EDF"/>
    <w:rsid w:val="00450BFB"/>
    <w:rsid w:val="00450D75"/>
    <w:rsid w:val="0045129A"/>
    <w:rsid w:val="00451554"/>
    <w:rsid w:val="00451D48"/>
    <w:rsid w:val="004524F0"/>
    <w:rsid w:val="004526C8"/>
    <w:rsid w:val="00452B2E"/>
    <w:rsid w:val="00452DA3"/>
    <w:rsid w:val="0045309D"/>
    <w:rsid w:val="0045412B"/>
    <w:rsid w:val="004549D5"/>
    <w:rsid w:val="004554D8"/>
    <w:rsid w:val="004559AB"/>
    <w:rsid w:val="00455BE3"/>
    <w:rsid w:val="004560FE"/>
    <w:rsid w:val="00456472"/>
    <w:rsid w:val="00456E64"/>
    <w:rsid w:val="00456EA6"/>
    <w:rsid w:val="00456FE0"/>
    <w:rsid w:val="0045737E"/>
    <w:rsid w:val="00457A77"/>
    <w:rsid w:val="00457D9E"/>
    <w:rsid w:val="00457E3B"/>
    <w:rsid w:val="004603AA"/>
    <w:rsid w:val="0046052C"/>
    <w:rsid w:val="00460CE9"/>
    <w:rsid w:val="00461493"/>
    <w:rsid w:val="00461897"/>
    <w:rsid w:val="00462124"/>
    <w:rsid w:val="004625F2"/>
    <w:rsid w:val="004628D9"/>
    <w:rsid w:val="004629C9"/>
    <w:rsid w:val="00463517"/>
    <w:rsid w:val="00463788"/>
    <w:rsid w:val="00463932"/>
    <w:rsid w:val="00463D3B"/>
    <w:rsid w:val="00464A45"/>
    <w:rsid w:val="004652A5"/>
    <w:rsid w:val="00465318"/>
    <w:rsid w:val="00465A7D"/>
    <w:rsid w:val="00465FDF"/>
    <w:rsid w:val="00466117"/>
    <w:rsid w:val="0046638D"/>
    <w:rsid w:val="004669E7"/>
    <w:rsid w:val="00466DCC"/>
    <w:rsid w:val="00466DDB"/>
    <w:rsid w:val="00467186"/>
    <w:rsid w:val="004674CC"/>
    <w:rsid w:val="0046782B"/>
    <w:rsid w:val="00467AA2"/>
    <w:rsid w:val="004708BF"/>
    <w:rsid w:val="004716CD"/>
    <w:rsid w:val="00471B4F"/>
    <w:rsid w:val="0047244E"/>
    <w:rsid w:val="004725C4"/>
    <w:rsid w:val="00472AE6"/>
    <w:rsid w:val="0047334E"/>
    <w:rsid w:val="004739B8"/>
    <w:rsid w:val="00473AAC"/>
    <w:rsid w:val="00473C1B"/>
    <w:rsid w:val="00473F4A"/>
    <w:rsid w:val="00473FC4"/>
    <w:rsid w:val="00474036"/>
    <w:rsid w:val="00474927"/>
    <w:rsid w:val="00474F28"/>
    <w:rsid w:val="00474FBD"/>
    <w:rsid w:val="0047509C"/>
    <w:rsid w:val="00475320"/>
    <w:rsid w:val="00475466"/>
    <w:rsid w:val="004757B4"/>
    <w:rsid w:val="004758E8"/>
    <w:rsid w:val="00475A56"/>
    <w:rsid w:val="00475DD8"/>
    <w:rsid w:val="0047600C"/>
    <w:rsid w:val="00477349"/>
    <w:rsid w:val="0047760A"/>
    <w:rsid w:val="004778ED"/>
    <w:rsid w:val="00477A4A"/>
    <w:rsid w:val="00477D77"/>
    <w:rsid w:val="00477E74"/>
    <w:rsid w:val="004803BA"/>
    <w:rsid w:val="0048048A"/>
    <w:rsid w:val="004805E1"/>
    <w:rsid w:val="00481054"/>
    <w:rsid w:val="0048112F"/>
    <w:rsid w:val="0048120C"/>
    <w:rsid w:val="00483399"/>
    <w:rsid w:val="004837A7"/>
    <w:rsid w:val="004839A8"/>
    <w:rsid w:val="00483B56"/>
    <w:rsid w:val="00483CBC"/>
    <w:rsid w:val="0048430B"/>
    <w:rsid w:val="0048433D"/>
    <w:rsid w:val="004852D4"/>
    <w:rsid w:val="00485551"/>
    <w:rsid w:val="00485817"/>
    <w:rsid w:val="00485A32"/>
    <w:rsid w:val="00485E47"/>
    <w:rsid w:val="00486E2E"/>
    <w:rsid w:val="00486F09"/>
    <w:rsid w:val="00487695"/>
    <w:rsid w:val="00487BAB"/>
    <w:rsid w:val="0049001A"/>
    <w:rsid w:val="004901F7"/>
    <w:rsid w:val="004906C2"/>
    <w:rsid w:val="0049089A"/>
    <w:rsid w:val="004908B4"/>
    <w:rsid w:val="00491F78"/>
    <w:rsid w:val="00492255"/>
    <w:rsid w:val="00492465"/>
    <w:rsid w:val="00492A58"/>
    <w:rsid w:val="00492CAC"/>
    <w:rsid w:val="00492F5B"/>
    <w:rsid w:val="0049345A"/>
    <w:rsid w:val="00493C74"/>
    <w:rsid w:val="0049554C"/>
    <w:rsid w:val="004955D3"/>
    <w:rsid w:val="0049616A"/>
    <w:rsid w:val="004972E0"/>
    <w:rsid w:val="00497379"/>
    <w:rsid w:val="004979A9"/>
    <w:rsid w:val="00497CFF"/>
    <w:rsid w:val="004A1C72"/>
    <w:rsid w:val="004A1D11"/>
    <w:rsid w:val="004A2502"/>
    <w:rsid w:val="004A25EA"/>
    <w:rsid w:val="004A28B4"/>
    <w:rsid w:val="004A29B3"/>
    <w:rsid w:val="004A2D42"/>
    <w:rsid w:val="004A3D19"/>
    <w:rsid w:val="004A3DC6"/>
    <w:rsid w:val="004A3EBF"/>
    <w:rsid w:val="004A4351"/>
    <w:rsid w:val="004A458B"/>
    <w:rsid w:val="004A4ED6"/>
    <w:rsid w:val="004A572D"/>
    <w:rsid w:val="004A5D5D"/>
    <w:rsid w:val="004A5EC0"/>
    <w:rsid w:val="004A6502"/>
    <w:rsid w:val="004A69EB"/>
    <w:rsid w:val="004A6AD9"/>
    <w:rsid w:val="004A6EF3"/>
    <w:rsid w:val="004A7593"/>
    <w:rsid w:val="004A75C8"/>
    <w:rsid w:val="004A7841"/>
    <w:rsid w:val="004A7949"/>
    <w:rsid w:val="004B006D"/>
    <w:rsid w:val="004B0507"/>
    <w:rsid w:val="004B073B"/>
    <w:rsid w:val="004B07AE"/>
    <w:rsid w:val="004B1034"/>
    <w:rsid w:val="004B1042"/>
    <w:rsid w:val="004B143F"/>
    <w:rsid w:val="004B1A49"/>
    <w:rsid w:val="004B2002"/>
    <w:rsid w:val="004B228F"/>
    <w:rsid w:val="004B24B6"/>
    <w:rsid w:val="004B25C0"/>
    <w:rsid w:val="004B267F"/>
    <w:rsid w:val="004B2BC9"/>
    <w:rsid w:val="004B2EB1"/>
    <w:rsid w:val="004B3227"/>
    <w:rsid w:val="004B337D"/>
    <w:rsid w:val="004B3BD4"/>
    <w:rsid w:val="004B3ECD"/>
    <w:rsid w:val="004B3FDE"/>
    <w:rsid w:val="004B430C"/>
    <w:rsid w:val="004B46EB"/>
    <w:rsid w:val="004B4B01"/>
    <w:rsid w:val="004B4BD8"/>
    <w:rsid w:val="004B59E6"/>
    <w:rsid w:val="004B5AEE"/>
    <w:rsid w:val="004B6161"/>
    <w:rsid w:val="004B69B6"/>
    <w:rsid w:val="004B78B4"/>
    <w:rsid w:val="004B7B19"/>
    <w:rsid w:val="004B7C0D"/>
    <w:rsid w:val="004B7D09"/>
    <w:rsid w:val="004C0143"/>
    <w:rsid w:val="004C0254"/>
    <w:rsid w:val="004C0505"/>
    <w:rsid w:val="004C0959"/>
    <w:rsid w:val="004C0A6B"/>
    <w:rsid w:val="004C0BC5"/>
    <w:rsid w:val="004C0FC9"/>
    <w:rsid w:val="004C1A8B"/>
    <w:rsid w:val="004C1B25"/>
    <w:rsid w:val="004C1D2E"/>
    <w:rsid w:val="004C236A"/>
    <w:rsid w:val="004C24D5"/>
    <w:rsid w:val="004C252E"/>
    <w:rsid w:val="004C2570"/>
    <w:rsid w:val="004C26AB"/>
    <w:rsid w:val="004C2A5D"/>
    <w:rsid w:val="004C33E1"/>
    <w:rsid w:val="004C3D10"/>
    <w:rsid w:val="004C3ECF"/>
    <w:rsid w:val="004C43EE"/>
    <w:rsid w:val="004C4820"/>
    <w:rsid w:val="004C4F2D"/>
    <w:rsid w:val="004C50EF"/>
    <w:rsid w:val="004C550A"/>
    <w:rsid w:val="004C5A06"/>
    <w:rsid w:val="004C648C"/>
    <w:rsid w:val="004C6579"/>
    <w:rsid w:val="004C6E18"/>
    <w:rsid w:val="004C6ED8"/>
    <w:rsid w:val="004C70A4"/>
    <w:rsid w:val="004C71FC"/>
    <w:rsid w:val="004C74A0"/>
    <w:rsid w:val="004C74F7"/>
    <w:rsid w:val="004C7659"/>
    <w:rsid w:val="004D049C"/>
    <w:rsid w:val="004D0DA8"/>
    <w:rsid w:val="004D12A0"/>
    <w:rsid w:val="004D1855"/>
    <w:rsid w:val="004D1918"/>
    <w:rsid w:val="004D1E4A"/>
    <w:rsid w:val="004D1F4E"/>
    <w:rsid w:val="004D2454"/>
    <w:rsid w:val="004D2932"/>
    <w:rsid w:val="004D2EEB"/>
    <w:rsid w:val="004D31D3"/>
    <w:rsid w:val="004D3C0A"/>
    <w:rsid w:val="004D3D33"/>
    <w:rsid w:val="004D3EAA"/>
    <w:rsid w:val="004D4217"/>
    <w:rsid w:val="004D4671"/>
    <w:rsid w:val="004D4689"/>
    <w:rsid w:val="004D47E8"/>
    <w:rsid w:val="004D4979"/>
    <w:rsid w:val="004D4BB1"/>
    <w:rsid w:val="004D4F84"/>
    <w:rsid w:val="004D50A3"/>
    <w:rsid w:val="004D5747"/>
    <w:rsid w:val="004D6498"/>
    <w:rsid w:val="004D64DD"/>
    <w:rsid w:val="004D753D"/>
    <w:rsid w:val="004D7711"/>
    <w:rsid w:val="004D7873"/>
    <w:rsid w:val="004D7AD5"/>
    <w:rsid w:val="004E04BD"/>
    <w:rsid w:val="004E0AA5"/>
    <w:rsid w:val="004E0CBA"/>
    <w:rsid w:val="004E1145"/>
    <w:rsid w:val="004E1360"/>
    <w:rsid w:val="004E1B7A"/>
    <w:rsid w:val="004E2243"/>
    <w:rsid w:val="004E25A7"/>
    <w:rsid w:val="004E26B1"/>
    <w:rsid w:val="004E29DE"/>
    <w:rsid w:val="004E2A94"/>
    <w:rsid w:val="004E30C1"/>
    <w:rsid w:val="004E367D"/>
    <w:rsid w:val="004E3F9D"/>
    <w:rsid w:val="004E4A51"/>
    <w:rsid w:val="004E5756"/>
    <w:rsid w:val="004E58F5"/>
    <w:rsid w:val="004E5DB7"/>
    <w:rsid w:val="004E6048"/>
    <w:rsid w:val="004E6227"/>
    <w:rsid w:val="004E6670"/>
    <w:rsid w:val="004E67BF"/>
    <w:rsid w:val="004E6B3D"/>
    <w:rsid w:val="004E6DE7"/>
    <w:rsid w:val="004E6E1A"/>
    <w:rsid w:val="004E6E90"/>
    <w:rsid w:val="004F0101"/>
    <w:rsid w:val="004F0165"/>
    <w:rsid w:val="004F03D7"/>
    <w:rsid w:val="004F0691"/>
    <w:rsid w:val="004F092E"/>
    <w:rsid w:val="004F126B"/>
    <w:rsid w:val="004F130F"/>
    <w:rsid w:val="004F1A27"/>
    <w:rsid w:val="004F26C3"/>
    <w:rsid w:val="004F30C8"/>
    <w:rsid w:val="004F39EA"/>
    <w:rsid w:val="004F3AE6"/>
    <w:rsid w:val="004F3B7C"/>
    <w:rsid w:val="004F4027"/>
    <w:rsid w:val="004F448A"/>
    <w:rsid w:val="004F47BA"/>
    <w:rsid w:val="004F4826"/>
    <w:rsid w:val="004F5588"/>
    <w:rsid w:val="004F57F1"/>
    <w:rsid w:val="004F5FC0"/>
    <w:rsid w:val="004F6390"/>
    <w:rsid w:val="004F6A8C"/>
    <w:rsid w:val="004F7CD4"/>
    <w:rsid w:val="005000B5"/>
    <w:rsid w:val="005003DA"/>
    <w:rsid w:val="0050045E"/>
    <w:rsid w:val="00500CC2"/>
    <w:rsid w:val="00500D56"/>
    <w:rsid w:val="00501594"/>
    <w:rsid w:val="005017E2"/>
    <w:rsid w:val="00501886"/>
    <w:rsid w:val="0050194E"/>
    <w:rsid w:val="0050196D"/>
    <w:rsid w:val="00501D22"/>
    <w:rsid w:val="00501DF3"/>
    <w:rsid w:val="00501E50"/>
    <w:rsid w:val="005025B4"/>
    <w:rsid w:val="00502D34"/>
    <w:rsid w:val="00502D48"/>
    <w:rsid w:val="0050319E"/>
    <w:rsid w:val="005033C2"/>
    <w:rsid w:val="00503426"/>
    <w:rsid w:val="00504435"/>
    <w:rsid w:val="00504C1B"/>
    <w:rsid w:val="005057CD"/>
    <w:rsid w:val="00505A27"/>
    <w:rsid w:val="00506738"/>
    <w:rsid w:val="00507062"/>
    <w:rsid w:val="0050742D"/>
    <w:rsid w:val="00507718"/>
    <w:rsid w:val="00507860"/>
    <w:rsid w:val="00507ADA"/>
    <w:rsid w:val="00507C79"/>
    <w:rsid w:val="0050DDBA"/>
    <w:rsid w:val="005106CC"/>
    <w:rsid w:val="00510CCB"/>
    <w:rsid w:val="00510D98"/>
    <w:rsid w:val="005113E2"/>
    <w:rsid w:val="00511FC4"/>
    <w:rsid w:val="00512129"/>
    <w:rsid w:val="00512C1C"/>
    <w:rsid w:val="00512EDD"/>
    <w:rsid w:val="005136AF"/>
    <w:rsid w:val="00513946"/>
    <w:rsid w:val="00513DFD"/>
    <w:rsid w:val="00513F0D"/>
    <w:rsid w:val="005144A0"/>
    <w:rsid w:val="005144DB"/>
    <w:rsid w:val="00514724"/>
    <w:rsid w:val="00514D3C"/>
    <w:rsid w:val="005162A0"/>
    <w:rsid w:val="00516EA9"/>
    <w:rsid w:val="00517785"/>
    <w:rsid w:val="00517B21"/>
    <w:rsid w:val="005206AA"/>
    <w:rsid w:val="00520C79"/>
    <w:rsid w:val="00520D3C"/>
    <w:rsid w:val="00520E02"/>
    <w:rsid w:val="005210CF"/>
    <w:rsid w:val="005214C9"/>
    <w:rsid w:val="00521AB8"/>
    <w:rsid w:val="0052226B"/>
    <w:rsid w:val="00523228"/>
    <w:rsid w:val="0052344D"/>
    <w:rsid w:val="005236FB"/>
    <w:rsid w:val="005237B9"/>
    <w:rsid w:val="00523A7D"/>
    <w:rsid w:val="005245B8"/>
    <w:rsid w:val="00525069"/>
    <w:rsid w:val="0052522E"/>
    <w:rsid w:val="00525333"/>
    <w:rsid w:val="00525F9D"/>
    <w:rsid w:val="00526263"/>
    <w:rsid w:val="005268E6"/>
    <w:rsid w:val="00526D06"/>
    <w:rsid w:val="00526DA5"/>
    <w:rsid w:val="00526E6E"/>
    <w:rsid w:val="00526E79"/>
    <w:rsid w:val="00527077"/>
    <w:rsid w:val="005272B5"/>
    <w:rsid w:val="005274C9"/>
    <w:rsid w:val="0052761C"/>
    <w:rsid w:val="00527D60"/>
    <w:rsid w:val="00527F25"/>
    <w:rsid w:val="0053031E"/>
    <w:rsid w:val="00531649"/>
    <w:rsid w:val="0053184E"/>
    <w:rsid w:val="00531F01"/>
    <w:rsid w:val="00532028"/>
    <w:rsid w:val="0053262D"/>
    <w:rsid w:val="005329DA"/>
    <w:rsid w:val="00533328"/>
    <w:rsid w:val="00533951"/>
    <w:rsid w:val="0053462E"/>
    <w:rsid w:val="00534E80"/>
    <w:rsid w:val="00535505"/>
    <w:rsid w:val="0053572F"/>
    <w:rsid w:val="00535D28"/>
    <w:rsid w:val="00536228"/>
    <w:rsid w:val="0053631B"/>
    <w:rsid w:val="005364F4"/>
    <w:rsid w:val="005365FD"/>
    <w:rsid w:val="00536684"/>
    <w:rsid w:val="005368BB"/>
    <w:rsid w:val="00536E97"/>
    <w:rsid w:val="0053755C"/>
    <w:rsid w:val="00540891"/>
    <w:rsid w:val="00540D80"/>
    <w:rsid w:val="005411C0"/>
    <w:rsid w:val="00541514"/>
    <w:rsid w:val="0054211A"/>
    <w:rsid w:val="005421A2"/>
    <w:rsid w:val="00543F16"/>
    <w:rsid w:val="00544121"/>
    <w:rsid w:val="0054457B"/>
    <w:rsid w:val="00544A22"/>
    <w:rsid w:val="00544BBF"/>
    <w:rsid w:val="00544C39"/>
    <w:rsid w:val="005455E0"/>
    <w:rsid w:val="00545ABF"/>
    <w:rsid w:val="00545B13"/>
    <w:rsid w:val="00545C5C"/>
    <w:rsid w:val="00545CA3"/>
    <w:rsid w:val="0054603A"/>
    <w:rsid w:val="00546627"/>
    <w:rsid w:val="00546DC8"/>
    <w:rsid w:val="00547586"/>
    <w:rsid w:val="005476C3"/>
    <w:rsid w:val="00547C86"/>
    <w:rsid w:val="00547D5C"/>
    <w:rsid w:val="00547EAE"/>
    <w:rsid w:val="00550853"/>
    <w:rsid w:val="00550BDB"/>
    <w:rsid w:val="00550C3B"/>
    <w:rsid w:val="005511B9"/>
    <w:rsid w:val="00551390"/>
    <w:rsid w:val="00551D64"/>
    <w:rsid w:val="00552A43"/>
    <w:rsid w:val="00552C1B"/>
    <w:rsid w:val="00552CB9"/>
    <w:rsid w:val="0055362D"/>
    <w:rsid w:val="00553D0E"/>
    <w:rsid w:val="00553FBC"/>
    <w:rsid w:val="00554072"/>
    <w:rsid w:val="00554154"/>
    <w:rsid w:val="005546B0"/>
    <w:rsid w:val="00554788"/>
    <w:rsid w:val="005550B3"/>
    <w:rsid w:val="00555525"/>
    <w:rsid w:val="005557AA"/>
    <w:rsid w:val="00555BCA"/>
    <w:rsid w:val="00556A4D"/>
    <w:rsid w:val="00556C15"/>
    <w:rsid w:val="00557296"/>
    <w:rsid w:val="005572D7"/>
    <w:rsid w:val="0055767B"/>
    <w:rsid w:val="00557886"/>
    <w:rsid w:val="00557A6D"/>
    <w:rsid w:val="00562164"/>
    <w:rsid w:val="0056251B"/>
    <w:rsid w:val="00562B73"/>
    <w:rsid w:val="00562C12"/>
    <w:rsid w:val="00562FDE"/>
    <w:rsid w:val="005638B7"/>
    <w:rsid w:val="00563952"/>
    <w:rsid w:val="00563974"/>
    <w:rsid w:val="00563BF7"/>
    <w:rsid w:val="00563ED4"/>
    <w:rsid w:val="005644BE"/>
    <w:rsid w:val="0056489E"/>
    <w:rsid w:val="00564AA6"/>
    <w:rsid w:val="00564B21"/>
    <w:rsid w:val="00565276"/>
    <w:rsid w:val="00565469"/>
    <w:rsid w:val="005656AB"/>
    <w:rsid w:val="0056604F"/>
    <w:rsid w:val="005665BA"/>
    <w:rsid w:val="00566C7A"/>
    <w:rsid w:val="005674EC"/>
    <w:rsid w:val="005677F1"/>
    <w:rsid w:val="005702BC"/>
    <w:rsid w:val="00570E0B"/>
    <w:rsid w:val="00570F66"/>
    <w:rsid w:val="00571200"/>
    <w:rsid w:val="00571461"/>
    <w:rsid w:val="00572E87"/>
    <w:rsid w:val="005731D6"/>
    <w:rsid w:val="005740D9"/>
    <w:rsid w:val="0057420F"/>
    <w:rsid w:val="00574629"/>
    <w:rsid w:val="005746BF"/>
    <w:rsid w:val="005747EE"/>
    <w:rsid w:val="00574C86"/>
    <w:rsid w:val="005750C6"/>
    <w:rsid w:val="005752F2"/>
    <w:rsid w:val="005756A3"/>
    <w:rsid w:val="0057575F"/>
    <w:rsid w:val="00575D71"/>
    <w:rsid w:val="00575E56"/>
    <w:rsid w:val="00575EF2"/>
    <w:rsid w:val="00576065"/>
    <w:rsid w:val="0057635A"/>
    <w:rsid w:val="00576535"/>
    <w:rsid w:val="005769D4"/>
    <w:rsid w:val="00576BF4"/>
    <w:rsid w:val="00576CC0"/>
    <w:rsid w:val="0057713E"/>
    <w:rsid w:val="005779A7"/>
    <w:rsid w:val="00577B21"/>
    <w:rsid w:val="00577B9A"/>
    <w:rsid w:val="00577D21"/>
    <w:rsid w:val="00577ED5"/>
    <w:rsid w:val="00577F2B"/>
    <w:rsid w:val="00580701"/>
    <w:rsid w:val="00580EA0"/>
    <w:rsid w:val="00581232"/>
    <w:rsid w:val="0058134C"/>
    <w:rsid w:val="0058150C"/>
    <w:rsid w:val="00581698"/>
    <w:rsid w:val="00581723"/>
    <w:rsid w:val="00581837"/>
    <w:rsid w:val="005819AA"/>
    <w:rsid w:val="00581B94"/>
    <w:rsid w:val="00581BF7"/>
    <w:rsid w:val="00581E6D"/>
    <w:rsid w:val="005824F4"/>
    <w:rsid w:val="00582505"/>
    <w:rsid w:val="00582C3C"/>
    <w:rsid w:val="00582CD2"/>
    <w:rsid w:val="00582D57"/>
    <w:rsid w:val="005852EA"/>
    <w:rsid w:val="00585471"/>
    <w:rsid w:val="0058587D"/>
    <w:rsid w:val="00585C00"/>
    <w:rsid w:val="005860EF"/>
    <w:rsid w:val="0058695B"/>
    <w:rsid w:val="00586BFA"/>
    <w:rsid w:val="005873FE"/>
    <w:rsid w:val="005877BB"/>
    <w:rsid w:val="00587A3D"/>
    <w:rsid w:val="00587B55"/>
    <w:rsid w:val="00587B68"/>
    <w:rsid w:val="00587E94"/>
    <w:rsid w:val="0059006C"/>
    <w:rsid w:val="00590AEC"/>
    <w:rsid w:val="00590B53"/>
    <w:rsid w:val="00590E2E"/>
    <w:rsid w:val="0059129E"/>
    <w:rsid w:val="00591447"/>
    <w:rsid w:val="00591A9F"/>
    <w:rsid w:val="00591D4B"/>
    <w:rsid w:val="00591DAA"/>
    <w:rsid w:val="005923EC"/>
    <w:rsid w:val="0059298A"/>
    <w:rsid w:val="00592DE1"/>
    <w:rsid w:val="0059396E"/>
    <w:rsid w:val="00593D4D"/>
    <w:rsid w:val="00594434"/>
    <w:rsid w:val="005951F8"/>
    <w:rsid w:val="00595523"/>
    <w:rsid w:val="005955DE"/>
    <w:rsid w:val="00595E31"/>
    <w:rsid w:val="00595FEE"/>
    <w:rsid w:val="0059606F"/>
    <w:rsid w:val="0059627B"/>
    <w:rsid w:val="00597855"/>
    <w:rsid w:val="00597B33"/>
    <w:rsid w:val="005A03A2"/>
    <w:rsid w:val="005A07F5"/>
    <w:rsid w:val="005A09DE"/>
    <w:rsid w:val="005A0BE3"/>
    <w:rsid w:val="005A0D44"/>
    <w:rsid w:val="005A14EC"/>
    <w:rsid w:val="005A1B5F"/>
    <w:rsid w:val="005A3103"/>
    <w:rsid w:val="005A31B8"/>
    <w:rsid w:val="005A326D"/>
    <w:rsid w:val="005A336C"/>
    <w:rsid w:val="005A3D66"/>
    <w:rsid w:val="005A3F26"/>
    <w:rsid w:val="005A40DB"/>
    <w:rsid w:val="005A40F1"/>
    <w:rsid w:val="005A45A8"/>
    <w:rsid w:val="005A5254"/>
    <w:rsid w:val="005A5911"/>
    <w:rsid w:val="005A5D82"/>
    <w:rsid w:val="005A62EB"/>
    <w:rsid w:val="005A69FB"/>
    <w:rsid w:val="005A6BBA"/>
    <w:rsid w:val="005A7010"/>
    <w:rsid w:val="005A726D"/>
    <w:rsid w:val="005A729D"/>
    <w:rsid w:val="005A7519"/>
    <w:rsid w:val="005A77C0"/>
    <w:rsid w:val="005A79BF"/>
    <w:rsid w:val="005A7C18"/>
    <w:rsid w:val="005A7ED8"/>
    <w:rsid w:val="005B0098"/>
    <w:rsid w:val="005B00A9"/>
    <w:rsid w:val="005B03A8"/>
    <w:rsid w:val="005B0B55"/>
    <w:rsid w:val="005B0D13"/>
    <w:rsid w:val="005B0DCD"/>
    <w:rsid w:val="005B0EFC"/>
    <w:rsid w:val="005B0FF1"/>
    <w:rsid w:val="005B1469"/>
    <w:rsid w:val="005B1973"/>
    <w:rsid w:val="005B2350"/>
    <w:rsid w:val="005B25A3"/>
    <w:rsid w:val="005B2C49"/>
    <w:rsid w:val="005B2F7E"/>
    <w:rsid w:val="005B35EE"/>
    <w:rsid w:val="005B3712"/>
    <w:rsid w:val="005B4480"/>
    <w:rsid w:val="005B48D8"/>
    <w:rsid w:val="005B57B6"/>
    <w:rsid w:val="005B5952"/>
    <w:rsid w:val="005B5D4C"/>
    <w:rsid w:val="005B5E6E"/>
    <w:rsid w:val="005B60E7"/>
    <w:rsid w:val="005B615F"/>
    <w:rsid w:val="005B639D"/>
    <w:rsid w:val="005B6B1C"/>
    <w:rsid w:val="005B6FE7"/>
    <w:rsid w:val="005B70A5"/>
    <w:rsid w:val="005B73D8"/>
    <w:rsid w:val="005B78B5"/>
    <w:rsid w:val="005B7FAE"/>
    <w:rsid w:val="005C03AB"/>
    <w:rsid w:val="005C0606"/>
    <w:rsid w:val="005C06ED"/>
    <w:rsid w:val="005C08BA"/>
    <w:rsid w:val="005C0BBF"/>
    <w:rsid w:val="005C0D0F"/>
    <w:rsid w:val="005C14BA"/>
    <w:rsid w:val="005C15A9"/>
    <w:rsid w:val="005C213B"/>
    <w:rsid w:val="005C23DC"/>
    <w:rsid w:val="005C2AEA"/>
    <w:rsid w:val="005C2F15"/>
    <w:rsid w:val="005C335D"/>
    <w:rsid w:val="005C34C1"/>
    <w:rsid w:val="005C37DF"/>
    <w:rsid w:val="005C39F6"/>
    <w:rsid w:val="005C3A9C"/>
    <w:rsid w:val="005C44D9"/>
    <w:rsid w:val="005C45BE"/>
    <w:rsid w:val="005C4F5D"/>
    <w:rsid w:val="005C562A"/>
    <w:rsid w:val="005C57F0"/>
    <w:rsid w:val="005C591F"/>
    <w:rsid w:val="005C5CA4"/>
    <w:rsid w:val="005C61F7"/>
    <w:rsid w:val="005C655A"/>
    <w:rsid w:val="005C6653"/>
    <w:rsid w:val="005C749F"/>
    <w:rsid w:val="005C7D24"/>
    <w:rsid w:val="005C7E0D"/>
    <w:rsid w:val="005D03F5"/>
    <w:rsid w:val="005D042F"/>
    <w:rsid w:val="005D0646"/>
    <w:rsid w:val="005D0F33"/>
    <w:rsid w:val="005D14A9"/>
    <w:rsid w:val="005D1919"/>
    <w:rsid w:val="005D1A93"/>
    <w:rsid w:val="005D1E7B"/>
    <w:rsid w:val="005D2E7F"/>
    <w:rsid w:val="005D2F95"/>
    <w:rsid w:val="005D3129"/>
    <w:rsid w:val="005D326E"/>
    <w:rsid w:val="005D32A1"/>
    <w:rsid w:val="005D3704"/>
    <w:rsid w:val="005D3D4C"/>
    <w:rsid w:val="005D41C4"/>
    <w:rsid w:val="005D4473"/>
    <w:rsid w:val="005D4820"/>
    <w:rsid w:val="005D49EA"/>
    <w:rsid w:val="005D4C98"/>
    <w:rsid w:val="005D5DBA"/>
    <w:rsid w:val="005D61E2"/>
    <w:rsid w:val="005D64E3"/>
    <w:rsid w:val="005D6797"/>
    <w:rsid w:val="005D67E5"/>
    <w:rsid w:val="005D6BBC"/>
    <w:rsid w:val="005D7853"/>
    <w:rsid w:val="005D799B"/>
    <w:rsid w:val="005E0074"/>
    <w:rsid w:val="005E05D8"/>
    <w:rsid w:val="005E0B74"/>
    <w:rsid w:val="005E1683"/>
    <w:rsid w:val="005E17FC"/>
    <w:rsid w:val="005E18F8"/>
    <w:rsid w:val="005E2608"/>
    <w:rsid w:val="005E2CEA"/>
    <w:rsid w:val="005E3082"/>
    <w:rsid w:val="005E39A2"/>
    <w:rsid w:val="005E3FEC"/>
    <w:rsid w:val="005E414B"/>
    <w:rsid w:val="005E489F"/>
    <w:rsid w:val="005E4A25"/>
    <w:rsid w:val="005E5C4F"/>
    <w:rsid w:val="005E5F52"/>
    <w:rsid w:val="005E5FBC"/>
    <w:rsid w:val="005E658C"/>
    <w:rsid w:val="005E684E"/>
    <w:rsid w:val="005E697A"/>
    <w:rsid w:val="005E6D14"/>
    <w:rsid w:val="005E70A0"/>
    <w:rsid w:val="005E7D00"/>
    <w:rsid w:val="005F077C"/>
    <w:rsid w:val="005F0AF0"/>
    <w:rsid w:val="005F0CB5"/>
    <w:rsid w:val="005F0D36"/>
    <w:rsid w:val="005F0F0A"/>
    <w:rsid w:val="005F13C7"/>
    <w:rsid w:val="005F13F2"/>
    <w:rsid w:val="005F1D7B"/>
    <w:rsid w:val="005F275F"/>
    <w:rsid w:val="005F2C1A"/>
    <w:rsid w:val="005F32D2"/>
    <w:rsid w:val="005F34C3"/>
    <w:rsid w:val="005F3635"/>
    <w:rsid w:val="005F3647"/>
    <w:rsid w:val="005F39E1"/>
    <w:rsid w:val="005F3ACA"/>
    <w:rsid w:val="005F4174"/>
    <w:rsid w:val="005F41FC"/>
    <w:rsid w:val="005F43CA"/>
    <w:rsid w:val="005F4C4F"/>
    <w:rsid w:val="005F4DA8"/>
    <w:rsid w:val="005F572E"/>
    <w:rsid w:val="005F62EA"/>
    <w:rsid w:val="005F6463"/>
    <w:rsid w:val="005F6860"/>
    <w:rsid w:val="005F6989"/>
    <w:rsid w:val="005F6C28"/>
    <w:rsid w:val="005F7F33"/>
    <w:rsid w:val="0060000C"/>
    <w:rsid w:val="00600461"/>
    <w:rsid w:val="00600888"/>
    <w:rsid w:val="00600F3E"/>
    <w:rsid w:val="0060140E"/>
    <w:rsid w:val="0060168D"/>
    <w:rsid w:val="006018D6"/>
    <w:rsid w:val="006019E4"/>
    <w:rsid w:val="00601EFD"/>
    <w:rsid w:val="00601F02"/>
    <w:rsid w:val="00602565"/>
    <w:rsid w:val="00602CB2"/>
    <w:rsid w:val="00603079"/>
    <w:rsid w:val="00603FA2"/>
    <w:rsid w:val="006044D8"/>
    <w:rsid w:val="006046FD"/>
    <w:rsid w:val="00604B40"/>
    <w:rsid w:val="00604C21"/>
    <w:rsid w:val="00605363"/>
    <w:rsid w:val="00605DE7"/>
    <w:rsid w:val="00606067"/>
    <w:rsid w:val="0060618E"/>
    <w:rsid w:val="006067CB"/>
    <w:rsid w:val="00607798"/>
    <w:rsid w:val="00610589"/>
    <w:rsid w:val="00610DAF"/>
    <w:rsid w:val="006113D6"/>
    <w:rsid w:val="0061166E"/>
    <w:rsid w:val="006117AC"/>
    <w:rsid w:val="006125E4"/>
    <w:rsid w:val="0061297E"/>
    <w:rsid w:val="00612DE1"/>
    <w:rsid w:val="0061302E"/>
    <w:rsid w:val="00613035"/>
    <w:rsid w:val="0061308B"/>
    <w:rsid w:val="00614E46"/>
    <w:rsid w:val="00615380"/>
    <w:rsid w:val="006153FD"/>
    <w:rsid w:val="006154E6"/>
    <w:rsid w:val="00615728"/>
    <w:rsid w:val="00616289"/>
    <w:rsid w:val="0061693D"/>
    <w:rsid w:val="00616BCD"/>
    <w:rsid w:val="00616FAE"/>
    <w:rsid w:val="0061745A"/>
    <w:rsid w:val="006177C7"/>
    <w:rsid w:val="00617A00"/>
    <w:rsid w:val="00617CF4"/>
    <w:rsid w:val="00620061"/>
    <w:rsid w:val="006201CC"/>
    <w:rsid w:val="0062097B"/>
    <w:rsid w:val="006209E0"/>
    <w:rsid w:val="00620C85"/>
    <w:rsid w:val="00621094"/>
    <w:rsid w:val="006210BD"/>
    <w:rsid w:val="0062162B"/>
    <w:rsid w:val="00621D0B"/>
    <w:rsid w:val="00622D3D"/>
    <w:rsid w:val="00623011"/>
    <w:rsid w:val="006240C5"/>
    <w:rsid w:val="00624DEE"/>
    <w:rsid w:val="00624DFB"/>
    <w:rsid w:val="0062503F"/>
    <w:rsid w:val="006252AA"/>
    <w:rsid w:val="00625510"/>
    <w:rsid w:val="00625787"/>
    <w:rsid w:val="00625B93"/>
    <w:rsid w:val="00625C19"/>
    <w:rsid w:val="00626990"/>
    <w:rsid w:val="00626C99"/>
    <w:rsid w:val="00626EF1"/>
    <w:rsid w:val="006271E9"/>
    <w:rsid w:val="0062744E"/>
    <w:rsid w:val="0062750F"/>
    <w:rsid w:val="006275D6"/>
    <w:rsid w:val="00627EB4"/>
    <w:rsid w:val="0063087A"/>
    <w:rsid w:val="00630E84"/>
    <w:rsid w:val="00631565"/>
    <w:rsid w:val="00631905"/>
    <w:rsid w:val="00631AEA"/>
    <w:rsid w:val="00631BE8"/>
    <w:rsid w:val="00631DF5"/>
    <w:rsid w:val="006328CA"/>
    <w:rsid w:val="0063312A"/>
    <w:rsid w:val="006343C3"/>
    <w:rsid w:val="006347DE"/>
    <w:rsid w:val="00634827"/>
    <w:rsid w:val="006348F2"/>
    <w:rsid w:val="00634B6C"/>
    <w:rsid w:val="00634DFF"/>
    <w:rsid w:val="00634F45"/>
    <w:rsid w:val="006351DA"/>
    <w:rsid w:val="00635AF3"/>
    <w:rsid w:val="006369DD"/>
    <w:rsid w:val="00636DA8"/>
    <w:rsid w:val="00637075"/>
    <w:rsid w:val="00637522"/>
    <w:rsid w:val="00637661"/>
    <w:rsid w:val="00640083"/>
    <w:rsid w:val="006401B7"/>
    <w:rsid w:val="0064047B"/>
    <w:rsid w:val="0064060B"/>
    <w:rsid w:val="006408CD"/>
    <w:rsid w:val="00640D02"/>
    <w:rsid w:val="00641031"/>
    <w:rsid w:val="0064113B"/>
    <w:rsid w:val="006413BE"/>
    <w:rsid w:val="00641431"/>
    <w:rsid w:val="006419C1"/>
    <w:rsid w:val="00641B92"/>
    <w:rsid w:val="00642C55"/>
    <w:rsid w:val="0064310E"/>
    <w:rsid w:val="00643C4A"/>
    <w:rsid w:val="00643E8E"/>
    <w:rsid w:val="00644222"/>
    <w:rsid w:val="006442CD"/>
    <w:rsid w:val="006442E8"/>
    <w:rsid w:val="00644347"/>
    <w:rsid w:val="00644E66"/>
    <w:rsid w:val="00645474"/>
    <w:rsid w:val="00645896"/>
    <w:rsid w:val="00645B3B"/>
    <w:rsid w:val="00646132"/>
    <w:rsid w:val="00646410"/>
    <w:rsid w:val="00646858"/>
    <w:rsid w:val="00646A37"/>
    <w:rsid w:val="00646BC7"/>
    <w:rsid w:val="0064718F"/>
    <w:rsid w:val="006474D4"/>
    <w:rsid w:val="00647AC2"/>
    <w:rsid w:val="00647E5F"/>
    <w:rsid w:val="00647F7F"/>
    <w:rsid w:val="006504C6"/>
    <w:rsid w:val="0065099E"/>
    <w:rsid w:val="00650A69"/>
    <w:rsid w:val="0065125B"/>
    <w:rsid w:val="00652A22"/>
    <w:rsid w:val="00652E6A"/>
    <w:rsid w:val="00652EDA"/>
    <w:rsid w:val="0065301F"/>
    <w:rsid w:val="00653090"/>
    <w:rsid w:val="0065350E"/>
    <w:rsid w:val="006536A9"/>
    <w:rsid w:val="00653734"/>
    <w:rsid w:val="006537A4"/>
    <w:rsid w:val="006538C9"/>
    <w:rsid w:val="00654ACB"/>
    <w:rsid w:val="006554C2"/>
    <w:rsid w:val="00655526"/>
    <w:rsid w:val="00655F27"/>
    <w:rsid w:val="00656A5A"/>
    <w:rsid w:val="006574B5"/>
    <w:rsid w:val="00657E96"/>
    <w:rsid w:val="006600E0"/>
    <w:rsid w:val="0066019A"/>
    <w:rsid w:val="00660337"/>
    <w:rsid w:val="006610F4"/>
    <w:rsid w:val="0066183B"/>
    <w:rsid w:val="00661957"/>
    <w:rsid w:val="00661A9F"/>
    <w:rsid w:val="00661AB1"/>
    <w:rsid w:val="00661DF3"/>
    <w:rsid w:val="0066259D"/>
    <w:rsid w:val="006639E0"/>
    <w:rsid w:val="00663D21"/>
    <w:rsid w:val="00663F6C"/>
    <w:rsid w:val="00664859"/>
    <w:rsid w:val="00664DAA"/>
    <w:rsid w:val="006651EC"/>
    <w:rsid w:val="00665230"/>
    <w:rsid w:val="006654B2"/>
    <w:rsid w:val="006656B0"/>
    <w:rsid w:val="006657CD"/>
    <w:rsid w:val="00665B10"/>
    <w:rsid w:val="00665CC0"/>
    <w:rsid w:val="00665CCA"/>
    <w:rsid w:val="00666599"/>
    <w:rsid w:val="00667227"/>
    <w:rsid w:val="006672D1"/>
    <w:rsid w:val="00667379"/>
    <w:rsid w:val="00667D6C"/>
    <w:rsid w:val="00670090"/>
    <w:rsid w:val="006702FD"/>
    <w:rsid w:val="00670544"/>
    <w:rsid w:val="0067056F"/>
    <w:rsid w:val="0067062A"/>
    <w:rsid w:val="00670709"/>
    <w:rsid w:val="00670737"/>
    <w:rsid w:val="00671D0E"/>
    <w:rsid w:val="00672788"/>
    <w:rsid w:val="00672B00"/>
    <w:rsid w:val="00672B2E"/>
    <w:rsid w:val="0067388D"/>
    <w:rsid w:val="006740C1"/>
    <w:rsid w:val="00674C4A"/>
    <w:rsid w:val="006755B2"/>
    <w:rsid w:val="00675986"/>
    <w:rsid w:val="00675A4C"/>
    <w:rsid w:val="00675B06"/>
    <w:rsid w:val="00675C87"/>
    <w:rsid w:val="00675E9C"/>
    <w:rsid w:val="0067631A"/>
    <w:rsid w:val="006763FB"/>
    <w:rsid w:val="00676B0C"/>
    <w:rsid w:val="00676F88"/>
    <w:rsid w:val="006775BF"/>
    <w:rsid w:val="00680EFA"/>
    <w:rsid w:val="0068123C"/>
    <w:rsid w:val="00681271"/>
    <w:rsid w:val="006817AF"/>
    <w:rsid w:val="006817DD"/>
    <w:rsid w:val="00681C05"/>
    <w:rsid w:val="006823C8"/>
    <w:rsid w:val="00682941"/>
    <w:rsid w:val="00683344"/>
    <w:rsid w:val="00683377"/>
    <w:rsid w:val="00683992"/>
    <w:rsid w:val="0068433D"/>
    <w:rsid w:val="006849CC"/>
    <w:rsid w:val="0068544B"/>
    <w:rsid w:val="006856A8"/>
    <w:rsid w:val="00685877"/>
    <w:rsid w:val="006865D4"/>
    <w:rsid w:val="00686E4C"/>
    <w:rsid w:val="00687068"/>
    <w:rsid w:val="006870A0"/>
    <w:rsid w:val="00687529"/>
    <w:rsid w:val="006876A3"/>
    <w:rsid w:val="00687AE5"/>
    <w:rsid w:val="00687B8C"/>
    <w:rsid w:val="00690056"/>
    <w:rsid w:val="006906FE"/>
    <w:rsid w:val="0069097E"/>
    <w:rsid w:val="00690B26"/>
    <w:rsid w:val="00690FBF"/>
    <w:rsid w:val="00691439"/>
    <w:rsid w:val="00691875"/>
    <w:rsid w:val="006919F2"/>
    <w:rsid w:val="006922F1"/>
    <w:rsid w:val="006925DA"/>
    <w:rsid w:val="00692875"/>
    <w:rsid w:val="00692911"/>
    <w:rsid w:val="0069294C"/>
    <w:rsid w:val="00693040"/>
    <w:rsid w:val="00694157"/>
    <w:rsid w:val="00694C0D"/>
    <w:rsid w:val="00694D04"/>
    <w:rsid w:val="00695052"/>
    <w:rsid w:val="00695970"/>
    <w:rsid w:val="00695E0A"/>
    <w:rsid w:val="00696AB3"/>
    <w:rsid w:val="00696DE6"/>
    <w:rsid w:val="006977F7"/>
    <w:rsid w:val="006A017B"/>
    <w:rsid w:val="006A06FB"/>
    <w:rsid w:val="006A0857"/>
    <w:rsid w:val="006A0A72"/>
    <w:rsid w:val="006A0DFB"/>
    <w:rsid w:val="006A12BA"/>
    <w:rsid w:val="006A189A"/>
    <w:rsid w:val="006A1E55"/>
    <w:rsid w:val="006A1FE4"/>
    <w:rsid w:val="006A225A"/>
    <w:rsid w:val="006A2C31"/>
    <w:rsid w:val="006A2CFE"/>
    <w:rsid w:val="006A3764"/>
    <w:rsid w:val="006A3AFA"/>
    <w:rsid w:val="006A3FA8"/>
    <w:rsid w:val="006A4227"/>
    <w:rsid w:val="006A4616"/>
    <w:rsid w:val="006A492D"/>
    <w:rsid w:val="006A4BEB"/>
    <w:rsid w:val="006A4FD6"/>
    <w:rsid w:val="006A5746"/>
    <w:rsid w:val="006A5D90"/>
    <w:rsid w:val="006A5E52"/>
    <w:rsid w:val="006A659F"/>
    <w:rsid w:val="006A661B"/>
    <w:rsid w:val="006A661D"/>
    <w:rsid w:val="006A6EFB"/>
    <w:rsid w:val="006A7065"/>
    <w:rsid w:val="006A7292"/>
    <w:rsid w:val="006A7506"/>
    <w:rsid w:val="006A76B9"/>
    <w:rsid w:val="006B01DF"/>
    <w:rsid w:val="006B01EB"/>
    <w:rsid w:val="006B0488"/>
    <w:rsid w:val="006B0C51"/>
    <w:rsid w:val="006B106E"/>
    <w:rsid w:val="006B112E"/>
    <w:rsid w:val="006B155A"/>
    <w:rsid w:val="006B1671"/>
    <w:rsid w:val="006B1F0F"/>
    <w:rsid w:val="006B2212"/>
    <w:rsid w:val="006B2244"/>
    <w:rsid w:val="006B2367"/>
    <w:rsid w:val="006B289C"/>
    <w:rsid w:val="006B28E5"/>
    <w:rsid w:val="006B30DE"/>
    <w:rsid w:val="006B6238"/>
    <w:rsid w:val="006B6517"/>
    <w:rsid w:val="006B7097"/>
    <w:rsid w:val="006B7181"/>
    <w:rsid w:val="006B7FC4"/>
    <w:rsid w:val="006C0606"/>
    <w:rsid w:val="006C1163"/>
    <w:rsid w:val="006C1B7B"/>
    <w:rsid w:val="006C26EA"/>
    <w:rsid w:val="006C36EE"/>
    <w:rsid w:val="006C3B76"/>
    <w:rsid w:val="006C3DEC"/>
    <w:rsid w:val="006C4293"/>
    <w:rsid w:val="006C4AB2"/>
    <w:rsid w:val="006C4F5B"/>
    <w:rsid w:val="006C50F0"/>
    <w:rsid w:val="006C5415"/>
    <w:rsid w:val="006C570B"/>
    <w:rsid w:val="006C5E98"/>
    <w:rsid w:val="006C66E6"/>
    <w:rsid w:val="006C689F"/>
    <w:rsid w:val="006C6A0D"/>
    <w:rsid w:val="006C77BF"/>
    <w:rsid w:val="006D06DA"/>
    <w:rsid w:val="006D0856"/>
    <w:rsid w:val="006D0B83"/>
    <w:rsid w:val="006D0C44"/>
    <w:rsid w:val="006D20E4"/>
    <w:rsid w:val="006D285F"/>
    <w:rsid w:val="006D2DBD"/>
    <w:rsid w:val="006D3BE1"/>
    <w:rsid w:val="006D3EF5"/>
    <w:rsid w:val="006D4549"/>
    <w:rsid w:val="006D482C"/>
    <w:rsid w:val="006D4ACF"/>
    <w:rsid w:val="006D51CE"/>
    <w:rsid w:val="006D5FE8"/>
    <w:rsid w:val="006D6193"/>
    <w:rsid w:val="006D61B3"/>
    <w:rsid w:val="006D6370"/>
    <w:rsid w:val="006D65C9"/>
    <w:rsid w:val="006D6E4E"/>
    <w:rsid w:val="006E0674"/>
    <w:rsid w:val="006E07AA"/>
    <w:rsid w:val="006E0A87"/>
    <w:rsid w:val="006E0A97"/>
    <w:rsid w:val="006E0B20"/>
    <w:rsid w:val="006E1BAE"/>
    <w:rsid w:val="006E240F"/>
    <w:rsid w:val="006E268A"/>
    <w:rsid w:val="006E2A10"/>
    <w:rsid w:val="006E39C4"/>
    <w:rsid w:val="006E3EFA"/>
    <w:rsid w:val="006E42DD"/>
    <w:rsid w:val="006E4569"/>
    <w:rsid w:val="006E4A45"/>
    <w:rsid w:val="006E4B96"/>
    <w:rsid w:val="006E4C41"/>
    <w:rsid w:val="006E4DBE"/>
    <w:rsid w:val="006E5264"/>
    <w:rsid w:val="006E5608"/>
    <w:rsid w:val="006E5615"/>
    <w:rsid w:val="006E5809"/>
    <w:rsid w:val="006E599D"/>
    <w:rsid w:val="006E5B93"/>
    <w:rsid w:val="006E5E97"/>
    <w:rsid w:val="006E5F27"/>
    <w:rsid w:val="006E64DD"/>
    <w:rsid w:val="006E6ABC"/>
    <w:rsid w:val="006E72FC"/>
    <w:rsid w:val="006E7972"/>
    <w:rsid w:val="006E7D28"/>
    <w:rsid w:val="006F05B0"/>
    <w:rsid w:val="006F0658"/>
    <w:rsid w:val="006F11ED"/>
    <w:rsid w:val="006F1439"/>
    <w:rsid w:val="006F153A"/>
    <w:rsid w:val="006F155C"/>
    <w:rsid w:val="006F17A5"/>
    <w:rsid w:val="006F1B39"/>
    <w:rsid w:val="006F1C24"/>
    <w:rsid w:val="006F25D3"/>
    <w:rsid w:val="006F2DAA"/>
    <w:rsid w:val="006F2F74"/>
    <w:rsid w:val="006F38F7"/>
    <w:rsid w:val="006F41F3"/>
    <w:rsid w:val="006F4385"/>
    <w:rsid w:val="006F4648"/>
    <w:rsid w:val="006F5026"/>
    <w:rsid w:val="006F5FDC"/>
    <w:rsid w:val="006F6392"/>
    <w:rsid w:val="006F6FC0"/>
    <w:rsid w:val="006F71E4"/>
    <w:rsid w:val="006F7CC1"/>
    <w:rsid w:val="00700D8C"/>
    <w:rsid w:val="007013EC"/>
    <w:rsid w:val="00701458"/>
    <w:rsid w:val="007019BF"/>
    <w:rsid w:val="00701E1F"/>
    <w:rsid w:val="007023A1"/>
    <w:rsid w:val="007026F4"/>
    <w:rsid w:val="00702E0F"/>
    <w:rsid w:val="00703074"/>
    <w:rsid w:val="0070355C"/>
    <w:rsid w:val="00703B47"/>
    <w:rsid w:val="00704097"/>
    <w:rsid w:val="0070434A"/>
    <w:rsid w:val="0070447A"/>
    <w:rsid w:val="00704683"/>
    <w:rsid w:val="00704DF6"/>
    <w:rsid w:val="00704EA5"/>
    <w:rsid w:val="00705335"/>
    <w:rsid w:val="007054F0"/>
    <w:rsid w:val="00705826"/>
    <w:rsid w:val="0070586F"/>
    <w:rsid w:val="0070601E"/>
    <w:rsid w:val="0070618C"/>
    <w:rsid w:val="00706700"/>
    <w:rsid w:val="00707100"/>
    <w:rsid w:val="007071CC"/>
    <w:rsid w:val="00707778"/>
    <w:rsid w:val="00707A78"/>
    <w:rsid w:val="00707F38"/>
    <w:rsid w:val="0071027C"/>
    <w:rsid w:val="00711099"/>
    <w:rsid w:val="007118A2"/>
    <w:rsid w:val="00711A4F"/>
    <w:rsid w:val="007120FB"/>
    <w:rsid w:val="0071256F"/>
    <w:rsid w:val="00712761"/>
    <w:rsid w:val="00712CCD"/>
    <w:rsid w:val="0071303F"/>
    <w:rsid w:val="007136DA"/>
    <w:rsid w:val="007136EF"/>
    <w:rsid w:val="00714014"/>
    <w:rsid w:val="00714018"/>
    <w:rsid w:val="00714A80"/>
    <w:rsid w:val="00714D55"/>
    <w:rsid w:val="00714EE7"/>
    <w:rsid w:val="0071590C"/>
    <w:rsid w:val="00715A9F"/>
    <w:rsid w:val="00715E31"/>
    <w:rsid w:val="00716032"/>
    <w:rsid w:val="0071644E"/>
    <w:rsid w:val="00716704"/>
    <w:rsid w:val="007168CD"/>
    <w:rsid w:val="00716C36"/>
    <w:rsid w:val="00716EE0"/>
    <w:rsid w:val="00717BCD"/>
    <w:rsid w:val="00720125"/>
    <w:rsid w:val="00720597"/>
    <w:rsid w:val="0072060E"/>
    <w:rsid w:val="007209D8"/>
    <w:rsid w:val="00720F34"/>
    <w:rsid w:val="00721976"/>
    <w:rsid w:val="00721D2F"/>
    <w:rsid w:val="007227DC"/>
    <w:rsid w:val="00722BDC"/>
    <w:rsid w:val="00722C22"/>
    <w:rsid w:val="007238C3"/>
    <w:rsid w:val="00723A87"/>
    <w:rsid w:val="00723AEE"/>
    <w:rsid w:val="00724329"/>
    <w:rsid w:val="00725A73"/>
    <w:rsid w:val="00725EC6"/>
    <w:rsid w:val="0072614D"/>
    <w:rsid w:val="00726854"/>
    <w:rsid w:val="00727652"/>
    <w:rsid w:val="00727B60"/>
    <w:rsid w:val="00727D24"/>
    <w:rsid w:val="007301FC"/>
    <w:rsid w:val="00730AD8"/>
    <w:rsid w:val="00730D72"/>
    <w:rsid w:val="00731131"/>
    <w:rsid w:val="0073118D"/>
    <w:rsid w:val="007312C0"/>
    <w:rsid w:val="00731842"/>
    <w:rsid w:val="00732162"/>
    <w:rsid w:val="00732510"/>
    <w:rsid w:val="0073290D"/>
    <w:rsid w:val="00732B0C"/>
    <w:rsid w:val="0073394A"/>
    <w:rsid w:val="007339FF"/>
    <w:rsid w:val="00733F8E"/>
    <w:rsid w:val="0073401D"/>
    <w:rsid w:val="007342AE"/>
    <w:rsid w:val="0073572B"/>
    <w:rsid w:val="00735F9E"/>
    <w:rsid w:val="007360CB"/>
    <w:rsid w:val="0073688C"/>
    <w:rsid w:val="0073690D"/>
    <w:rsid w:val="00740826"/>
    <w:rsid w:val="00740BD5"/>
    <w:rsid w:val="00740E28"/>
    <w:rsid w:val="00741134"/>
    <w:rsid w:val="00741215"/>
    <w:rsid w:val="0074167C"/>
    <w:rsid w:val="00741C4E"/>
    <w:rsid w:val="00741D41"/>
    <w:rsid w:val="00741DFE"/>
    <w:rsid w:val="00741F87"/>
    <w:rsid w:val="007423ED"/>
    <w:rsid w:val="007429AD"/>
    <w:rsid w:val="0074334E"/>
    <w:rsid w:val="00743390"/>
    <w:rsid w:val="007435E7"/>
    <w:rsid w:val="007436BD"/>
    <w:rsid w:val="00743CB4"/>
    <w:rsid w:val="00743F1C"/>
    <w:rsid w:val="007440A5"/>
    <w:rsid w:val="0074410D"/>
    <w:rsid w:val="00744144"/>
    <w:rsid w:val="007441DF"/>
    <w:rsid w:val="00744272"/>
    <w:rsid w:val="00744653"/>
    <w:rsid w:val="00744A05"/>
    <w:rsid w:val="00744B30"/>
    <w:rsid w:val="00744B72"/>
    <w:rsid w:val="00744D22"/>
    <w:rsid w:val="00744E4F"/>
    <w:rsid w:val="007456C9"/>
    <w:rsid w:val="007456DE"/>
    <w:rsid w:val="00746229"/>
    <w:rsid w:val="0074688C"/>
    <w:rsid w:val="00746E04"/>
    <w:rsid w:val="00746E9F"/>
    <w:rsid w:val="00746F8F"/>
    <w:rsid w:val="00747290"/>
    <w:rsid w:val="007475FF"/>
    <w:rsid w:val="007477BA"/>
    <w:rsid w:val="00747D5C"/>
    <w:rsid w:val="00750F6D"/>
    <w:rsid w:val="00751177"/>
    <w:rsid w:val="007516EB"/>
    <w:rsid w:val="007518F4"/>
    <w:rsid w:val="00752DFA"/>
    <w:rsid w:val="00753C8D"/>
    <w:rsid w:val="00753D1A"/>
    <w:rsid w:val="00753F47"/>
    <w:rsid w:val="0075431D"/>
    <w:rsid w:val="00754414"/>
    <w:rsid w:val="00754585"/>
    <w:rsid w:val="00755377"/>
    <w:rsid w:val="0075542A"/>
    <w:rsid w:val="00755CFE"/>
    <w:rsid w:val="00755EB0"/>
    <w:rsid w:val="00757D55"/>
    <w:rsid w:val="007605B9"/>
    <w:rsid w:val="007606AC"/>
    <w:rsid w:val="007609B5"/>
    <w:rsid w:val="00760D66"/>
    <w:rsid w:val="00760F27"/>
    <w:rsid w:val="0076166F"/>
    <w:rsid w:val="00761A32"/>
    <w:rsid w:val="00761AB1"/>
    <w:rsid w:val="00761C1D"/>
    <w:rsid w:val="0076214D"/>
    <w:rsid w:val="00762B38"/>
    <w:rsid w:val="00762D2F"/>
    <w:rsid w:val="007630CB"/>
    <w:rsid w:val="00763254"/>
    <w:rsid w:val="007637D1"/>
    <w:rsid w:val="0076381F"/>
    <w:rsid w:val="007639B7"/>
    <w:rsid w:val="00763BE7"/>
    <w:rsid w:val="00763D44"/>
    <w:rsid w:val="00765317"/>
    <w:rsid w:val="0076543B"/>
    <w:rsid w:val="00765472"/>
    <w:rsid w:val="00765764"/>
    <w:rsid w:val="007661C9"/>
    <w:rsid w:val="00766930"/>
    <w:rsid w:val="00766FDF"/>
    <w:rsid w:val="00767405"/>
    <w:rsid w:val="00767730"/>
    <w:rsid w:val="00767A9F"/>
    <w:rsid w:val="0077090F"/>
    <w:rsid w:val="00770E54"/>
    <w:rsid w:val="00770EC3"/>
    <w:rsid w:val="00770EE7"/>
    <w:rsid w:val="00771BAF"/>
    <w:rsid w:val="007722D9"/>
    <w:rsid w:val="00772345"/>
    <w:rsid w:val="00772E20"/>
    <w:rsid w:val="00773382"/>
    <w:rsid w:val="00773452"/>
    <w:rsid w:val="00773E53"/>
    <w:rsid w:val="00774757"/>
    <w:rsid w:val="0077488E"/>
    <w:rsid w:val="0077491A"/>
    <w:rsid w:val="007764EB"/>
    <w:rsid w:val="007767FC"/>
    <w:rsid w:val="0077680C"/>
    <w:rsid w:val="0077687C"/>
    <w:rsid w:val="007771D6"/>
    <w:rsid w:val="00777277"/>
    <w:rsid w:val="007806A9"/>
    <w:rsid w:val="0078076E"/>
    <w:rsid w:val="007809B1"/>
    <w:rsid w:val="00780C5F"/>
    <w:rsid w:val="00780F18"/>
    <w:rsid w:val="00780F58"/>
    <w:rsid w:val="0078125C"/>
    <w:rsid w:val="007818EC"/>
    <w:rsid w:val="00781AEB"/>
    <w:rsid w:val="00781E64"/>
    <w:rsid w:val="00782078"/>
    <w:rsid w:val="00782720"/>
    <w:rsid w:val="00782DBF"/>
    <w:rsid w:val="00782E59"/>
    <w:rsid w:val="007838A9"/>
    <w:rsid w:val="00783AD5"/>
    <w:rsid w:val="00783F7C"/>
    <w:rsid w:val="00784007"/>
    <w:rsid w:val="00784118"/>
    <w:rsid w:val="0078448A"/>
    <w:rsid w:val="00784A84"/>
    <w:rsid w:val="00785212"/>
    <w:rsid w:val="00785682"/>
    <w:rsid w:val="00785737"/>
    <w:rsid w:val="00785D26"/>
    <w:rsid w:val="00785DD2"/>
    <w:rsid w:val="007861B7"/>
    <w:rsid w:val="0078626F"/>
    <w:rsid w:val="00786344"/>
    <w:rsid w:val="0078634C"/>
    <w:rsid w:val="00787100"/>
    <w:rsid w:val="00787279"/>
    <w:rsid w:val="007875CF"/>
    <w:rsid w:val="00787A26"/>
    <w:rsid w:val="00787BDB"/>
    <w:rsid w:val="007908A3"/>
    <w:rsid w:val="00790B31"/>
    <w:rsid w:val="00790FD9"/>
    <w:rsid w:val="007911F0"/>
    <w:rsid w:val="007912B7"/>
    <w:rsid w:val="00791314"/>
    <w:rsid w:val="00791572"/>
    <w:rsid w:val="007918A5"/>
    <w:rsid w:val="00791E7D"/>
    <w:rsid w:val="00791F3B"/>
    <w:rsid w:val="0079261B"/>
    <w:rsid w:val="007926F7"/>
    <w:rsid w:val="007928C1"/>
    <w:rsid w:val="00792EDA"/>
    <w:rsid w:val="00793425"/>
    <w:rsid w:val="00793C2E"/>
    <w:rsid w:val="00793D3B"/>
    <w:rsid w:val="00794096"/>
    <w:rsid w:val="00794490"/>
    <w:rsid w:val="00794725"/>
    <w:rsid w:val="00795159"/>
    <w:rsid w:val="00795645"/>
    <w:rsid w:val="007957C4"/>
    <w:rsid w:val="00795A84"/>
    <w:rsid w:val="00795BF7"/>
    <w:rsid w:val="00795D56"/>
    <w:rsid w:val="0079612B"/>
    <w:rsid w:val="00796591"/>
    <w:rsid w:val="00796881"/>
    <w:rsid w:val="007968A5"/>
    <w:rsid w:val="007969DD"/>
    <w:rsid w:val="00796A56"/>
    <w:rsid w:val="00796BE6"/>
    <w:rsid w:val="007979E1"/>
    <w:rsid w:val="007A00AF"/>
    <w:rsid w:val="007A0172"/>
    <w:rsid w:val="007A0C5D"/>
    <w:rsid w:val="007A0EE7"/>
    <w:rsid w:val="007A1243"/>
    <w:rsid w:val="007A129A"/>
    <w:rsid w:val="007A17F6"/>
    <w:rsid w:val="007A1847"/>
    <w:rsid w:val="007A2403"/>
    <w:rsid w:val="007A2D63"/>
    <w:rsid w:val="007A3290"/>
    <w:rsid w:val="007A3924"/>
    <w:rsid w:val="007A3CFA"/>
    <w:rsid w:val="007A3E6C"/>
    <w:rsid w:val="007A4A97"/>
    <w:rsid w:val="007A4E03"/>
    <w:rsid w:val="007A56B8"/>
    <w:rsid w:val="007A5B0B"/>
    <w:rsid w:val="007A65DF"/>
    <w:rsid w:val="007A727C"/>
    <w:rsid w:val="007A74FC"/>
    <w:rsid w:val="007A7AA8"/>
    <w:rsid w:val="007A7E0B"/>
    <w:rsid w:val="007A7FF5"/>
    <w:rsid w:val="007B024C"/>
    <w:rsid w:val="007B04B9"/>
    <w:rsid w:val="007B10C1"/>
    <w:rsid w:val="007B131C"/>
    <w:rsid w:val="007B1ECB"/>
    <w:rsid w:val="007B2B20"/>
    <w:rsid w:val="007B2CD4"/>
    <w:rsid w:val="007B2DF6"/>
    <w:rsid w:val="007B3201"/>
    <w:rsid w:val="007B3A08"/>
    <w:rsid w:val="007B4006"/>
    <w:rsid w:val="007B4BF3"/>
    <w:rsid w:val="007B5722"/>
    <w:rsid w:val="007B5ECA"/>
    <w:rsid w:val="007B603A"/>
    <w:rsid w:val="007B7806"/>
    <w:rsid w:val="007B7BC2"/>
    <w:rsid w:val="007B7BF5"/>
    <w:rsid w:val="007C02C1"/>
    <w:rsid w:val="007C1551"/>
    <w:rsid w:val="007C18E6"/>
    <w:rsid w:val="007C2064"/>
    <w:rsid w:val="007C213F"/>
    <w:rsid w:val="007C2244"/>
    <w:rsid w:val="007C27D6"/>
    <w:rsid w:val="007C2A34"/>
    <w:rsid w:val="007C3D8A"/>
    <w:rsid w:val="007C4165"/>
    <w:rsid w:val="007C46D3"/>
    <w:rsid w:val="007C4763"/>
    <w:rsid w:val="007C480F"/>
    <w:rsid w:val="007C4911"/>
    <w:rsid w:val="007C4A30"/>
    <w:rsid w:val="007C4BFF"/>
    <w:rsid w:val="007C4FA6"/>
    <w:rsid w:val="007C4FF6"/>
    <w:rsid w:val="007C5551"/>
    <w:rsid w:val="007C5636"/>
    <w:rsid w:val="007C5747"/>
    <w:rsid w:val="007C58B7"/>
    <w:rsid w:val="007C5B4E"/>
    <w:rsid w:val="007C5F23"/>
    <w:rsid w:val="007C6093"/>
    <w:rsid w:val="007C6363"/>
    <w:rsid w:val="007C664B"/>
    <w:rsid w:val="007C6E51"/>
    <w:rsid w:val="007C7095"/>
    <w:rsid w:val="007C77C9"/>
    <w:rsid w:val="007C7B18"/>
    <w:rsid w:val="007C7E39"/>
    <w:rsid w:val="007D0325"/>
    <w:rsid w:val="007D03DC"/>
    <w:rsid w:val="007D1728"/>
    <w:rsid w:val="007D19DC"/>
    <w:rsid w:val="007D1B9F"/>
    <w:rsid w:val="007D2048"/>
    <w:rsid w:val="007D2195"/>
    <w:rsid w:val="007D29B4"/>
    <w:rsid w:val="007D3BA7"/>
    <w:rsid w:val="007D4653"/>
    <w:rsid w:val="007D5ABF"/>
    <w:rsid w:val="007D5DF8"/>
    <w:rsid w:val="007D5F2C"/>
    <w:rsid w:val="007D619A"/>
    <w:rsid w:val="007D6227"/>
    <w:rsid w:val="007D62C0"/>
    <w:rsid w:val="007D64B5"/>
    <w:rsid w:val="007D66D0"/>
    <w:rsid w:val="007D6802"/>
    <w:rsid w:val="007D6BBE"/>
    <w:rsid w:val="007D73A5"/>
    <w:rsid w:val="007D7473"/>
    <w:rsid w:val="007D796A"/>
    <w:rsid w:val="007E01E7"/>
    <w:rsid w:val="007E143B"/>
    <w:rsid w:val="007E1AFB"/>
    <w:rsid w:val="007E23EA"/>
    <w:rsid w:val="007E309D"/>
    <w:rsid w:val="007E3E36"/>
    <w:rsid w:val="007E3F4D"/>
    <w:rsid w:val="007E44A9"/>
    <w:rsid w:val="007E45A4"/>
    <w:rsid w:val="007E48DF"/>
    <w:rsid w:val="007E5162"/>
    <w:rsid w:val="007E5485"/>
    <w:rsid w:val="007E55F6"/>
    <w:rsid w:val="007E569A"/>
    <w:rsid w:val="007E5A8B"/>
    <w:rsid w:val="007E5EAD"/>
    <w:rsid w:val="007E61B0"/>
    <w:rsid w:val="007E628C"/>
    <w:rsid w:val="007E62A0"/>
    <w:rsid w:val="007E6A36"/>
    <w:rsid w:val="007E6CDE"/>
    <w:rsid w:val="007F0066"/>
    <w:rsid w:val="007F07F8"/>
    <w:rsid w:val="007F0877"/>
    <w:rsid w:val="007F0C4A"/>
    <w:rsid w:val="007F0CA9"/>
    <w:rsid w:val="007F0D07"/>
    <w:rsid w:val="007F10CC"/>
    <w:rsid w:val="007F1314"/>
    <w:rsid w:val="007F14BD"/>
    <w:rsid w:val="007F1DF0"/>
    <w:rsid w:val="007F1E40"/>
    <w:rsid w:val="007F3933"/>
    <w:rsid w:val="007F4CD9"/>
    <w:rsid w:val="007F502E"/>
    <w:rsid w:val="007F5BC9"/>
    <w:rsid w:val="007F61FA"/>
    <w:rsid w:val="007F7062"/>
    <w:rsid w:val="00800071"/>
    <w:rsid w:val="0080046E"/>
    <w:rsid w:val="008005D1"/>
    <w:rsid w:val="008009A8"/>
    <w:rsid w:val="00800C16"/>
    <w:rsid w:val="00800CDA"/>
    <w:rsid w:val="00800E88"/>
    <w:rsid w:val="0080112E"/>
    <w:rsid w:val="00801132"/>
    <w:rsid w:val="00801421"/>
    <w:rsid w:val="008014C9"/>
    <w:rsid w:val="00801ADE"/>
    <w:rsid w:val="0080270A"/>
    <w:rsid w:val="00802771"/>
    <w:rsid w:val="00802949"/>
    <w:rsid w:val="008029E0"/>
    <w:rsid w:val="00802D3E"/>
    <w:rsid w:val="008032B4"/>
    <w:rsid w:val="00803420"/>
    <w:rsid w:val="0080358A"/>
    <w:rsid w:val="00803684"/>
    <w:rsid w:val="008036B3"/>
    <w:rsid w:val="00803BC9"/>
    <w:rsid w:val="00803E2E"/>
    <w:rsid w:val="008048B7"/>
    <w:rsid w:val="0080502A"/>
    <w:rsid w:val="008053B3"/>
    <w:rsid w:val="0080560C"/>
    <w:rsid w:val="00805663"/>
    <w:rsid w:val="00805B67"/>
    <w:rsid w:val="0080602F"/>
    <w:rsid w:val="00806153"/>
    <w:rsid w:val="00806587"/>
    <w:rsid w:val="0080680F"/>
    <w:rsid w:val="00806D5F"/>
    <w:rsid w:val="00807323"/>
    <w:rsid w:val="008075D1"/>
    <w:rsid w:val="008076A4"/>
    <w:rsid w:val="008104C1"/>
    <w:rsid w:val="00810C3E"/>
    <w:rsid w:val="00810CC0"/>
    <w:rsid w:val="00811643"/>
    <w:rsid w:val="00811B26"/>
    <w:rsid w:val="0081203C"/>
    <w:rsid w:val="0081207C"/>
    <w:rsid w:val="0081210B"/>
    <w:rsid w:val="008121D3"/>
    <w:rsid w:val="00812670"/>
    <w:rsid w:val="00812B87"/>
    <w:rsid w:val="008130E7"/>
    <w:rsid w:val="00813C7F"/>
    <w:rsid w:val="00814627"/>
    <w:rsid w:val="00814922"/>
    <w:rsid w:val="00814C1A"/>
    <w:rsid w:val="00814E08"/>
    <w:rsid w:val="00815B74"/>
    <w:rsid w:val="00815D27"/>
    <w:rsid w:val="00815EDB"/>
    <w:rsid w:val="00816209"/>
    <w:rsid w:val="008162D0"/>
    <w:rsid w:val="00816DE6"/>
    <w:rsid w:val="00817096"/>
    <w:rsid w:val="00817279"/>
    <w:rsid w:val="00817597"/>
    <w:rsid w:val="00817A53"/>
    <w:rsid w:val="00820299"/>
    <w:rsid w:val="0082065E"/>
    <w:rsid w:val="00820B3F"/>
    <w:rsid w:val="00821076"/>
    <w:rsid w:val="0082173A"/>
    <w:rsid w:val="0082191F"/>
    <w:rsid w:val="008228D9"/>
    <w:rsid w:val="00824009"/>
    <w:rsid w:val="00824049"/>
    <w:rsid w:val="00824ED8"/>
    <w:rsid w:val="00825583"/>
    <w:rsid w:val="00826F98"/>
    <w:rsid w:val="00827026"/>
    <w:rsid w:val="008270A1"/>
    <w:rsid w:val="00827442"/>
    <w:rsid w:val="0082754F"/>
    <w:rsid w:val="00827AD5"/>
    <w:rsid w:val="00827FE4"/>
    <w:rsid w:val="00831856"/>
    <w:rsid w:val="00831A1A"/>
    <w:rsid w:val="00831F2C"/>
    <w:rsid w:val="00831FBB"/>
    <w:rsid w:val="008328BA"/>
    <w:rsid w:val="00833085"/>
    <w:rsid w:val="0083368D"/>
    <w:rsid w:val="00833729"/>
    <w:rsid w:val="008344DD"/>
    <w:rsid w:val="00834572"/>
    <w:rsid w:val="008347B9"/>
    <w:rsid w:val="00834988"/>
    <w:rsid w:val="00834FDF"/>
    <w:rsid w:val="00835332"/>
    <w:rsid w:val="00835583"/>
    <w:rsid w:val="00835D5E"/>
    <w:rsid w:val="00835EAD"/>
    <w:rsid w:val="00836FE2"/>
    <w:rsid w:val="008405A1"/>
    <w:rsid w:val="00840858"/>
    <w:rsid w:val="00840D1B"/>
    <w:rsid w:val="00841DD0"/>
    <w:rsid w:val="0084331C"/>
    <w:rsid w:val="00843C66"/>
    <w:rsid w:val="00844128"/>
    <w:rsid w:val="00844653"/>
    <w:rsid w:val="00844811"/>
    <w:rsid w:val="00844B5E"/>
    <w:rsid w:val="00844B7B"/>
    <w:rsid w:val="008454E2"/>
    <w:rsid w:val="00845A83"/>
    <w:rsid w:val="00845C70"/>
    <w:rsid w:val="00846274"/>
    <w:rsid w:val="008462E9"/>
    <w:rsid w:val="00846536"/>
    <w:rsid w:val="00846A94"/>
    <w:rsid w:val="00846B58"/>
    <w:rsid w:val="008476B5"/>
    <w:rsid w:val="00850889"/>
    <w:rsid w:val="00850C07"/>
    <w:rsid w:val="00850D17"/>
    <w:rsid w:val="00851280"/>
    <w:rsid w:val="00851489"/>
    <w:rsid w:val="00851514"/>
    <w:rsid w:val="00852062"/>
    <w:rsid w:val="00852B51"/>
    <w:rsid w:val="00852C1A"/>
    <w:rsid w:val="00853129"/>
    <w:rsid w:val="0085395E"/>
    <w:rsid w:val="00853960"/>
    <w:rsid w:val="00853DFB"/>
    <w:rsid w:val="0085407F"/>
    <w:rsid w:val="008541E1"/>
    <w:rsid w:val="00854B1D"/>
    <w:rsid w:val="00854EA2"/>
    <w:rsid w:val="00854EEE"/>
    <w:rsid w:val="00854F60"/>
    <w:rsid w:val="008551BC"/>
    <w:rsid w:val="00855230"/>
    <w:rsid w:val="008557F3"/>
    <w:rsid w:val="00855ED5"/>
    <w:rsid w:val="00856401"/>
    <w:rsid w:val="00856836"/>
    <w:rsid w:val="008569A7"/>
    <w:rsid w:val="008572E2"/>
    <w:rsid w:val="00857FB9"/>
    <w:rsid w:val="00860959"/>
    <w:rsid w:val="00860D17"/>
    <w:rsid w:val="008610B6"/>
    <w:rsid w:val="008612B3"/>
    <w:rsid w:val="0086175D"/>
    <w:rsid w:val="00861FDB"/>
    <w:rsid w:val="008620EB"/>
    <w:rsid w:val="0086248E"/>
    <w:rsid w:val="008630ED"/>
    <w:rsid w:val="00864017"/>
    <w:rsid w:val="00864549"/>
    <w:rsid w:val="008648CA"/>
    <w:rsid w:val="00864AAB"/>
    <w:rsid w:val="00864EC2"/>
    <w:rsid w:val="008651B7"/>
    <w:rsid w:val="00865688"/>
    <w:rsid w:val="00865AFA"/>
    <w:rsid w:val="00865BC7"/>
    <w:rsid w:val="00865FAF"/>
    <w:rsid w:val="008661D2"/>
    <w:rsid w:val="0086698F"/>
    <w:rsid w:val="00866B0F"/>
    <w:rsid w:val="0086728A"/>
    <w:rsid w:val="0086741E"/>
    <w:rsid w:val="00867639"/>
    <w:rsid w:val="008700CA"/>
    <w:rsid w:val="00870558"/>
    <w:rsid w:val="00870610"/>
    <w:rsid w:val="00870AC7"/>
    <w:rsid w:val="00870F50"/>
    <w:rsid w:val="00871037"/>
    <w:rsid w:val="00871113"/>
    <w:rsid w:val="008715C0"/>
    <w:rsid w:val="00871C4E"/>
    <w:rsid w:val="008723F3"/>
    <w:rsid w:val="0087258D"/>
    <w:rsid w:val="00872B0E"/>
    <w:rsid w:val="0087386C"/>
    <w:rsid w:val="00873DA1"/>
    <w:rsid w:val="00874014"/>
    <w:rsid w:val="0087423E"/>
    <w:rsid w:val="008745FA"/>
    <w:rsid w:val="00874984"/>
    <w:rsid w:val="00874AD6"/>
    <w:rsid w:val="00874C06"/>
    <w:rsid w:val="00874D32"/>
    <w:rsid w:val="008751CC"/>
    <w:rsid w:val="008752E3"/>
    <w:rsid w:val="00875763"/>
    <w:rsid w:val="008758CE"/>
    <w:rsid w:val="008758D3"/>
    <w:rsid w:val="00876101"/>
    <w:rsid w:val="00876114"/>
    <w:rsid w:val="008762DD"/>
    <w:rsid w:val="0087639D"/>
    <w:rsid w:val="008763DE"/>
    <w:rsid w:val="008766CA"/>
    <w:rsid w:val="008769F2"/>
    <w:rsid w:val="00876BA0"/>
    <w:rsid w:val="0087700E"/>
    <w:rsid w:val="00877724"/>
    <w:rsid w:val="00877859"/>
    <w:rsid w:val="00877898"/>
    <w:rsid w:val="0087798E"/>
    <w:rsid w:val="00877DA3"/>
    <w:rsid w:val="00880AFE"/>
    <w:rsid w:val="0088119A"/>
    <w:rsid w:val="00881435"/>
    <w:rsid w:val="00881D66"/>
    <w:rsid w:val="00881E03"/>
    <w:rsid w:val="00882693"/>
    <w:rsid w:val="00882844"/>
    <w:rsid w:val="00882969"/>
    <w:rsid w:val="00882D8B"/>
    <w:rsid w:val="00882F22"/>
    <w:rsid w:val="0088367B"/>
    <w:rsid w:val="00883E13"/>
    <w:rsid w:val="00883F7E"/>
    <w:rsid w:val="00884459"/>
    <w:rsid w:val="00884701"/>
    <w:rsid w:val="00884D82"/>
    <w:rsid w:val="00884EAD"/>
    <w:rsid w:val="00884F0B"/>
    <w:rsid w:val="00885143"/>
    <w:rsid w:val="0088557F"/>
    <w:rsid w:val="008858B1"/>
    <w:rsid w:val="00885AB7"/>
    <w:rsid w:val="00886379"/>
    <w:rsid w:val="008864D9"/>
    <w:rsid w:val="0088694F"/>
    <w:rsid w:val="00886E2F"/>
    <w:rsid w:val="008874C0"/>
    <w:rsid w:val="00887C7C"/>
    <w:rsid w:val="00890319"/>
    <w:rsid w:val="0089049C"/>
    <w:rsid w:val="008906F0"/>
    <w:rsid w:val="0089074C"/>
    <w:rsid w:val="0089081C"/>
    <w:rsid w:val="0089082D"/>
    <w:rsid w:val="00890978"/>
    <w:rsid w:val="00891863"/>
    <w:rsid w:val="00891938"/>
    <w:rsid w:val="00891CF1"/>
    <w:rsid w:val="00892817"/>
    <w:rsid w:val="00892831"/>
    <w:rsid w:val="0089317D"/>
    <w:rsid w:val="0089377D"/>
    <w:rsid w:val="00893A95"/>
    <w:rsid w:val="00893D66"/>
    <w:rsid w:val="00893E09"/>
    <w:rsid w:val="008948AB"/>
    <w:rsid w:val="00894B7B"/>
    <w:rsid w:val="00894EFC"/>
    <w:rsid w:val="008950D9"/>
    <w:rsid w:val="008954D9"/>
    <w:rsid w:val="00895822"/>
    <w:rsid w:val="00895C56"/>
    <w:rsid w:val="00895E37"/>
    <w:rsid w:val="0089674C"/>
    <w:rsid w:val="008973AD"/>
    <w:rsid w:val="00897988"/>
    <w:rsid w:val="00897C30"/>
    <w:rsid w:val="008A154B"/>
    <w:rsid w:val="008A1719"/>
    <w:rsid w:val="008A1E64"/>
    <w:rsid w:val="008A1E79"/>
    <w:rsid w:val="008A20CA"/>
    <w:rsid w:val="008A2204"/>
    <w:rsid w:val="008A240C"/>
    <w:rsid w:val="008A2452"/>
    <w:rsid w:val="008A27CA"/>
    <w:rsid w:val="008A27FC"/>
    <w:rsid w:val="008A28D6"/>
    <w:rsid w:val="008A2CE8"/>
    <w:rsid w:val="008A2D86"/>
    <w:rsid w:val="008A2E43"/>
    <w:rsid w:val="008A34E5"/>
    <w:rsid w:val="008A48A6"/>
    <w:rsid w:val="008A4929"/>
    <w:rsid w:val="008A49E9"/>
    <w:rsid w:val="008A4B5F"/>
    <w:rsid w:val="008A4D54"/>
    <w:rsid w:val="008A4E6B"/>
    <w:rsid w:val="008A4F06"/>
    <w:rsid w:val="008A5629"/>
    <w:rsid w:val="008A592F"/>
    <w:rsid w:val="008A5E96"/>
    <w:rsid w:val="008A60E3"/>
    <w:rsid w:val="008A6123"/>
    <w:rsid w:val="008A62E7"/>
    <w:rsid w:val="008A67A6"/>
    <w:rsid w:val="008A680B"/>
    <w:rsid w:val="008A6BC4"/>
    <w:rsid w:val="008A6BCD"/>
    <w:rsid w:val="008A7BEE"/>
    <w:rsid w:val="008B0846"/>
    <w:rsid w:val="008B0AF9"/>
    <w:rsid w:val="008B0B15"/>
    <w:rsid w:val="008B0D0D"/>
    <w:rsid w:val="008B1440"/>
    <w:rsid w:val="008B1653"/>
    <w:rsid w:val="008B1A9D"/>
    <w:rsid w:val="008B2728"/>
    <w:rsid w:val="008B323A"/>
    <w:rsid w:val="008B330E"/>
    <w:rsid w:val="008B357C"/>
    <w:rsid w:val="008B3C65"/>
    <w:rsid w:val="008B4130"/>
    <w:rsid w:val="008B422E"/>
    <w:rsid w:val="008B44A3"/>
    <w:rsid w:val="008B4ED5"/>
    <w:rsid w:val="008B4F40"/>
    <w:rsid w:val="008B55BC"/>
    <w:rsid w:val="008B5971"/>
    <w:rsid w:val="008B64D3"/>
    <w:rsid w:val="008B6B8E"/>
    <w:rsid w:val="008B6FB1"/>
    <w:rsid w:val="008C035E"/>
    <w:rsid w:val="008C0C52"/>
    <w:rsid w:val="008C1D7C"/>
    <w:rsid w:val="008C1DB3"/>
    <w:rsid w:val="008C2226"/>
    <w:rsid w:val="008C25CB"/>
    <w:rsid w:val="008C35CB"/>
    <w:rsid w:val="008C37BB"/>
    <w:rsid w:val="008C3CBF"/>
    <w:rsid w:val="008C3DA5"/>
    <w:rsid w:val="008C4929"/>
    <w:rsid w:val="008C497C"/>
    <w:rsid w:val="008C49B0"/>
    <w:rsid w:val="008C4FD1"/>
    <w:rsid w:val="008C5127"/>
    <w:rsid w:val="008C520F"/>
    <w:rsid w:val="008C5F29"/>
    <w:rsid w:val="008C60A2"/>
    <w:rsid w:val="008C64EE"/>
    <w:rsid w:val="008C696C"/>
    <w:rsid w:val="008C6AB3"/>
    <w:rsid w:val="008C6E3C"/>
    <w:rsid w:val="008D0BCD"/>
    <w:rsid w:val="008D0E3F"/>
    <w:rsid w:val="008D0E7C"/>
    <w:rsid w:val="008D11B4"/>
    <w:rsid w:val="008D16D4"/>
    <w:rsid w:val="008D17DD"/>
    <w:rsid w:val="008D1D9E"/>
    <w:rsid w:val="008D2044"/>
    <w:rsid w:val="008D2358"/>
    <w:rsid w:val="008D3483"/>
    <w:rsid w:val="008D3882"/>
    <w:rsid w:val="008D4139"/>
    <w:rsid w:val="008D424C"/>
    <w:rsid w:val="008D4462"/>
    <w:rsid w:val="008D46C7"/>
    <w:rsid w:val="008D5532"/>
    <w:rsid w:val="008D5921"/>
    <w:rsid w:val="008D5FBF"/>
    <w:rsid w:val="008D6579"/>
    <w:rsid w:val="008D66CB"/>
    <w:rsid w:val="008D6D05"/>
    <w:rsid w:val="008D6D68"/>
    <w:rsid w:val="008D6EF9"/>
    <w:rsid w:val="008D6FDF"/>
    <w:rsid w:val="008D73D7"/>
    <w:rsid w:val="008D7A58"/>
    <w:rsid w:val="008D7C91"/>
    <w:rsid w:val="008D7DF0"/>
    <w:rsid w:val="008E0729"/>
    <w:rsid w:val="008E090E"/>
    <w:rsid w:val="008E0ADA"/>
    <w:rsid w:val="008E0C35"/>
    <w:rsid w:val="008E0FDC"/>
    <w:rsid w:val="008E122E"/>
    <w:rsid w:val="008E13C8"/>
    <w:rsid w:val="008E1529"/>
    <w:rsid w:val="008E1C7C"/>
    <w:rsid w:val="008E2766"/>
    <w:rsid w:val="008E321C"/>
    <w:rsid w:val="008E3C86"/>
    <w:rsid w:val="008E3D45"/>
    <w:rsid w:val="008E3FCD"/>
    <w:rsid w:val="008E40C9"/>
    <w:rsid w:val="008E4276"/>
    <w:rsid w:val="008E44B4"/>
    <w:rsid w:val="008E48DE"/>
    <w:rsid w:val="008E49F5"/>
    <w:rsid w:val="008E524C"/>
    <w:rsid w:val="008E52E7"/>
    <w:rsid w:val="008E54A3"/>
    <w:rsid w:val="008E5B29"/>
    <w:rsid w:val="008E5D08"/>
    <w:rsid w:val="008E62B0"/>
    <w:rsid w:val="008E6426"/>
    <w:rsid w:val="008E6EB0"/>
    <w:rsid w:val="008E76C4"/>
    <w:rsid w:val="008E7AEC"/>
    <w:rsid w:val="008E7F89"/>
    <w:rsid w:val="008F01FA"/>
    <w:rsid w:val="008F0627"/>
    <w:rsid w:val="008F06D1"/>
    <w:rsid w:val="008F0BFC"/>
    <w:rsid w:val="008F0E54"/>
    <w:rsid w:val="008F0F59"/>
    <w:rsid w:val="008F13DA"/>
    <w:rsid w:val="008F15A0"/>
    <w:rsid w:val="008F18FA"/>
    <w:rsid w:val="008F1B16"/>
    <w:rsid w:val="008F277F"/>
    <w:rsid w:val="008F2B0C"/>
    <w:rsid w:val="008F2CF5"/>
    <w:rsid w:val="008F3329"/>
    <w:rsid w:val="008F3ADC"/>
    <w:rsid w:val="008F3E95"/>
    <w:rsid w:val="008F3F35"/>
    <w:rsid w:val="008F3F39"/>
    <w:rsid w:val="008F42FE"/>
    <w:rsid w:val="008F463E"/>
    <w:rsid w:val="008F4C05"/>
    <w:rsid w:val="008F4CA1"/>
    <w:rsid w:val="008F507C"/>
    <w:rsid w:val="008F54C8"/>
    <w:rsid w:val="008F560D"/>
    <w:rsid w:val="008F5877"/>
    <w:rsid w:val="008F5AE8"/>
    <w:rsid w:val="008F5D9E"/>
    <w:rsid w:val="008F6A4A"/>
    <w:rsid w:val="008F7614"/>
    <w:rsid w:val="009004DF"/>
    <w:rsid w:val="0090071B"/>
    <w:rsid w:val="00900977"/>
    <w:rsid w:val="00900B5E"/>
    <w:rsid w:val="00900DBD"/>
    <w:rsid w:val="009014CD"/>
    <w:rsid w:val="00901645"/>
    <w:rsid w:val="009017A1"/>
    <w:rsid w:val="0090203C"/>
    <w:rsid w:val="0090220F"/>
    <w:rsid w:val="00902622"/>
    <w:rsid w:val="009034AB"/>
    <w:rsid w:val="009037C5"/>
    <w:rsid w:val="009042CE"/>
    <w:rsid w:val="009046FF"/>
    <w:rsid w:val="00904AE0"/>
    <w:rsid w:val="00904C04"/>
    <w:rsid w:val="00905061"/>
    <w:rsid w:val="00905617"/>
    <w:rsid w:val="009056B6"/>
    <w:rsid w:val="009058CA"/>
    <w:rsid w:val="00906231"/>
    <w:rsid w:val="009063EC"/>
    <w:rsid w:val="0090673B"/>
    <w:rsid w:val="00906ABB"/>
    <w:rsid w:val="009070F8"/>
    <w:rsid w:val="00907403"/>
    <w:rsid w:val="009077AD"/>
    <w:rsid w:val="00907C93"/>
    <w:rsid w:val="00907EB1"/>
    <w:rsid w:val="00910566"/>
    <w:rsid w:val="00910661"/>
    <w:rsid w:val="0091095C"/>
    <w:rsid w:val="00910961"/>
    <w:rsid w:val="00910BBE"/>
    <w:rsid w:val="00910F07"/>
    <w:rsid w:val="0091107A"/>
    <w:rsid w:val="00911212"/>
    <w:rsid w:val="0091122E"/>
    <w:rsid w:val="00911555"/>
    <w:rsid w:val="009119DD"/>
    <w:rsid w:val="0091200B"/>
    <w:rsid w:val="00912472"/>
    <w:rsid w:val="0091288E"/>
    <w:rsid w:val="009128A3"/>
    <w:rsid w:val="00912C0C"/>
    <w:rsid w:val="00912D84"/>
    <w:rsid w:val="00912E83"/>
    <w:rsid w:val="00913115"/>
    <w:rsid w:val="009140DD"/>
    <w:rsid w:val="00914352"/>
    <w:rsid w:val="00915500"/>
    <w:rsid w:val="009159D7"/>
    <w:rsid w:val="00915A02"/>
    <w:rsid w:val="00915BE6"/>
    <w:rsid w:val="009161F1"/>
    <w:rsid w:val="0091773E"/>
    <w:rsid w:val="0092010B"/>
    <w:rsid w:val="00921261"/>
    <w:rsid w:val="00921514"/>
    <w:rsid w:val="00921989"/>
    <w:rsid w:val="00921AFF"/>
    <w:rsid w:val="00922295"/>
    <w:rsid w:val="009228A4"/>
    <w:rsid w:val="009228FD"/>
    <w:rsid w:val="009235C1"/>
    <w:rsid w:val="0092370F"/>
    <w:rsid w:val="009239E8"/>
    <w:rsid w:val="0092518D"/>
    <w:rsid w:val="009254AD"/>
    <w:rsid w:val="00925741"/>
    <w:rsid w:val="00925F70"/>
    <w:rsid w:val="00926EC3"/>
    <w:rsid w:val="00927438"/>
    <w:rsid w:val="009304D4"/>
    <w:rsid w:val="00930A51"/>
    <w:rsid w:val="00930B03"/>
    <w:rsid w:val="00930D17"/>
    <w:rsid w:val="00931965"/>
    <w:rsid w:val="00931DEF"/>
    <w:rsid w:val="00931F0D"/>
    <w:rsid w:val="00931F58"/>
    <w:rsid w:val="0093262B"/>
    <w:rsid w:val="00932659"/>
    <w:rsid w:val="00933018"/>
    <w:rsid w:val="009331B3"/>
    <w:rsid w:val="0093338F"/>
    <w:rsid w:val="009346A5"/>
    <w:rsid w:val="009353C7"/>
    <w:rsid w:val="009353EE"/>
    <w:rsid w:val="00935594"/>
    <w:rsid w:val="00935AC4"/>
    <w:rsid w:val="009360C3"/>
    <w:rsid w:val="009363A3"/>
    <w:rsid w:val="00936557"/>
    <w:rsid w:val="00936966"/>
    <w:rsid w:val="00936E3C"/>
    <w:rsid w:val="0093721E"/>
    <w:rsid w:val="00937A73"/>
    <w:rsid w:val="00940664"/>
    <w:rsid w:val="0094084C"/>
    <w:rsid w:val="00940C0D"/>
    <w:rsid w:val="00940F9C"/>
    <w:rsid w:val="009411E3"/>
    <w:rsid w:val="0094228B"/>
    <w:rsid w:val="0094233D"/>
    <w:rsid w:val="00942433"/>
    <w:rsid w:val="009425CE"/>
    <w:rsid w:val="00942C13"/>
    <w:rsid w:val="00942E4E"/>
    <w:rsid w:val="0094311B"/>
    <w:rsid w:val="00943179"/>
    <w:rsid w:val="0094324B"/>
    <w:rsid w:val="0094355D"/>
    <w:rsid w:val="00943762"/>
    <w:rsid w:val="00943C28"/>
    <w:rsid w:val="00943ECF"/>
    <w:rsid w:val="009446AF"/>
    <w:rsid w:val="00944BCA"/>
    <w:rsid w:val="00944E18"/>
    <w:rsid w:val="009454B2"/>
    <w:rsid w:val="0094614A"/>
    <w:rsid w:val="00946B93"/>
    <w:rsid w:val="00946CEC"/>
    <w:rsid w:val="0094760A"/>
    <w:rsid w:val="00947A49"/>
    <w:rsid w:val="00947B47"/>
    <w:rsid w:val="00947CB8"/>
    <w:rsid w:val="00947E3A"/>
    <w:rsid w:val="009505C5"/>
    <w:rsid w:val="009505EA"/>
    <w:rsid w:val="00950DB8"/>
    <w:rsid w:val="009510F1"/>
    <w:rsid w:val="00951161"/>
    <w:rsid w:val="0095140E"/>
    <w:rsid w:val="009516AB"/>
    <w:rsid w:val="009516E8"/>
    <w:rsid w:val="009517C8"/>
    <w:rsid w:val="00951842"/>
    <w:rsid w:val="00951DBD"/>
    <w:rsid w:val="00952003"/>
    <w:rsid w:val="0095284E"/>
    <w:rsid w:val="00952CC2"/>
    <w:rsid w:val="009534D2"/>
    <w:rsid w:val="009534F8"/>
    <w:rsid w:val="009536E6"/>
    <w:rsid w:val="009542CB"/>
    <w:rsid w:val="0095438C"/>
    <w:rsid w:val="00954565"/>
    <w:rsid w:val="00954CFC"/>
    <w:rsid w:val="00955E80"/>
    <w:rsid w:val="00956226"/>
    <w:rsid w:val="009562EA"/>
    <w:rsid w:val="00956445"/>
    <w:rsid w:val="009565D3"/>
    <w:rsid w:val="0095676D"/>
    <w:rsid w:val="0095697B"/>
    <w:rsid w:val="00956A02"/>
    <w:rsid w:val="009576EA"/>
    <w:rsid w:val="00957702"/>
    <w:rsid w:val="00957731"/>
    <w:rsid w:val="00957831"/>
    <w:rsid w:val="00957881"/>
    <w:rsid w:val="00957B0D"/>
    <w:rsid w:val="00957D43"/>
    <w:rsid w:val="00957D55"/>
    <w:rsid w:val="00960234"/>
    <w:rsid w:val="009602A8"/>
    <w:rsid w:val="00960D7C"/>
    <w:rsid w:val="00961507"/>
    <w:rsid w:val="009616AC"/>
    <w:rsid w:val="00961D29"/>
    <w:rsid w:val="00961E14"/>
    <w:rsid w:val="00961E48"/>
    <w:rsid w:val="0096249C"/>
    <w:rsid w:val="009631E0"/>
    <w:rsid w:val="0096339D"/>
    <w:rsid w:val="00963E4B"/>
    <w:rsid w:val="0096407B"/>
    <w:rsid w:val="00964509"/>
    <w:rsid w:val="00964890"/>
    <w:rsid w:val="009649B3"/>
    <w:rsid w:val="00964B34"/>
    <w:rsid w:val="00965859"/>
    <w:rsid w:val="009665C0"/>
    <w:rsid w:val="00966659"/>
    <w:rsid w:val="00966726"/>
    <w:rsid w:val="00966E8C"/>
    <w:rsid w:val="00967A08"/>
    <w:rsid w:val="00967F00"/>
    <w:rsid w:val="00970111"/>
    <w:rsid w:val="00970348"/>
    <w:rsid w:val="009708AC"/>
    <w:rsid w:val="009711F1"/>
    <w:rsid w:val="0097136E"/>
    <w:rsid w:val="00971E18"/>
    <w:rsid w:val="00971E5B"/>
    <w:rsid w:val="00973197"/>
    <w:rsid w:val="009736C0"/>
    <w:rsid w:val="0097462C"/>
    <w:rsid w:val="00974C58"/>
    <w:rsid w:val="0097598B"/>
    <w:rsid w:val="00975BE6"/>
    <w:rsid w:val="009761C7"/>
    <w:rsid w:val="00976572"/>
    <w:rsid w:val="009765F5"/>
    <w:rsid w:val="00976A2F"/>
    <w:rsid w:val="00976A30"/>
    <w:rsid w:val="00976B0C"/>
    <w:rsid w:val="00976B32"/>
    <w:rsid w:val="009771A4"/>
    <w:rsid w:val="00977E48"/>
    <w:rsid w:val="00980663"/>
    <w:rsid w:val="00980758"/>
    <w:rsid w:val="009809F4"/>
    <w:rsid w:val="009815B4"/>
    <w:rsid w:val="00981710"/>
    <w:rsid w:val="00981971"/>
    <w:rsid w:val="00981BB5"/>
    <w:rsid w:val="00982143"/>
    <w:rsid w:val="009828FD"/>
    <w:rsid w:val="00982E85"/>
    <w:rsid w:val="00982E87"/>
    <w:rsid w:val="00983164"/>
    <w:rsid w:val="00983961"/>
    <w:rsid w:val="009848FE"/>
    <w:rsid w:val="00985031"/>
    <w:rsid w:val="009853B4"/>
    <w:rsid w:val="009862FF"/>
    <w:rsid w:val="009874DE"/>
    <w:rsid w:val="00987504"/>
    <w:rsid w:val="009879F3"/>
    <w:rsid w:val="00987D1A"/>
    <w:rsid w:val="00990A53"/>
    <w:rsid w:val="00990A81"/>
    <w:rsid w:val="00990FDC"/>
    <w:rsid w:val="00991295"/>
    <w:rsid w:val="00991297"/>
    <w:rsid w:val="00991413"/>
    <w:rsid w:val="0099155E"/>
    <w:rsid w:val="009916A8"/>
    <w:rsid w:val="00991B05"/>
    <w:rsid w:val="00991ED2"/>
    <w:rsid w:val="00992349"/>
    <w:rsid w:val="009926EF"/>
    <w:rsid w:val="0099274D"/>
    <w:rsid w:val="0099285B"/>
    <w:rsid w:val="00992C93"/>
    <w:rsid w:val="00992EC8"/>
    <w:rsid w:val="00993706"/>
    <w:rsid w:val="00993D09"/>
    <w:rsid w:val="00994287"/>
    <w:rsid w:val="009945B0"/>
    <w:rsid w:val="00994638"/>
    <w:rsid w:val="00994672"/>
    <w:rsid w:val="0099473D"/>
    <w:rsid w:val="00994CBC"/>
    <w:rsid w:val="00994CBF"/>
    <w:rsid w:val="009958BC"/>
    <w:rsid w:val="00996343"/>
    <w:rsid w:val="009973B3"/>
    <w:rsid w:val="00997600"/>
    <w:rsid w:val="009978B6"/>
    <w:rsid w:val="009979BF"/>
    <w:rsid w:val="00997EAA"/>
    <w:rsid w:val="009A09A7"/>
    <w:rsid w:val="009A0D2E"/>
    <w:rsid w:val="009A0FA2"/>
    <w:rsid w:val="009A102D"/>
    <w:rsid w:val="009A13FF"/>
    <w:rsid w:val="009A1A04"/>
    <w:rsid w:val="009A1BBB"/>
    <w:rsid w:val="009A1D07"/>
    <w:rsid w:val="009A2390"/>
    <w:rsid w:val="009A2606"/>
    <w:rsid w:val="009A266C"/>
    <w:rsid w:val="009A2700"/>
    <w:rsid w:val="009A2ED3"/>
    <w:rsid w:val="009A31C7"/>
    <w:rsid w:val="009A3641"/>
    <w:rsid w:val="009A3897"/>
    <w:rsid w:val="009A4D6E"/>
    <w:rsid w:val="009A4DE9"/>
    <w:rsid w:val="009A4DF6"/>
    <w:rsid w:val="009A515D"/>
    <w:rsid w:val="009A545A"/>
    <w:rsid w:val="009A5B12"/>
    <w:rsid w:val="009A6204"/>
    <w:rsid w:val="009A65E8"/>
    <w:rsid w:val="009A6B97"/>
    <w:rsid w:val="009B07D6"/>
    <w:rsid w:val="009B08FE"/>
    <w:rsid w:val="009B1498"/>
    <w:rsid w:val="009B16F0"/>
    <w:rsid w:val="009B2007"/>
    <w:rsid w:val="009B2141"/>
    <w:rsid w:val="009B2909"/>
    <w:rsid w:val="009B2C7F"/>
    <w:rsid w:val="009B2F50"/>
    <w:rsid w:val="009B3C40"/>
    <w:rsid w:val="009B3CEE"/>
    <w:rsid w:val="009B3E64"/>
    <w:rsid w:val="009B3EC9"/>
    <w:rsid w:val="009B3F78"/>
    <w:rsid w:val="009B419B"/>
    <w:rsid w:val="009B597C"/>
    <w:rsid w:val="009B5C37"/>
    <w:rsid w:val="009B5E34"/>
    <w:rsid w:val="009B7077"/>
    <w:rsid w:val="009B78C4"/>
    <w:rsid w:val="009C008D"/>
    <w:rsid w:val="009C043D"/>
    <w:rsid w:val="009C057F"/>
    <w:rsid w:val="009C0A56"/>
    <w:rsid w:val="009C0A7E"/>
    <w:rsid w:val="009C12FB"/>
    <w:rsid w:val="009C190F"/>
    <w:rsid w:val="009C19E5"/>
    <w:rsid w:val="009C1BE0"/>
    <w:rsid w:val="009C1FB9"/>
    <w:rsid w:val="009C24EF"/>
    <w:rsid w:val="009C2C46"/>
    <w:rsid w:val="009C2FB5"/>
    <w:rsid w:val="009C33AC"/>
    <w:rsid w:val="009C34CF"/>
    <w:rsid w:val="009C3510"/>
    <w:rsid w:val="009C37C9"/>
    <w:rsid w:val="009C4042"/>
    <w:rsid w:val="009C41B9"/>
    <w:rsid w:val="009C41D1"/>
    <w:rsid w:val="009C441A"/>
    <w:rsid w:val="009C4AC8"/>
    <w:rsid w:val="009C4E05"/>
    <w:rsid w:val="009C51E7"/>
    <w:rsid w:val="009C5422"/>
    <w:rsid w:val="009C56F1"/>
    <w:rsid w:val="009C6FAF"/>
    <w:rsid w:val="009C72DF"/>
    <w:rsid w:val="009C7358"/>
    <w:rsid w:val="009C736F"/>
    <w:rsid w:val="009C73BE"/>
    <w:rsid w:val="009C784B"/>
    <w:rsid w:val="009D0108"/>
    <w:rsid w:val="009D0363"/>
    <w:rsid w:val="009D0476"/>
    <w:rsid w:val="009D0A22"/>
    <w:rsid w:val="009D131D"/>
    <w:rsid w:val="009D1E14"/>
    <w:rsid w:val="009D2DAE"/>
    <w:rsid w:val="009D2DF1"/>
    <w:rsid w:val="009D324E"/>
    <w:rsid w:val="009D325C"/>
    <w:rsid w:val="009D33D4"/>
    <w:rsid w:val="009D34A5"/>
    <w:rsid w:val="009D35F3"/>
    <w:rsid w:val="009D45E5"/>
    <w:rsid w:val="009D4FBC"/>
    <w:rsid w:val="009D5692"/>
    <w:rsid w:val="009D5B67"/>
    <w:rsid w:val="009D5BD1"/>
    <w:rsid w:val="009D70DC"/>
    <w:rsid w:val="009D77B9"/>
    <w:rsid w:val="009D7A8D"/>
    <w:rsid w:val="009D7AB4"/>
    <w:rsid w:val="009D7CA4"/>
    <w:rsid w:val="009D7EBD"/>
    <w:rsid w:val="009E0786"/>
    <w:rsid w:val="009E1035"/>
    <w:rsid w:val="009E1635"/>
    <w:rsid w:val="009E1CCA"/>
    <w:rsid w:val="009E1F19"/>
    <w:rsid w:val="009E238D"/>
    <w:rsid w:val="009E287B"/>
    <w:rsid w:val="009E2B7F"/>
    <w:rsid w:val="009E2CB3"/>
    <w:rsid w:val="009E2ECC"/>
    <w:rsid w:val="009E40A2"/>
    <w:rsid w:val="009E5BBC"/>
    <w:rsid w:val="009E6337"/>
    <w:rsid w:val="009E652C"/>
    <w:rsid w:val="009E6924"/>
    <w:rsid w:val="009E6A68"/>
    <w:rsid w:val="009E6A83"/>
    <w:rsid w:val="009E6C44"/>
    <w:rsid w:val="009E723D"/>
    <w:rsid w:val="009E7731"/>
    <w:rsid w:val="009F0241"/>
    <w:rsid w:val="009F028A"/>
    <w:rsid w:val="009F0442"/>
    <w:rsid w:val="009F0722"/>
    <w:rsid w:val="009F0CF3"/>
    <w:rsid w:val="009F0DF9"/>
    <w:rsid w:val="009F1273"/>
    <w:rsid w:val="009F12A3"/>
    <w:rsid w:val="009F1A7B"/>
    <w:rsid w:val="009F1AED"/>
    <w:rsid w:val="009F1D99"/>
    <w:rsid w:val="009F1E70"/>
    <w:rsid w:val="009F1EC0"/>
    <w:rsid w:val="009F1F5D"/>
    <w:rsid w:val="009F1F68"/>
    <w:rsid w:val="009F227A"/>
    <w:rsid w:val="009F2BDF"/>
    <w:rsid w:val="009F2C01"/>
    <w:rsid w:val="009F33AA"/>
    <w:rsid w:val="009F342D"/>
    <w:rsid w:val="009F3964"/>
    <w:rsid w:val="009F3FD4"/>
    <w:rsid w:val="009F4685"/>
    <w:rsid w:val="009F49DD"/>
    <w:rsid w:val="009F4A1F"/>
    <w:rsid w:val="009F4F5A"/>
    <w:rsid w:val="009F511B"/>
    <w:rsid w:val="009F5C56"/>
    <w:rsid w:val="009F5CA9"/>
    <w:rsid w:val="009F6527"/>
    <w:rsid w:val="009F6603"/>
    <w:rsid w:val="009F6673"/>
    <w:rsid w:val="009F6EF0"/>
    <w:rsid w:val="009F727E"/>
    <w:rsid w:val="009F73EC"/>
    <w:rsid w:val="009F76EA"/>
    <w:rsid w:val="009F780B"/>
    <w:rsid w:val="00A000A2"/>
    <w:rsid w:val="00A00291"/>
    <w:rsid w:val="00A015CF"/>
    <w:rsid w:val="00A019A5"/>
    <w:rsid w:val="00A01B28"/>
    <w:rsid w:val="00A01BC2"/>
    <w:rsid w:val="00A0238D"/>
    <w:rsid w:val="00A02965"/>
    <w:rsid w:val="00A02DA4"/>
    <w:rsid w:val="00A03202"/>
    <w:rsid w:val="00A03AF6"/>
    <w:rsid w:val="00A03CDE"/>
    <w:rsid w:val="00A03EDD"/>
    <w:rsid w:val="00A04715"/>
    <w:rsid w:val="00A04DC5"/>
    <w:rsid w:val="00A04E04"/>
    <w:rsid w:val="00A058F3"/>
    <w:rsid w:val="00A05E3B"/>
    <w:rsid w:val="00A06377"/>
    <w:rsid w:val="00A06468"/>
    <w:rsid w:val="00A06934"/>
    <w:rsid w:val="00A06BD8"/>
    <w:rsid w:val="00A06C45"/>
    <w:rsid w:val="00A06E86"/>
    <w:rsid w:val="00A06EB0"/>
    <w:rsid w:val="00A073C4"/>
    <w:rsid w:val="00A07A5B"/>
    <w:rsid w:val="00A10790"/>
    <w:rsid w:val="00A10953"/>
    <w:rsid w:val="00A11010"/>
    <w:rsid w:val="00A11216"/>
    <w:rsid w:val="00A115BA"/>
    <w:rsid w:val="00A11BD9"/>
    <w:rsid w:val="00A120D4"/>
    <w:rsid w:val="00A12848"/>
    <w:rsid w:val="00A129EC"/>
    <w:rsid w:val="00A12B89"/>
    <w:rsid w:val="00A12BD9"/>
    <w:rsid w:val="00A136C2"/>
    <w:rsid w:val="00A1383E"/>
    <w:rsid w:val="00A14711"/>
    <w:rsid w:val="00A1486F"/>
    <w:rsid w:val="00A14A56"/>
    <w:rsid w:val="00A14DBF"/>
    <w:rsid w:val="00A14E67"/>
    <w:rsid w:val="00A14E92"/>
    <w:rsid w:val="00A14EE1"/>
    <w:rsid w:val="00A150BB"/>
    <w:rsid w:val="00A1538E"/>
    <w:rsid w:val="00A155C3"/>
    <w:rsid w:val="00A1615B"/>
    <w:rsid w:val="00A16233"/>
    <w:rsid w:val="00A1626D"/>
    <w:rsid w:val="00A16625"/>
    <w:rsid w:val="00A166E7"/>
    <w:rsid w:val="00A168F5"/>
    <w:rsid w:val="00A17AED"/>
    <w:rsid w:val="00A17BC6"/>
    <w:rsid w:val="00A20024"/>
    <w:rsid w:val="00A200E2"/>
    <w:rsid w:val="00A20671"/>
    <w:rsid w:val="00A20EF6"/>
    <w:rsid w:val="00A212CC"/>
    <w:rsid w:val="00A21AF8"/>
    <w:rsid w:val="00A21CAB"/>
    <w:rsid w:val="00A21FC0"/>
    <w:rsid w:val="00A231C2"/>
    <w:rsid w:val="00A23981"/>
    <w:rsid w:val="00A24A76"/>
    <w:rsid w:val="00A24AC6"/>
    <w:rsid w:val="00A24D13"/>
    <w:rsid w:val="00A25041"/>
    <w:rsid w:val="00A25AA9"/>
    <w:rsid w:val="00A26051"/>
    <w:rsid w:val="00A2609E"/>
    <w:rsid w:val="00A26577"/>
    <w:rsid w:val="00A26702"/>
    <w:rsid w:val="00A269B0"/>
    <w:rsid w:val="00A27BF6"/>
    <w:rsid w:val="00A3039F"/>
    <w:rsid w:val="00A30479"/>
    <w:rsid w:val="00A30F60"/>
    <w:rsid w:val="00A315E0"/>
    <w:rsid w:val="00A31ACE"/>
    <w:rsid w:val="00A323B1"/>
    <w:rsid w:val="00A32477"/>
    <w:rsid w:val="00A3258E"/>
    <w:rsid w:val="00A33104"/>
    <w:rsid w:val="00A3413B"/>
    <w:rsid w:val="00A3482E"/>
    <w:rsid w:val="00A34C65"/>
    <w:rsid w:val="00A34E57"/>
    <w:rsid w:val="00A3503B"/>
    <w:rsid w:val="00A356C0"/>
    <w:rsid w:val="00A357ED"/>
    <w:rsid w:val="00A366D7"/>
    <w:rsid w:val="00A367DF"/>
    <w:rsid w:val="00A36A83"/>
    <w:rsid w:val="00A36D0A"/>
    <w:rsid w:val="00A37BCD"/>
    <w:rsid w:val="00A37CE8"/>
    <w:rsid w:val="00A400AC"/>
    <w:rsid w:val="00A4022D"/>
    <w:rsid w:val="00A40449"/>
    <w:rsid w:val="00A40851"/>
    <w:rsid w:val="00A418CF"/>
    <w:rsid w:val="00A41B78"/>
    <w:rsid w:val="00A4226A"/>
    <w:rsid w:val="00A4283B"/>
    <w:rsid w:val="00A42A2B"/>
    <w:rsid w:val="00A4348B"/>
    <w:rsid w:val="00A4364C"/>
    <w:rsid w:val="00A43769"/>
    <w:rsid w:val="00A43B37"/>
    <w:rsid w:val="00A4402B"/>
    <w:rsid w:val="00A44109"/>
    <w:rsid w:val="00A4499A"/>
    <w:rsid w:val="00A4522C"/>
    <w:rsid w:val="00A469FA"/>
    <w:rsid w:val="00A46D16"/>
    <w:rsid w:val="00A47422"/>
    <w:rsid w:val="00A47DDF"/>
    <w:rsid w:val="00A500B8"/>
    <w:rsid w:val="00A50E23"/>
    <w:rsid w:val="00A50E56"/>
    <w:rsid w:val="00A517FB"/>
    <w:rsid w:val="00A51E90"/>
    <w:rsid w:val="00A52D0E"/>
    <w:rsid w:val="00A530EC"/>
    <w:rsid w:val="00A533A2"/>
    <w:rsid w:val="00A534E5"/>
    <w:rsid w:val="00A53A1A"/>
    <w:rsid w:val="00A53A60"/>
    <w:rsid w:val="00A53CB4"/>
    <w:rsid w:val="00A53D80"/>
    <w:rsid w:val="00A53DC5"/>
    <w:rsid w:val="00A53EC4"/>
    <w:rsid w:val="00A545E8"/>
    <w:rsid w:val="00A54DA0"/>
    <w:rsid w:val="00A5504A"/>
    <w:rsid w:val="00A5528C"/>
    <w:rsid w:val="00A564AA"/>
    <w:rsid w:val="00A56922"/>
    <w:rsid w:val="00A56A96"/>
    <w:rsid w:val="00A578F4"/>
    <w:rsid w:val="00A57A0E"/>
    <w:rsid w:val="00A57A3B"/>
    <w:rsid w:val="00A57F5E"/>
    <w:rsid w:val="00A60017"/>
    <w:rsid w:val="00A60461"/>
    <w:rsid w:val="00A60C18"/>
    <w:rsid w:val="00A61015"/>
    <w:rsid w:val="00A61167"/>
    <w:rsid w:val="00A61171"/>
    <w:rsid w:val="00A627EF"/>
    <w:rsid w:val="00A63AE0"/>
    <w:rsid w:val="00A63BEC"/>
    <w:rsid w:val="00A64660"/>
    <w:rsid w:val="00A64A6B"/>
    <w:rsid w:val="00A64ACE"/>
    <w:rsid w:val="00A6525D"/>
    <w:rsid w:val="00A65687"/>
    <w:rsid w:val="00A65D85"/>
    <w:rsid w:val="00A65F01"/>
    <w:rsid w:val="00A666CE"/>
    <w:rsid w:val="00A66C2E"/>
    <w:rsid w:val="00A66DD8"/>
    <w:rsid w:val="00A6722C"/>
    <w:rsid w:val="00A676AC"/>
    <w:rsid w:val="00A7024D"/>
    <w:rsid w:val="00A70FA8"/>
    <w:rsid w:val="00A7114D"/>
    <w:rsid w:val="00A7116D"/>
    <w:rsid w:val="00A71F07"/>
    <w:rsid w:val="00A727DA"/>
    <w:rsid w:val="00A72831"/>
    <w:rsid w:val="00A72D00"/>
    <w:rsid w:val="00A73472"/>
    <w:rsid w:val="00A74B9C"/>
    <w:rsid w:val="00A74E20"/>
    <w:rsid w:val="00A750EA"/>
    <w:rsid w:val="00A75918"/>
    <w:rsid w:val="00A75B4F"/>
    <w:rsid w:val="00A75EE8"/>
    <w:rsid w:val="00A7656D"/>
    <w:rsid w:val="00A76B6F"/>
    <w:rsid w:val="00A77279"/>
    <w:rsid w:val="00A7744C"/>
    <w:rsid w:val="00A77455"/>
    <w:rsid w:val="00A778D4"/>
    <w:rsid w:val="00A77A69"/>
    <w:rsid w:val="00A77BC9"/>
    <w:rsid w:val="00A80CAC"/>
    <w:rsid w:val="00A81026"/>
    <w:rsid w:val="00A810C6"/>
    <w:rsid w:val="00A813AE"/>
    <w:rsid w:val="00A814EE"/>
    <w:rsid w:val="00A81F59"/>
    <w:rsid w:val="00A81F8F"/>
    <w:rsid w:val="00A821F9"/>
    <w:rsid w:val="00A82212"/>
    <w:rsid w:val="00A82410"/>
    <w:rsid w:val="00A82686"/>
    <w:rsid w:val="00A828A3"/>
    <w:rsid w:val="00A83593"/>
    <w:rsid w:val="00A83694"/>
    <w:rsid w:val="00A83D8A"/>
    <w:rsid w:val="00A846C8"/>
    <w:rsid w:val="00A8474B"/>
    <w:rsid w:val="00A84F1E"/>
    <w:rsid w:val="00A8511A"/>
    <w:rsid w:val="00A8545E"/>
    <w:rsid w:val="00A8589A"/>
    <w:rsid w:val="00A85B1C"/>
    <w:rsid w:val="00A85E00"/>
    <w:rsid w:val="00A8606E"/>
    <w:rsid w:val="00A86C58"/>
    <w:rsid w:val="00A86EF3"/>
    <w:rsid w:val="00A87747"/>
    <w:rsid w:val="00A87786"/>
    <w:rsid w:val="00A8792A"/>
    <w:rsid w:val="00A87CC7"/>
    <w:rsid w:val="00A9065B"/>
    <w:rsid w:val="00A90898"/>
    <w:rsid w:val="00A90925"/>
    <w:rsid w:val="00A90B7E"/>
    <w:rsid w:val="00A90D5C"/>
    <w:rsid w:val="00A91410"/>
    <w:rsid w:val="00A9190A"/>
    <w:rsid w:val="00A922FE"/>
    <w:rsid w:val="00A9292F"/>
    <w:rsid w:val="00A92963"/>
    <w:rsid w:val="00A92C7F"/>
    <w:rsid w:val="00A92E89"/>
    <w:rsid w:val="00A93385"/>
    <w:rsid w:val="00A933C8"/>
    <w:rsid w:val="00A941D0"/>
    <w:rsid w:val="00A9423A"/>
    <w:rsid w:val="00A943EB"/>
    <w:rsid w:val="00A9440F"/>
    <w:rsid w:val="00A9500C"/>
    <w:rsid w:val="00A951B1"/>
    <w:rsid w:val="00A95592"/>
    <w:rsid w:val="00A95C45"/>
    <w:rsid w:val="00A95C72"/>
    <w:rsid w:val="00A95D78"/>
    <w:rsid w:val="00A9606A"/>
    <w:rsid w:val="00A96341"/>
    <w:rsid w:val="00A96620"/>
    <w:rsid w:val="00A967DA"/>
    <w:rsid w:val="00A9684C"/>
    <w:rsid w:val="00A968A8"/>
    <w:rsid w:val="00A9761B"/>
    <w:rsid w:val="00AA0B0E"/>
    <w:rsid w:val="00AA175B"/>
    <w:rsid w:val="00AA1971"/>
    <w:rsid w:val="00AA21DB"/>
    <w:rsid w:val="00AA22C8"/>
    <w:rsid w:val="00AA2590"/>
    <w:rsid w:val="00AA27BA"/>
    <w:rsid w:val="00AA2B5B"/>
    <w:rsid w:val="00AA2FC7"/>
    <w:rsid w:val="00AA3013"/>
    <w:rsid w:val="00AA3929"/>
    <w:rsid w:val="00AA3C85"/>
    <w:rsid w:val="00AA3CC5"/>
    <w:rsid w:val="00AA3D97"/>
    <w:rsid w:val="00AA3DF0"/>
    <w:rsid w:val="00AA4610"/>
    <w:rsid w:val="00AA48A0"/>
    <w:rsid w:val="00AA4B4C"/>
    <w:rsid w:val="00AA4D81"/>
    <w:rsid w:val="00AA5055"/>
    <w:rsid w:val="00AA5779"/>
    <w:rsid w:val="00AA60A3"/>
    <w:rsid w:val="00AA62E9"/>
    <w:rsid w:val="00AA6444"/>
    <w:rsid w:val="00AA65FB"/>
    <w:rsid w:val="00AA6C02"/>
    <w:rsid w:val="00AA6E87"/>
    <w:rsid w:val="00AA799A"/>
    <w:rsid w:val="00AB00A9"/>
    <w:rsid w:val="00AB06BB"/>
    <w:rsid w:val="00AB07A6"/>
    <w:rsid w:val="00AB175C"/>
    <w:rsid w:val="00AB198D"/>
    <w:rsid w:val="00AB1A3E"/>
    <w:rsid w:val="00AB1D2C"/>
    <w:rsid w:val="00AB2080"/>
    <w:rsid w:val="00AB27AA"/>
    <w:rsid w:val="00AB2E41"/>
    <w:rsid w:val="00AB3AC5"/>
    <w:rsid w:val="00AB3C45"/>
    <w:rsid w:val="00AB3D22"/>
    <w:rsid w:val="00AB3EA5"/>
    <w:rsid w:val="00AB40E5"/>
    <w:rsid w:val="00AB452D"/>
    <w:rsid w:val="00AB49B4"/>
    <w:rsid w:val="00AB52BC"/>
    <w:rsid w:val="00AB6EDA"/>
    <w:rsid w:val="00AB7B22"/>
    <w:rsid w:val="00AC003F"/>
    <w:rsid w:val="00AC02C2"/>
    <w:rsid w:val="00AC09E4"/>
    <w:rsid w:val="00AC0FCE"/>
    <w:rsid w:val="00AC1258"/>
    <w:rsid w:val="00AC1470"/>
    <w:rsid w:val="00AC2846"/>
    <w:rsid w:val="00AC2CF3"/>
    <w:rsid w:val="00AC3662"/>
    <w:rsid w:val="00AC382D"/>
    <w:rsid w:val="00AC3AD9"/>
    <w:rsid w:val="00AC3D3D"/>
    <w:rsid w:val="00AC3E12"/>
    <w:rsid w:val="00AC4898"/>
    <w:rsid w:val="00AC4FDB"/>
    <w:rsid w:val="00AC5206"/>
    <w:rsid w:val="00AC561C"/>
    <w:rsid w:val="00AC63C6"/>
    <w:rsid w:val="00AC6C52"/>
    <w:rsid w:val="00AC7294"/>
    <w:rsid w:val="00AC7653"/>
    <w:rsid w:val="00AC7DC6"/>
    <w:rsid w:val="00AD033C"/>
    <w:rsid w:val="00AD05DF"/>
    <w:rsid w:val="00AD0DD2"/>
    <w:rsid w:val="00AD0DDD"/>
    <w:rsid w:val="00AD11F2"/>
    <w:rsid w:val="00AD13DE"/>
    <w:rsid w:val="00AD1C2A"/>
    <w:rsid w:val="00AD1D82"/>
    <w:rsid w:val="00AD2265"/>
    <w:rsid w:val="00AD2492"/>
    <w:rsid w:val="00AD24B9"/>
    <w:rsid w:val="00AD29D3"/>
    <w:rsid w:val="00AD2D53"/>
    <w:rsid w:val="00AD312C"/>
    <w:rsid w:val="00AD3528"/>
    <w:rsid w:val="00AD3DBA"/>
    <w:rsid w:val="00AD3E64"/>
    <w:rsid w:val="00AD4159"/>
    <w:rsid w:val="00AD4299"/>
    <w:rsid w:val="00AD4CAE"/>
    <w:rsid w:val="00AD5197"/>
    <w:rsid w:val="00AD52FF"/>
    <w:rsid w:val="00AD64D3"/>
    <w:rsid w:val="00AD6721"/>
    <w:rsid w:val="00AD6CC9"/>
    <w:rsid w:val="00AD7711"/>
    <w:rsid w:val="00AD7803"/>
    <w:rsid w:val="00AE096D"/>
    <w:rsid w:val="00AE0AA5"/>
    <w:rsid w:val="00AE1791"/>
    <w:rsid w:val="00AE180A"/>
    <w:rsid w:val="00AE1898"/>
    <w:rsid w:val="00AE1E59"/>
    <w:rsid w:val="00AE1ECA"/>
    <w:rsid w:val="00AE1F53"/>
    <w:rsid w:val="00AE20FB"/>
    <w:rsid w:val="00AE2256"/>
    <w:rsid w:val="00AE2449"/>
    <w:rsid w:val="00AE26BD"/>
    <w:rsid w:val="00AE2A26"/>
    <w:rsid w:val="00AE2B20"/>
    <w:rsid w:val="00AE2BDE"/>
    <w:rsid w:val="00AE2E16"/>
    <w:rsid w:val="00AE30ED"/>
    <w:rsid w:val="00AE3A43"/>
    <w:rsid w:val="00AE4A18"/>
    <w:rsid w:val="00AE4C9A"/>
    <w:rsid w:val="00AE5011"/>
    <w:rsid w:val="00AE5345"/>
    <w:rsid w:val="00AE53FC"/>
    <w:rsid w:val="00AE54EA"/>
    <w:rsid w:val="00AE578E"/>
    <w:rsid w:val="00AE57B3"/>
    <w:rsid w:val="00AE72DA"/>
    <w:rsid w:val="00AE7500"/>
    <w:rsid w:val="00AE75DB"/>
    <w:rsid w:val="00AE75ED"/>
    <w:rsid w:val="00AE7958"/>
    <w:rsid w:val="00AE7ED9"/>
    <w:rsid w:val="00AE7FED"/>
    <w:rsid w:val="00AF0861"/>
    <w:rsid w:val="00AF0A34"/>
    <w:rsid w:val="00AF15BC"/>
    <w:rsid w:val="00AF1615"/>
    <w:rsid w:val="00AF1722"/>
    <w:rsid w:val="00AF1AEB"/>
    <w:rsid w:val="00AF24E8"/>
    <w:rsid w:val="00AF2770"/>
    <w:rsid w:val="00AF3847"/>
    <w:rsid w:val="00AF3C55"/>
    <w:rsid w:val="00AF3DC5"/>
    <w:rsid w:val="00AF520D"/>
    <w:rsid w:val="00AF5287"/>
    <w:rsid w:val="00AF5703"/>
    <w:rsid w:val="00AF5947"/>
    <w:rsid w:val="00AF6205"/>
    <w:rsid w:val="00AF6818"/>
    <w:rsid w:val="00AF7261"/>
    <w:rsid w:val="00AF7ED9"/>
    <w:rsid w:val="00B0011A"/>
    <w:rsid w:val="00B009D0"/>
    <w:rsid w:val="00B00A53"/>
    <w:rsid w:val="00B00CFD"/>
    <w:rsid w:val="00B010FA"/>
    <w:rsid w:val="00B011DD"/>
    <w:rsid w:val="00B01639"/>
    <w:rsid w:val="00B0178C"/>
    <w:rsid w:val="00B01C73"/>
    <w:rsid w:val="00B036E5"/>
    <w:rsid w:val="00B03A4E"/>
    <w:rsid w:val="00B03FE2"/>
    <w:rsid w:val="00B0490A"/>
    <w:rsid w:val="00B055CA"/>
    <w:rsid w:val="00B05923"/>
    <w:rsid w:val="00B05B3C"/>
    <w:rsid w:val="00B0649A"/>
    <w:rsid w:val="00B072E0"/>
    <w:rsid w:val="00B07AC5"/>
    <w:rsid w:val="00B07AD0"/>
    <w:rsid w:val="00B07F0A"/>
    <w:rsid w:val="00B106E8"/>
    <w:rsid w:val="00B10938"/>
    <w:rsid w:val="00B109AE"/>
    <w:rsid w:val="00B11C64"/>
    <w:rsid w:val="00B11D38"/>
    <w:rsid w:val="00B122C3"/>
    <w:rsid w:val="00B12716"/>
    <w:rsid w:val="00B1272D"/>
    <w:rsid w:val="00B12BB3"/>
    <w:rsid w:val="00B12C6F"/>
    <w:rsid w:val="00B12EE2"/>
    <w:rsid w:val="00B1302C"/>
    <w:rsid w:val="00B139D4"/>
    <w:rsid w:val="00B141C4"/>
    <w:rsid w:val="00B14DA0"/>
    <w:rsid w:val="00B150FF"/>
    <w:rsid w:val="00B15EDF"/>
    <w:rsid w:val="00B15FB2"/>
    <w:rsid w:val="00B16357"/>
    <w:rsid w:val="00B16687"/>
    <w:rsid w:val="00B166C2"/>
    <w:rsid w:val="00B168A3"/>
    <w:rsid w:val="00B16C9C"/>
    <w:rsid w:val="00B17113"/>
    <w:rsid w:val="00B175BC"/>
    <w:rsid w:val="00B1775A"/>
    <w:rsid w:val="00B17B75"/>
    <w:rsid w:val="00B17E73"/>
    <w:rsid w:val="00B17F40"/>
    <w:rsid w:val="00B20B55"/>
    <w:rsid w:val="00B20E69"/>
    <w:rsid w:val="00B20F2B"/>
    <w:rsid w:val="00B2126F"/>
    <w:rsid w:val="00B22176"/>
    <w:rsid w:val="00B22309"/>
    <w:rsid w:val="00B2242E"/>
    <w:rsid w:val="00B22513"/>
    <w:rsid w:val="00B2267D"/>
    <w:rsid w:val="00B22907"/>
    <w:rsid w:val="00B22D27"/>
    <w:rsid w:val="00B22DEF"/>
    <w:rsid w:val="00B23393"/>
    <w:rsid w:val="00B23915"/>
    <w:rsid w:val="00B23AA1"/>
    <w:rsid w:val="00B24041"/>
    <w:rsid w:val="00B24994"/>
    <w:rsid w:val="00B24A4F"/>
    <w:rsid w:val="00B24BD7"/>
    <w:rsid w:val="00B24D82"/>
    <w:rsid w:val="00B24F9A"/>
    <w:rsid w:val="00B25125"/>
    <w:rsid w:val="00B25E02"/>
    <w:rsid w:val="00B25E60"/>
    <w:rsid w:val="00B25F93"/>
    <w:rsid w:val="00B2655A"/>
    <w:rsid w:val="00B26995"/>
    <w:rsid w:val="00B26BB0"/>
    <w:rsid w:val="00B26D6B"/>
    <w:rsid w:val="00B27425"/>
    <w:rsid w:val="00B27BFA"/>
    <w:rsid w:val="00B27E15"/>
    <w:rsid w:val="00B27F7C"/>
    <w:rsid w:val="00B3025F"/>
    <w:rsid w:val="00B302B1"/>
    <w:rsid w:val="00B304D5"/>
    <w:rsid w:val="00B30589"/>
    <w:rsid w:val="00B30891"/>
    <w:rsid w:val="00B30A32"/>
    <w:rsid w:val="00B30B08"/>
    <w:rsid w:val="00B30D61"/>
    <w:rsid w:val="00B31A6D"/>
    <w:rsid w:val="00B32779"/>
    <w:rsid w:val="00B3280D"/>
    <w:rsid w:val="00B33A7B"/>
    <w:rsid w:val="00B3409D"/>
    <w:rsid w:val="00B34B12"/>
    <w:rsid w:val="00B3507C"/>
    <w:rsid w:val="00B350D2"/>
    <w:rsid w:val="00B35922"/>
    <w:rsid w:val="00B359E7"/>
    <w:rsid w:val="00B365F5"/>
    <w:rsid w:val="00B36D74"/>
    <w:rsid w:val="00B37FA7"/>
    <w:rsid w:val="00B40153"/>
    <w:rsid w:val="00B4045A"/>
    <w:rsid w:val="00B4095F"/>
    <w:rsid w:val="00B40F76"/>
    <w:rsid w:val="00B4188A"/>
    <w:rsid w:val="00B41CBC"/>
    <w:rsid w:val="00B41DC0"/>
    <w:rsid w:val="00B42646"/>
    <w:rsid w:val="00B43641"/>
    <w:rsid w:val="00B43830"/>
    <w:rsid w:val="00B43C13"/>
    <w:rsid w:val="00B4430C"/>
    <w:rsid w:val="00B4495E"/>
    <w:rsid w:val="00B44AC5"/>
    <w:rsid w:val="00B44E3F"/>
    <w:rsid w:val="00B45526"/>
    <w:rsid w:val="00B45714"/>
    <w:rsid w:val="00B45F19"/>
    <w:rsid w:val="00B4671F"/>
    <w:rsid w:val="00B473B0"/>
    <w:rsid w:val="00B47480"/>
    <w:rsid w:val="00B51653"/>
    <w:rsid w:val="00B51B5E"/>
    <w:rsid w:val="00B51DF4"/>
    <w:rsid w:val="00B52B9A"/>
    <w:rsid w:val="00B53254"/>
    <w:rsid w:val="00B53636"/>
    <w:rsid w:val="00B53BA1"/>
    <w:rsid w:val="00B53C07"/>
    <w:rsid w:val="00B53CA2"/>
    <w:rsid w:val="00B548D6"/>
    <w:rsid w:val="00B54C83"/>
    <w:rsid w:val="00B54F16"/>
    <w:rsid w:val="00B54FDF"/>
    <w:rsid w:val="00B55700"/>
    <w:rsid w:val="00B557ED"/>
    <w:rsid w:val="00B558AD"/>
    <w:rsid w:val="00B55AF7"/>
    <w:rsid w:val="00B55AFC"/>
    <w:rsid w:val="00B56032"/>
    <w:rsid w:val="00B56369"/>
    <w:rsid w:val="00B56671"/>
    <w:rsid w:val="00B56BF8"/>
    <w:rsid w:val="00B56C0C"/>
    <w:rsid w:val="00B57021"/>
    <w:rsid w:val="00B57248"/>
    <w:rsid w:val="00B578AC"/>
    <w:rsid w:val="00B57A23"/>
    <w:rsid w:val="00B57E28"/>
    <w:rsid w:val="00B601C4"/>
    <w:rsid w:val="00B61117"/>
    <w:rsid w:val="00B6118F"/>
    <w:rsid w:val="00B611B6"/>
    <w:rsid w:val="00B61E55"/>
    <w:rsid w:val="00B62106"/>
    <w:rsid w:val="00B62150"/>
    <w:rsid w:val="00B622D9"/>
    <w:rsid w:val="00B629F3"/>
    <w:rsid w:val="00B62B20"/>
    <w:rsid w:val="00B63259"/>
    <w:rsid w:val="00B6328D"/>
    <w:rsid w:val="00B635DD"/>
    <w:rsid w:val="00B63837"/>
    <w:rsid w:val="00B644E1"/>
    <w:rsid w:val="00B64954"/>
    <w:rsid w:val="00B64A3A"/>
    <w:rsid w:val="00B64BF6"/>
    <w:rsid w:val="00B6515E"/>
    <w:rsid w:val="00B65344"/>
    <w:rsid w:val="00B65364"/>
    <w:rsid w:val="00B65B62"/>
    <w:rsid w:val="00B668C5"/>
    <w:rsid w:val="00B66B6F"/>
    <w:rsid w:val="00B66DEF"/>
    <w:rsid w:val="00B67466"/>
    <w:rsid w:val="00B67E1F"/>
    <w:rsid w:val="00B70155"/>
    <w:rsid w:val="00B70B11"/>
    <w:rsid w:val="00B70D2B"/>
    <w:rsid w:val="00B71047"/>
    <w:rsid w:val="00B71309"/>
    <w:rsid w:val="00B71844"/>
    <w:rsid w:val="00B71D85"/>
    <w:rsid w:val="00B71F95"/>
    <w:rsid w:val="00B72623"/>
    <w:rsid w:val="00B728E5"/>
    <w:rsid w:val="00B72AAB"/>
    <w:rsid w:val="00B7309F"/>
    <w:rsid w:val="00B7386E"/>
    <w:rsid w:val="00B73961"/>
    <w:rsid w:val="00B73BAD"/>
    <w:rsid w:val="00B73EDA"/>
    <w:rsid w:val="00B73EFB"/>
    <w:rsid w:val="00B74955"/>
    <w:rsid w:val="00B74A8B"/>
    <w:rsid w:val="00B74DB5"/>
    <w:rsid w:val="00B7539B"/>
    <w:rsid w:val="00B75B5F"/>
    <w:rsid w:val="00B75D2D"/>
    <w:rsid w:val="00B7623A"/>
    <w:rsid w:val="00B7681C"/>
    <w:rsid w:val="00B76877"/>
    <w:rsid w:val="00B775B9"/>
    <w:rsid w:val="00B777F4"/>
    <w:rsid w:val="00B77C60"/>
    <w:rsid w:val="00B77C81"/>
    <w:rsid w:val="00B77CE3"/>
    <w:rsid w:val="00B80242"/>
    <w:rsid w:val="00B8035B"/>
    <w:rsid w:val="00B80FE9"/>
    <w:rsid w:val="00B8117C"/>
    <w:rsid w:val="00B812FA"/>
    <w:rsid w:val="00B815EB"/>
    <w:rsid w:val="00B81D45"/>
    <w:rsid w:val="00B81E76"/>
    <w:rsid w:val="00B82043"/>
    <w:rsid w:val="00B8247E"/>
    <w:rsid w:val="00B82997"/>
    <w:rsid w:val="00B82A66"/>
    <w:rsid w:val="00B82AAD"/>
    <w:rsid w:val="00B82EEC"/>
    <w:rsid w:val="00B83152"/>
    <w:rsid w:val="00B83885"/>
    <w:rsid w:val="00B83925"/>
    <w:rsid w:val="00B83D17"/>
    <w:rsid w:val="00B840DE"/>
    <w:rsid w:val="00B841E8"/>
    <w:rsid w:val="00B84A3B"/>
    <w:rsid w:val="00B84D9F"/>
    <w:rsid w:val="00B84F33"/>
    <w:rsid w:val="00B84F3A"/>
    <w:rsid w:val="00B85272"/>
    <w:rsid w:val="00B8539D"/>
    <w:rsid w:val="00B85433"/>
    <w:rsid w:val="00B85A19"/>
    <w:rsid w:val="00B86AAA"/>
    <w:rsid w:val="00B86BAC"/>
    <w:rsid w:val="00B877A9"/>
    <w:rsid w:val="00B87C64"/>
    <w:rsid w:val="00B87DBA"/>
    <w:rsid w:val="00B908F2"/>
    <w:rsid w:val="00B90CCB"/>
    <w:rsid w:val="00B90EBE"/>
    <w:rsid w:val="00B9107A"/>
    <w:rsid w:val="00B91558"/>
    <w:rsid w:val="00B91BD0"/>
    <w:rsid w:val="00B91F0D"/>
    <w:rsid w:val="00B93083"/>
    <w:rsid w:val="00B938D1"/>
    <w:rsid w:val="00B939E2"/>
    <w:rsid w:val="00B940C5"/>
    <w:rsid w:val="00B942DD"/>
    <w:rsid w:val="00B94352"/>
    <w:rsid w:val="00B9464F"/>
    <w:rsid w:val="00B94FB2"/>
    <w:rsid w:val="00B95162"/>
    <w:rsid w:val="00B9533D"/>
    <w:rsid w:val="00B95446"/>
    <w:rsid w:val="00B95A15"/>
    <w:rsid w:val="00B95FA4"/>
    <w:rsid w:val="00B9712E"/>
    <w:rsid w:val="00B9731B"/>
    <w:rsid w:val="00B97898"/>
    <w:rsid w:val="00B97C1C"/>
    <w:rsid w:val="00BA10F3"/>
    <w:rsid w:val="00BA1228"/>
    <w:rsid w:val="00BA17BD"/>
    <w:rsid w:val="00BA193D"/>
    <w:rsid w:val="00BA204B"/>
    <w:rsid w:val="00BA263F"/>
    <w:rsid w:val="00BA313D"/>
    <w:rsid w:val="00BA32CC"/>
    <w:rsid w:val="00BA351E"/>
    <w:rsid w:val="00BA3BBF"/>
    <w:rsid w:val="00BA3F8C"/>
    <w:rsid w:val="00BA442E"/>
    <w:rsid w:val="00BA49C0"/>
    <w:rsid w:val="00BA4E95"/>
    <w:rsid w:val="00BA5876"/>
    <w:rsid w:val="00BA5C4E"/>
    <w:rsid w:val="00BA5F88"/>
    <w:rsid w:val="00BA6365"/>
    <w:rsid w:val="00BA6396"/>
    <w:rsid w:val="00BA6C86"/>
    <w:rsid w:val="00BA6D2B"/>
    <w:rsid w:val="00BA7DED"/>
    <w:rsid w:val="00BB0026"/>
    <w:rsid w:val="00BB01E4"/>
    <w:rsid w:val="00BB0D85"/>
    <w:rsid w:val="00BB111C"/>
    <w:rsid w:val="00BB1434"/>
    <w:rsid w:val="00BB14EC"/>
    <w:rsid w:val="00BB186C"/>
    <w:rsid w:val="00BB190D"/>
    <w:rsid w:val="00BB1B5B"/>
    <w:rsid w:val="00BB25D4"/>
    <w:rsid w:val="00BB39C3"/>
    <w:rsid w:val="00BB3FD6"/>
    <w:rsid w:val="00BB43EC"/>
    <w:rsid w:val="00BB440A"/>
    <w:rsid w:val="00BB4C32"/>
    <w:rsid w:val="00BB4EE4"/>
    <w:rsid w:val="00BB60C7"/>
    <w:rsid w:val="00BB636B"/>
    <w:rsid w:val="00BB69F6"/>
    <w:rsid w:val="00BB7588"/>
    <w:rsid w:val="00BB786E"/>
    <w:rsid w:val="00BB7CB4"/>
    <w:rsid w:val="00BB7CBD"/>
    <w:rsid w:val="00BC0369"/>
    <w:rsid w:val="00BC04CA"/>
    <w:rsid w:val="00BC074D"/>
    <w:rsid w:val="00BC0A0A"/>
    <w:rsid w:val="00BC0DC4"/>
    <w:rsid w:val="00BC1081"/>
    <w:rsid w:val="00BC1085"/>
    <w:rsid w:val="00BC15A7"/>
    <w:rsid w:val="00BC1AB0"/>
    <w:rsid w:val="00BC1C45"/>
    <w:rsid w:val="00BC28D4"/>
    <w:rsid w:val="00BC2ADB"/>
    <w:rsid w:val="00BC2EEB"/>
    <w:rsid w:val="00BC3105"/>
    <w:rsid w:val="00BC32C0"/>
    <w:rsid w:val="00BC3C60"/>
    <w:rsid w:val="00BC3EF9"/>
    <w:rsid w:val="00BC4D89"/>
    <w:rsid w:val="00BC507C"/>
    <w:rsid w:val="00BC5435"/>
    <w:rsid w:val="00BC58D5"/>
    <w:rsid w:val="00BC5A60"/>
    <w:rsid w:val="00BC654D"/>
    <w:rsid w:val="00BC6914"/>
    <w:rsid w:val="00BC6C0E"/>
    <w:rsid w:val="00BC7485"/>
    <w:rsid w:val="00BC7696"/>
    <w:rsid w:val="00BC7AB4"/>
    <w:rsid w:val="00BC7E47"/>
    <w:rsid w:val="00BD01FF"/>
    <w:rsid w:val="00BD11EB"/>
    <w:rsid w:val="00BD1716"/>
    <w:rsid w:val="00BD1A5C"/>
    <w:rsid w:val="00BD1DDD"/>
    <w:rsid w:val="00BD1FF7"/>
    <w:rsid w:val="00BD2029"/>
    <w:rsid w:val="00BD2669"/>
    <w:rsid w:val="00BD2698"/>
    <w:rsid w:val="00BD28E7"/>
    <w:rsid w:val="00BD3681"/>
    <w:rsid w:val="00BD38D3"/>
    <w:rsid w:val="00BD3F81"/>
    <w:rsid w:val="00BD431A"/>
    <w:rsid w:val="00BD45F5"/>
    <w:rsid w:val="00BD4921"/>
    <w:rsid w:val="00BD50EA"/>
    <w:rsid w:val="00BD569E"/>
    <w:rsid w:val="00BD5F6A"/>
    <w:rsid w:val="00BD6661"/>
    <w:rsid w:val="00BD6B30"/>
    <w:rsid w:val="00BD6DEE"/>
    <w:rsid w:val="00BD7020"/>
    <w:rsid w:val="00BD7292"/>
    <w:rsid w:val="00BD7BAD"/>
    <w:rsid w:val="00BE0AC2"/>
    <w:rsid w:val="00BE0BD0"/>
    <w:rsid w:val="00BE0C2D"/>
    <w:rsid w:val="00BE0CF5"/>
    <w:rsid w:val="00BE1214"/>
    <w:rsid w:val="00BE135E"/>
    <w:rsid w:val="00BE1663"/>
    <w:rsid w:val="00BE1AE8"/>
    <w:rsid w:val="00BE1B8C"/>
    <w:rsid w:val="00BE2E5D"/>
    <w:rsid w:val="00BE3766"/>
    <w:rsid w:val="00BE37F5"/>
    <w:rsid w:val="00BE3FBB"/>
    <w:rsid w:val="00BE41E8"/>
    <w:rsid w:val="00BE424F"/>
    <w:rsid w:val="00BE48E8"/>
    <w:rsid w:val="00BE59C1"/>
    <w:rsid w:val="00BE5B17"/>
    <w:rsid w:val="00BE5C8D"/>
    <w:rsid w:val="00BE5E69"/>
    <w:rsid w:val="00BE6145"/>
    <w:rsid w:val="00BE677D"/>
    <w:rsid w:val="00BE69F7"/>
    <w:rsid w:val="00BE6A65"/>
    <w:rsid w:val="00BE732F"/>
    <w:rsid w:val="00BE76B6"/>
    <w:rsid w:val="00BE7B0F"/>
    <w:rsid w:val="00BF0402"/>
    <w:rsid w:val="00BF0ABD"/>
    <w:rsid w:val="00BF111B"/>
    <w:rsid w:val="00BF1202"/>
    <w:rsid w:val="00BF120E"/>
    <w:rsid w:val="00BF1254"/>
    <w:rsid w:val="00BF1843"/>
    <w:rsid w:val="00BF1F40"/>
    <w:rsid w:val="00BF1F5B"/>
    <w:rsid w:val="00BF2D9F"/>
    <w:rsid w:val="00BF36A9"/>
    <w:rsid w:val="00BF3B37"/>
    <w:rsid w:val="00BF4FB3"/>
    <w:rsid w:val="00BF51D4"/>
    <w:rsid w:val="00BF520A"/>
    <w:rsid w:val="00BF528D"/>
    <w:rsid w:val="00BF5DF6"/>
    <w:rsid w:val="00BF601C"/>
    <w:rsid w:val="00BF6028"/>
    <w:rsid w:val="00BF6332"/>
    <w:rsid w:val="00BF70F9"/>
    <w:rsid w:val="00BF7479"/>
    <w:rsid w:val="00BF7617"/>
    <w:rsid w:val="00BF7829"/>
    <w:rsid w:val="00BF7FF6"/>
    <w:rsid w:val="00C00226"/>
    <w:rsid w:val="00C00402"/>
    <w:rsid w:val="00C005C7"/>
    <w:rsid w:val="00C007BC"/>
    <w:rsid w:val="00C007CD"/>
    <w:rsid w:val="00C008F0"/>
    <w:rsid w:val="00C00A1A"/>
    <w:rsid w:val="00C013D6"/>
    <w:rsid w:val="00C015BA"/>
    <w:rsid w:val="00C01C26"/>
    <w:rsid w:val="00C01ECA"/>
    <w:rsid w:val="00C01F24"/>
    <w:rsid w:val="00C025C4"/>
    <w:rsid w:val="00C02A12"/>
    <w:rsid w:val="00C02A75"/>
    <w:rsid w:val="00C033F3"/>
    <w:rsid w:val="00C03433"/>
    <w:rsid w:val="00C0346C"/>
    <w:rsid w:val="00C035B1"/>
    <w:rsid w:val="00C03F1B"/>
    <w:rsid w:val="00C0467D"/>
    <w:rsid w:val="00C04913"/>
    <w:rsid w:val="00C04AD2"/>
    <w:rsid w:val="00C04D16"/>
    <w:rsid w:val="00C04EA7"/>
    <w:rsid w:val="00C051B6"/>
    <w:rsid w:val="00C054B0"/>
    <w:rsid w:val="00C05F85"/>
    <w:rsid w:val="00C06159"/>
    <w:rsid w:val="00C0757F"/>
    <w:rsid w:val="00C079D4"/>
    <w:rsid w:val="00C102AE"/>
    <w:rsid w:val="00C103BB"/>
    <w:rsid w:val="00C10412"/>
    <w:rsid w:val="00C1049A"/>
    <w:rsid w:val="00C1080C"/>
    <w:rsid w:val="00C108F5"/>
    <w:rsid w:val="00C1100E"/>
    <w:rsid w:val="00C110C8"/>
    <w:rsid w:val="00C11667"/>
    <w:rsid w:val="00C12593"/>
    <w:rsid w:val="00C1268E"/>
    <w:rsid w:val="00C13089"/>
    <w:rsid w:val="00C13232"/>
    <w:rsid w:val="00C13543"/>
    <w:rsid w:val="00C13DD7"/>
    <w:rsid w:val="00C14771"/>
    <w:rsid w:val="00C16700"/>
    <w:rsid w:val="00C17199"/>
    <w:rsid w:val="00C17C73"/>
    <w:rsid w:val="00C20ACE"/>
    <w:rsid w:val="00C213E9"/>
    <w:rsid w:val="00C21ADD"/>
    <w:rsid w:val="00C21F81"/>
    <w:rsid w:val="00C22B1C"/>
    <w:rsid w:val="00C22FFB"/>
    <w:rsid w:val="00C239F3"/>
    <w:rsid w:val="00C23BED"/>
    <w:rsid w:val="00C244DE"/>
    <w:rsid w:val="00C248A9"/>
    <w:rsid w:val="00C24B1A"/>
    <w:rsid w:val="00C24D96"/>
    <w:rsid w:val="00C2597A"/>
    <w:rsid w:val="00C25B19"/>
    <w:rsid w:val="00C260A1"/>
    <w:rsid w:val="00C260F0"/>
    <w:rsid w:val="00C262B0"/>
    <w:rsid w:val="00C26AD1"/>
    <w:rsid w:val="00C26CB9"/>
    <w:rsid w:val="00C27C37"/>
    <w:rsid w:val="00C27EA5"/>
    <w:rsid w:val="00C3001C"/>
    <w:rsid w:val="00C30119"/>
    <w:rsid w:val="00C30498"/>
    <w:rsid w:val="00C30707"/>
    <w:rsid w:val="00C30721"/>
    <w:rsid w:val="00C30793"/>
    <w:rsid w:val="00C3102C"/>
    <w:rsid w:val="00C3182E"/>
    <w:rsid w:val="00C3188B"/>
    <w:rsid w:val="00C3193A"/>
    <w:rsid w:val="00C3301E"/>
    <w:rsid w:val="00C33255"/>
    <w:rsid w:val="00C3329B"/>
    <w:rsid w:val="00C334BB"/>
    <w:rsid w:val="00C339C8"/>
    <w:rsid w:val="00C33AB9"/>
    <w:rsid w:val="00C33D0F"/>
    <w:rsid w:val="00C347CD"/>
    <w:rsid w:val="00C34AC0"/>
    <w:rsid w:val="00C34AE0"/>
    <w:rsid w:val="00C34FDD"/>
    <w:rsid w:val="00C351FD"/>
    <w:rsid w:val="00C3526C"/>
    <w:rsid w:val="00C35438"/>
    <w:rsid w:val="00C357A4"/>
    <w:rsid w:val="00C35845"/>
    <w:rsid w:val="00C374A2"/>
    <w:rsid w:val="00C378A6"/>
    <w:rsid w:val="00C406D2"/>
    <w:rsid w:val="00C40B7F"/>
    <w:rsid w:val="00C40DC9"/>
    <w:rsid w:val="00C41472"/>
    <w:rsid w:val="00C41AE9"/>
    <w:rsid w:val="00C41C8D"/>
    <w:rsid w:val="00C41FEF"/>
    <w:rsid w:val="00C42199"/>
    <w:rsid w:val="00C42BA5"/>
    <w:rsid w:val="00C42D9A"/>
    <w:rsid w:val="00C42FF3"/>
    <w:rsid w:val="00C4311B"/>
    <w:rsid w:val="00C43A6F"/>
    <w:rsid w:val="00C43B05"/>
    <w:rsid w:val="00C43FA3"/>
    <w:rsid w:val="00C441D7"/>
    <w:rsid w:val="00C44ED2"/>
    <w:rsid w:val="00C458C3"/>
    <w:rsid w:val="00C45F9F"/>
    <w:rsid w:val="00C46546"/>
    <w:rsid w:val="00C469A2"/>
    <w:rsid w:val="00C46F2E"/>
    <w:rsid w:val="00C471CE"/>
    <w:rsid w:val="00C476E1"/>
    <w:rsid w:val="00C47AC0"/>
    <w:rsid w:val="00C47B5B"/>
    <w:rsid w:val="00C50278"/>
    <w:rsid w:val="00C50497"/>
    <w:rsid w:val="00C50845"/>
    <w:rsid w:val="00C508F7"/>
    <w:rsid w:val="00C51579"/>
    <w:rsid w:val="00C52098"/>
    <w:rsid w:val="00C52667"/>
    <w:rsid w:val="00C52674"/>
    <w:rsid w:val="00C528BF"/>
    <w:rsid w:val="00C52DB9"/>
    <w:rsid w:val="00C52DE3"/>
    <w:rsid w:val="00C52DFF"/>
    <w:rsid w:val="00C533F0"/>
    <w:rsid w:val="00C53704"/>
    <w:rsid w:val="00C53BF7"/>
    <w:rsid w:val="00C53E2D"/>
    <w:rsid w:val="00C53F56"/>
    <w:rsid w:val="00C5453B"/>
    <w:rsid w:val="00C54D6C"/>
    <w:rsid w:val="00C54E1B"/>
    <w:rsid w:val="00C54EC0"/>
    <w:rsid w:val="00C55138"/>
    <w:rsid w:val="00C553A4"/>
    <w:rsid w:val="00C553CE"/>
    <w:rsid w:val="00C559E4"/>
    <w:rsid w:val="00C55BCB"/>
    <w:rsid w:val="00C5637B"/>
    <w:rsid w:val="00C56F9C"/>
    <w:rsid w:val="00C57310"/>
    <w:rsid w:val="00C574F3"/>
    <w:rsid w:val="00C57A00"/>
    <w:rsid w:val="00C57C2A"/>
    <w:rsid w:val="00C57E8D"/>
    <w:rsid w:val="00C57EF3"/>
    <w:rsid w:val="00C6031E"/>
    <w:rsid w:val="00C6067C"/>
    <w:rsid w:val="00C6078A"/>
    <w:rsid w:val="00C60EB8"/>
    <w:rsid w:val="00C60EC1"/>
    <w:rsid w:val="00C6108B"/>
    <w:rsid w:val="00C611A4"/>
    <w:rsid w:val="00C6140C"/>
    <w:rsid w:val="00C61F54"/>
    <w:rsid w:val="00C621BC"/>
    <w:rsid w:val="00C6298B"/>
    <w:rsid w:val="00C629D5"/>
    <w:rsid w:val="00C631CC"/>
    <w:rsid w:val="00C63385"/>
    <w:rsid w:val="00C63867"/>
    <w:rsid w:val="00C638F7"/>
    <w:rsid w:val="00C63C40"/>
    <w:rsid w:val="00C63CCE"/>
    <w:rsid w:val="00C64763"/>
    <w:rsid w:val="00C64CFE"/>
    <w:rsid w:val="00C64FA0"/>
    <w:rsid w:val="00C65AE0"/>
    <w:rsid w:val="00C65D25"/>
    <w:rsid w:val="00C65EC1"/>
    <w:rsid w:val="00C65F3A"/>
    <w:rsid w:val="00C66304"/>
    <w:rsid w:val="00C665CF"/>
    <w:rsid w:val="00C66B54"/>
    <w:rsid w:val="00C66EF7"/>
    <w:rsid w:val="00C672DF"/>
    <w:rsid w:val="00C67A66"/>
    <w:rsid w:val="00C67B94"/>
    <w:rsid w:val="00C67EFF"/>
    <w:rsid w:val="00C70421"/>
    <w:rsid w:val="00C704AE"/>
    <w:rsid w:val="00C70635"/>
    <w:rsid w:val="00C71653"/>
    <w:rsid w:val="00C71802"/>
    <w:rsid w:val="00C71ADE"/>
    <w:rsid w:val="00C71D11"/>
    <w:rsid w:val="00C71F27"/>
    <w:rsid w:val="00C72064"/>
    <w:rsid w:val="00C72066"/>
    <w:rsid w:val="00C72147"/>
    <w:rsid w:val="00C72866"/>
    <w:rsid w:val="00C72DD0"/>
    <w:rsid w:val="00C73379"/>
    <w:rsid w:val="00C75179"/>
    <w:rsid w:val="00C7679B"/>
    <w:rsid w:val="00C76837"/>
    <w:rsid w:val="00C76958"/>
    <w:rsid w:val="00C7698A"/>
    <w:rsid w:val="00C769A4"/>
    <w:rsid w:val="00C76C7E"/>
    <w:rsid w:val="00C76CAB"/>
    <w:rsid w:val="00C771E3"/>
    <w:rsid w:val="00C7729A"/>
    <w:rsid w:val="00C774D0"/>
    <w:rsid w:val="00C779CE"/>
    <w:rsid w:val="00C77AD2"/>
    <w:rsid w:val="00C77C41"/>
    <w:rsid w:val="00C77EED"/>
    <w:rsid w:val="00C802AB"/>
    <w:rsid w:val="00C805EA"/>
    <w:rsid w:val="00C80D69"/>
    <w:rsid w:val="00C80DDE"/>
    <w:rsid w:val="00C81BE2"/>
    <w:rsid w:val="00C81F32"/>
    <w:rsid w:val="00C82212"/>
    <w:rsid w:val="00C825B0"/>
    <w:rsid w:val="00C82683"/>
    <w:rsid w:val="00C82C03"/>
    <w:rsid w:val="00C83575"/>
    <w:rsid w:val="00C83DED"/>
    <w:rsid w:val="00C84072"/>
    <w:rsid w:val="00C84171"/>
    <w:rsid w:val="00C844F9"/>
    <w:rsid w:val="00C84510"/>
    <w:rsid w:val="00C8497C"/>
    <w:rsid w:val="00C84B8C"/>
    <w:rsid w:val="00C84C48"/>
    <w:rsid w:val="00C85EF5"/>
    <w:rsid w:val="00C861C3"/>
    <w:rsid w:val="00C87110"/>
    <w:rsid w:val="00C873C1"/>
    <w:rsid w:val="00C8746C"/>
    <w:rsid w:val="00C8753B"/>
    <w:rsid w:val="00C9114D"/>
    <w:rsid w:val="00C9121C"/>
    <w:rsid w:val="00C91365"/>
    <w:rsid w:val="00C9153A"/>
    <w:rsid w:val="00C91954"/>
    <w:rsid w:val="00C91A3D"/>
    <w:rsid w:val="00C91C53"/>
    <w:rsid w:val="00C91C5A"/>
    <w:rsid w:val="00C91E80"/>
    <w:rsid w:val="00C92994"/>
    <w:rsid w:val="00C92A18"/>
    <w:rsid w:val="00C92CBC"/>
    <w:rsid w:val="00C93241"/>
    <w:rsid w:val="00C9367D"/>
    <w:rsid w:val="00C93DC0"/>
    <w:rsid w:val="00C93F1B"/>
    <w:rsid w:val="00C9464C"/>
    <w:rsid w:val="00C94820"/>
    <w:rsid w:val="00C94852"/>
    <w:rsid w:val="00C949DB"/>
    <w:rsid w:val="00C94F28"/>
    <w:rsid w:val="00C952A2"/>
    <w:rsid w:val="00C95356"/>
    <w:rsid w:val="00C95624"/>
    <w:rsid w:val="00C958D3"/>
    <w:rsid w:val="00C965DE"/>
    <w:rsid w:val="00C969DD"/>
    <w:rsid w:val="00C97E68"/>
    <w:rsid w:val="00CA0467"/>
    <w:rsid w:val="00CA0552"/>
    <w:rsid w:val="00CA079C"/>
    <w:rsid w:val="00CA0C9B"/>
    <w:rsid w:val="00CA120F"/>
    <w:rsid w:val="00CA14F8"/>
    <w:rsid w:val="00CA1585"/>
    <w:rsid w:val="00CA24B2"/>
    <w:rsid w:val="00CA262D"/>
    <w:rsid w:val="00CA3373"/>
    <w:rsid w:val="00CA361B"/>
    <w:rsid w:val="00CA3699"/>
    <w:rsid w:val="00CA3847"/>
    <w:rsid w:val="00CA3937"/>
    <w:rsid w:val="00CA3AD2"/>
    <w:rsid w:val="00CA48DB"/>
    <w:rsid w:val="00CA49CD"/>
    <w:rsid w:val="00CA49F1"/>
    <w:rsid w:val="00CA4F0F"/>
    <w:rsid w:val="00CA50E3"/>
    <w:rsid w:val="00CA526C"/>
    <w:rsid w:val="00CA5923"/>
    <w:rsid w:val="00CA620B"/>
    <w:rsid w:val="00CA62B3"/>
    <w:rsid w:val="00CA64A7"/>
    <w:rsid w:val="00CA65EC"/>
    <w:rsid w:val="00CA6705"/>
    <w:rsid w:val="00CA6B9D"/>
    <w:rsid w:val="00CA6E55"/>
    <w:rsid w:val="00CA7262"/>
    <w:rsid w:val="00CA72D5"/>
    <w:rsid w:val="00CA7569"/>
    <w:rsid w:val="00CA788B"/>
    <w:rsid w:val="00CA7DFC"/>
    <w:rsid w:val="00CB04DF"/>
    <w:rsid w:val="00CB0EC9"/>
    <w:rsid w:val="00CB14F9"/>
    <w:rsid w:val="00CB19F4"/>
    <w:rsid w:val="00CB1C88"/>
    <w:rsid w:val="00CB2084"/>
    <w:rsid w:val="00CB27DE"/>
    <w:rsid w:val="00CB283D"/>
    <w:rsid w:val="00CB2E0A"/>
    <w:rsid w:val="00CB329E"/>
    <w:rsid w:val="00CB3A9D"/>
    <w:rsid w:val="00CB444C"/>
    <w:rsid w:val="00CB4769"/>
    <w:rsid w:val="00CB54AE"/>
    <w:rsid w:val="00CB56B7"/>
    <w:rsid w:val="00CB5A2C"/>
    <w:rsid w:val="00CB5B06"/>
    <w:rsid w:val="00CB62AB"/>
    <w:rsid w:val="00CB6818"/>
    <w:rsid w:val="00CB6A72"/>
    <w:rsid w:val="00CB77FF"/>
    <w:rsid w:val="00CB7A91"/>
    <w:rsid w:val="00CB7CA1"/>
    <w:rsid w:val="00CB7F29"/>
    <w:rsid w:val="00CC0533"/>
    <w:rsid w:val="00CC089F"/>
    <w:rsid w:val="00CC0911"/>
    <w:rsid w:val="00CC091B"/>
    <w:rsid w:val="00CC0F0D"/>
    <w:rsid w:val="00CC1EF9"/>
    <w:rsid w:val="00CC20EA"/>
    <w:rsid w:val="00CC22CB"/>
    <w:rsid w:val="00CC2AA4"/>
    <w:rsid w:val="00CC35D9"/>
    <w:rsid w:val="00CC3818"/>
    <w:rsid w:val="00CC3D0E"/>
    <w:rsid w:val="00CC3DEB"/>
    <w:rsid w:val="00CC3E0A"/>
    <w:rsid w:val="00CC4258"/>
    <w:rsid w:val="00CC46FE"/>
    <w:rsid w:val="00CC49C1"/>
    <w:rsid w:val="00CC4F18"/>
    <w:rsid w:val="00CC586B"/>
    <w:rsid w:val="00CC5CD8"/>
    <w:rsid w:val="00CC5E72"/>
    <w:rsid w:val="00CC7B2C"/>
    <w:rsid w:val="00CC7FE2"/>
    <w:rsid w:val="00CD00D3"/>
    <w:rsid w:val="00CD02A3"/>
    <w:rsid w:val="00CD0B4B"/>
    <w:rsid w:val="00CD0B68"/>
    <w:rsid w:val="00CD0C94"/>
    <w:rsid w:val="00CD14DF"/>
    <w:rsid w:val="00CD1517"/>
    <w:rsid w:val="00CD16E8"/>
    <w:rsid w:val="00CD1B28"/>
    <w:rsid w:val="00CD2A31"/>
    <w:rsid w:val="00CD2C42"/>
    <w:rsid w:val="00CD309B"/>
    <w:rsid w:val="00CD32F8"/>
    <w:rsid w:val="00CD3CDA"/>
    <w:rsid w:val="00CD629B"/>
    <w:rsid w:val="00CD63FD"/>
    <w:rsid w:val="00CD6ACE"/>
    <w:rsid w:val="00CD714C"/>
    <w:rsid w:val="00CD78D0"/>
    <w:rsid w:val="00CD7A93"/>
    <w:rsid w:val="00CE012C"/>
    <w:rsid w:val="00CE07B5"/>
    <w:rsid w:val="00CE0E3D"/>
    <w:rsid w:val="00CE1174"/>
    <w:rsid w:val="00CE11F5"/>
    <w:rsid w:val="00CE1B46"/>
    <w:rsid w:val="00CE1E59"/>
    <w:rsid w:val="00CE208A"/>
    <w:rsid w:val="00CE20F0"/>
    <w:rsid w:val="00CE23C2"/>
    <w:rsid w:val="00CE2814"/>
    <w:rsid w:val="00CE289C"/>
    <w:rsid w:val="00CE2ABC"/>
    <w:rsid w:val="00CE3B39"/>
    <w:rsid w:val="00CE4309"/>
    <w:rsid w:val="00CE47BD"/>
    <w:rsid w:val="00CE4A1A"/>
    <w:rsid w:val="00CE4FE2"/>
    <w:rsid w:val="00CE5184"/>
    <w:rsid w:val="00CE53DE"/>
    <w:rsid w:val="00CE579E"/>
    <w:rsid w:val="00CE5957"/>
    <w:rsid w:val="00CE64BA"/>
    <w:rsid w:val="00CE687C"/>
    <w:rsid w:val="00CE7010"/>
    <w:rsid w:val="00CE7087"/>
    <w:rsid w:val="00CE74D7"/>
    <w:rsid w:val="00CE752F"/>
    <w:rsid w:val="00CE78D3"/>
    <w:rsid w:val="00CE7A16"/>
    <w:rsid w:val="00CE7E6F"/>
    <w:rsid w:val="00CF0692"/>
    <w:rsid w:val="00CF08F1"/>
    <w:rsid w:val="00CF0A97"/>
    <w:rsid w:val="00CF0D0E"/>
    <w:rsid w:val="00CF14BC"/>
    <w:rsid w:val="00CF1668"/>
    <w:rsid w:val="00CF1725"/>
    <w:rsid w:val="00CF1988"/>
    <w:rsid w:val="00CF1AB0"/>
    <w:rsid w:val="00CF1E31"/>
    <w:rsid w:val="00CF1FA1"/>
    <w:rsid w:val="00CF241B"/>
    <w:rsid w:val="00CF274F"/>
    <w:rsid w:val="00CF2887"/>
    <w:rsid w:val="00CF2E88"/>
    <w:rsid w:val="00CF323B"/>
    <w:rsid w:val="00CF35B1"/>
    <w:rsid w:val="00CF38E9"/>
    <w:rsid w:val="00CF390C"/>
    <w:rsid w:val="00CF3E53"/>
    <w:rsid w:val="00CF4D5B"/>
    <w:rsid w:val="00CF571B"/>
    <w:rsid w:val="00CF5AC8"/>
    <w:rsid w:val="00CF5EAE"/>
    <w:rsid w:val="00CF6425"/>
    <w:rsid w:val="00CF6539"/>
    <w:rsid w:val="00CF679E"/>
    <w:rsid w:val="00CF78CC"/>
    <w:rsid w:val="00D00D8A"/>
    <w:rsid w:val="00D00E44"/>
    <w:rsid w:val="00D014D6"/>
    <w:rsid w:val="00D016AA"/>
    <w:rsid w:val="00D017F4"/>
    <w:rsid w:val="00D01DC3"/>
    <w:rsid w:val="00D01EEE"/>
    <w:rsid w:val="00D02945"/>
    <w:rsid w:val="00D03563"/>
    <w:rsid w:val="00D038F4"/>
    <w:rsid w:val="00D03AA7"/>
    <w:rsid w:val="00D04165"/>
    <w:rsid w:val="00D042A6"/>
    <w:rsid w:val="00D04738"/>
    <w:rsid w:val="00D0473D"/>
    <w:rsid w:val="00D0496A"/>
    <w:rsid w:val="00D04990"/>
    <w:rsid w:val="00D04A15"/>
    <w:rsid w:val="00D04A86"/>
    <w:rsid w:val="00D0561E"/>
    <w:rsid w:val="00D056EE"/>
    <w:rsid w:val="00D0584C"/>
    <w:rsid w:val="00D05934"/>
    <w:rsid w:val="00D05BA8"/>
    <w:rsid w:val="00D05E02"/>
    <w:rsid w:val="00D05F51"/>
    <w:rsid w:val="00D05F6A"/>
    <w:rsid w:val="00D06AD1"/>
    <w:rsid w:val="00D06CA3"/>
    <w:rsid w:val="00D072D2"/>
    <w:rsid w:val="00D0783F"/>
    <w:rsid w:val="00D10056"/>
    <w:rsid w:val="00D105D1"/>
    <w:rsid w:val="00D114AE"/>
    <w:rsid w:val="00D114DD"/>
    <w:rsid w:val="00D11776"/>
    <w:rsid w:val="00D11CAE"/>
    <w:rsid w:val="00D121ED"/>
    <w:rsid w:val="00D1233F"/>
    <w:rsid w:val="00D1290A"/>
    <w:rsid w:val="00D1292D"/>
    <w:rsid w:val="00D132B6"/>
    <w:rsid w:val="00D14191"/>
    <w:rsid w:val="00D147D9"/>
    <w:rsid w:val="00D14BD3"/>
    <w:rsid w:val="00D14C70"/>
    <w:rsid w:val="00D14C71"/>
    <w:rsid w:val="00D1557B"/>
    <w:rsid w:val="00D156E6"/>
    <w:rsid w:val="00D15700"/>
    <w:rsid w:val="00D16100"/>
    <w:rsid w:val="00D161A3"/>
    <w:rsid w:val="00D16A08"/>
    <w:rsid w:val="00D16E89"/>
    <w:rsid w:val="00D17175"/>
    <w:rsid w:val="00D171F2"/>
    <w:rsid w:val="00D17719"/>
    <w:rsid w:val="00D17949"/>
    <w:rsid w:val="00D20061"/>
    <w:rsid w:val="00D20500"/>
    <w:rsid w:val="00D2068C"/>
    <w:rsid w:val="00D20C16"/>
    <w:rsid w:val="00D21207"/>
    <w:rsid w:val="00D212A9"/>
    <w:rsid w:val="00D2270F"/>
    <w:rsid w:val="00D2291F"/>
    <w:rsid w:val="00D22D7F"/>
    <w:rsid w:val="00D22E85"/>
    <w:rsid w:val="00D235E3"/>
    <w:rsid w:val="00D238E0"/>
    <w:rsid w:val="00D23B2B"/>
    <w:rsid w:val="00D23DB1"/>
    <w:rsid w:val="00D242D4"/>
    <w:rsid w:val="00D24B2F"/>
    <w:rsid w:val="00D24F12"/>
    <w:rsid w:val="00D2506B"/>
    <w:rsid w:val="00D25082"/>
    <w:rsid w:val="00D25B1F"/>
    <w:rsid w:val="00D263BA"/>
    <w:rsid w:val="00D26410"/>
    <w:rsid w:val="00D26976"/>
    <w:rsid w:val="00D27083"/>
    <w:rsid w:val="00D272DC"/>
    <w:rsid w:val="00D2753C"/>
    <w:rsid w:val="00D27722"/>
    <w:rsid w:val="00D29D12"/>
    <w:rsid w:val="00D300A6"/>
    <w:rsid w:val="00D30E07"/>
    <w:rsid w:val="00D31566"/>
    <w:rsid w:val="00D31A5F"/>
    <w:rsid w:val="00D31AFE"/>
    <w:rsid w:val="00D31DD8"/>
    <w:rsid w:val="00D31E59"/>
    <w:rsid w:val="00D32512"/>
    <w:rsid w:val="00D325B6"/>
    <w:rsid w:val="00D32967"/>
    <w:rsid w:val="00D32E0B"/>
    <w:rsid w:val="00D3341A"/>
    <w:rsid w:val="00D334C0"/>
    <w:rsid w:val="00D334D9"/>
    <w:rsid w:val="00D35B66"/>
    <w:rsid w:val="00D35B74"/>
    <w:rsid w:val="00D35B8A"/>
    <w:rsid w:val="00D35DE1"/>
    <w:rsid w:val="00D3641F"/>
    <w:rsid w:val="00D37111"/>
    <w:rsid w:val="00D379F9"/>
    <w:rsid w:val="00D37FAC"/>
    <w:rsid w:val="00D403B0"/>
    <w:rsid w:val="00D408A3"/>
    <w:rsid w:val="00D40AD5"/>
    <w:rsid w:val="00D40DE3"/>
    <w:rsid w:val="00D40DF0"/>
    <w:rsid w:val="00D41033"/>
    <w:rsid w:val="00D414A4"/>
    <w:rsid w:val="00D4217A"/>
    <w:rsid w:val="00D42DFD"/>
    <w:rsid w:val="00D430B6"/>
    <w:rsid w:val="00D4348A"/>
    <w:rsid w:val="00D44008"/>
    <w:rsid w:val="00D441BD"/>
    <w:rsid w:val="00D443DB"/>
    <w:rsid w:val="00D4441A"/>
    <w:rsid w:val="00D44BD6"/>
    <w:rsid w:val="00D450FA"/>
    <w:rsid w:val="00D45201"/>
    <w:rsid w:val="00D45420"/>
    <w:rsid w:val="00D45533"/>
    <w:rsid w:val="00D459B5"/>
    <w:rsid w:val="00D462E0"/>
    <w:rsid w:val="00D4692F"/>
    <w:rsid w:val="00D469B6"/>
    <w:rsid w:val="00D46AAD"/>
    <w:rsid w:val="00D47ACE"/>
    <w:rsid w:val="00D47B40"/>
    <w:rsid w:val="00D5022D"/>
    <w:rsid w:val="00D502A3"/>
    <w:rsid w:val="00D50ED9"/>
    <w:rsid w:val="00D529B8"/>
    <w:rsid w:val="00D52AFA"/>
    <w:rsid w:val="00D52B3C"/>
    <w:rsid w:val="00D52D46"/>
    <w:rsid w:val="00D533E7"/>
    <w:rsid w:val="00D54378"/>
    <w:rsid w:val="00D5455E"/>
    <w:rsid w:val="00D54633"/>
    <w:rsid w:val="00D54A46"/>
    <w:rsid w:val="00D54F69"/>
    <w:rsid w:val="00D552DA"/>
    <w:rsid w:val="00D554EF"/>
    <w:rsid w:val="00D5584A"/>
    <w:rsid w:val="00D55D12"/>
    <w:rsid w:val="00D564A2"/>
    <w:rsid w:val="00D568D8"/>
    <w:rsid w:val="00D56A3E"/>
    <w:rsid w:val="00D56FAD"/>
    <w:rsid w:val="00D57124"/>
    <w:rsid w:val="00D571BE"/>
    <w:rsid w:val="00D57DE7"/>
    <w:rsid w:val="00D6027C"/>
    <w:rsid w:val="00D60589"/>
    <w:rsid w:val="00D60B2E"/>
    <w:rsid w:val="00D60CFF"/>
    <w:rsid w:val="00D611D5"/>
    <w:rsid w:val="00D61258"/>
    <w:rsid w:val="00D613A8"/>
    <w:rsid w:val="00D6196F"/>
    <w:rsid w:val="00D61ACA"/>
    <w:rsid w:val="00D61D43"/>
    <w:rsid w:val="00D61F53"/>
    <w:rsid w:val="00D622B9"/>
    <w:rsid w:val="00D62718"/>
    <w:rsid w:val="00D6310A"/>
    <w:rsid w:val="00D64B36"/>
    <w:rsid w:val="00D64CF0"/>
    <w:rsid w:val="00D64FFD"/>
    <w:rsid w:val="00D65082"/>
    <w:rsid w:val="00D656DD"/>
    <w:rsid w:val="00D6573F"/>
    <w:rsid w:val="00D65929"/>
    <w:rsid w:val="00D65A16"/>
    <w:rsid w:val="00D65C3F"/>
    <w:rsid w:val="00D665BB"/>
    <w:rsid w:val="00D66751"/>
    <w:rsid w:val="00D66A76"/>
    <w:rsid w:val="00D677EA"/>
    <w:rsid w:val="00D67C67"/>
    <w:rsid w:val="00D67E05"/>
    <w:rsid w:val="00D70B44"/>
    <w:rsid w:val="00D70C50"/>
    <w:rsid w:val="00D70D5C"/>
    <w:rsid w:val="00D70E2B"/>
    <w:rsid w:val="00D70E8A"/>
    <w:rsid w:val="00D71081"/>
    <w:rsid w:val="00D71146"/>
    <w:rsid w:val="00D7177A"/>
    <w:rsid w:val="00D71A12"/>
    <w:rsid w:val="00D71A68"/>
    <w:rsid w:val="00D72258"/>
    <w:rsid w:val="00D72D52"/>
    <w:rsid w:val="00D72EF2"/>
    <w:rsid w:val="00D735F5"/>
    <w:rsid w:val="00D7405A"/>
    <w:rsid w:val="00D741A0"/>
    <w:rsid w:val="00D7428B"/>
    <w:rsid w:val="00D7429F"/>
    <w:rsid w:val="00D746B8"/>
    <w:rsid w:val="00D746C0"/>
    <w:rsid w:val="00D74862"/>
    <w:rsid w:val="00D75584"/>
    <w:rsid w:val="00D757CB"/>
    <w:rsid w:val="00D75B21"/>
    <w:rsid w:val="00D75DE0"/>
    <w:rsid w:val="00D75F2B"/>
    <w:rsid w:val="00D75F35"/>
    <w:rsid w:val="00D76924"/>
    <w:rsid w:val="00D76952"/>
    <w:rsid w:val="00D76DFF"/>
    <w:rsid w:val="00D77277"/>
    <w:rsid w:val="00D775EB"/>
    <w:rsid w:val="00D77B5E"/>
    <w:rsid w:val="00D77CA7"/>
    <w:rsid w:val="00D77EBF"/>
    <w:rsid w:val="00D802CD"/>
    <w:rsid w:val="00D80415"/>
    <w:rsid w:val="00D807A9"/>
    <w:rsid w:val="00D80EA1"/>
    <w:rsid w:val="00D81221"/>
    <w:rsid w:val="00D8130C"/>
    <w:rsid w:val="00D81D53"/>
    <w:rsid w:val="00D82EEC"/>
    <w:rsid w:val="00D83B95"/>
    <w:rsid w:val="00D83EA3"/>
    <w:rsid w:val="00D843FB"/>
    <w:rsid w:val="00D851CD"/>
    <w:rsid w:val="00D85BB8"/>
    <w:rsid w:val="00D85BE5"/>
    <w:rsid w:val="00D85E1B"/>
    <w:rsid w:val="00D85E3A"/>
    <w:rsid w:val="00D86403"/>
    <w:rsid w:val="00D8693C"/>
    <w:rsid w:val="00D8724D"/>
    <w:rsid w:val="00D87AA4"/>
    <w:rsid w:val="00D87B21"/>
    <w:rsid w:val="00D90424"/>
    <w:rsid w:val="00D90C2B"/>
    <w:rsid w:val="00D90F88"/>
    <w:rsid w:val="00D91FFD"/>
    <w:rsid w:val="00D920DB"/>
    <w:rsid w:val="00D921C7"/>
    <w:rsid w:val="00D92D4D"/>
    <w:rsid w:val="00D92F4B"/>
    <w:rsid w:val="00D9300B"/>
    <w:rsid w:val="00D94F6D"/>
    <w:rsid w:val="00D9546E"/>
    <w:rsid w:val="00D954F5"/>
    <w:rsid w:val="00D95E4B"/>
    <w:rsid w:val="00D95E7C"/>
    <w:rsid w:val="00D95E9A"/>
    <w:rsid w:val="00D95F65"/>
    <w:rsid w:val="00D9668E"/>
    <w:rsid w:val="00D96BAA"/>
    <w:rsid w:val="00D96F5E"/>
    <w:rsid w:val="00D97027"/>
    <w:rsid w:val="00DA01D8"/>
    <w:rsid w:val="00DA0337"/>
    <w:rsid w:val="00DA07E5"/>
    <w:rsid w:val="00DA0910"/>
    <w:rsid w:val="00DA0AE9"/>
    <w:rsid w:val="00DA0E74"/>
    <w:rsid w:val="00DA1DEA"/>
    <w:rsid w:val="00DA1F2B"/>
    <w:rsid w:val="00DA2309"/>
    <w:rsid w:val="00DA23E7"/>
    <w:rsid w:val="00DA3247"/>
    <w:rsid w:val="00DA33A2"/>
    <w:rsid w:val="00DA3893"/>
    <w:rsid w:val="00DA3F80"/>
    <w:rsid w:val="00DA421E"/>
    <w:rsid w:val="00DA492F"/>
    <w:rsid w:val="00DA4EAC"/>
    <w:rsid w:val="00DA5681"/>
    <w:rsid w:val="00DA5732"/>
    <w:rsid w:val="00DA64B2"/>
    <w:rsid w:val="00DA672A"/>
    <w:rsid w:val="00DA6927"/>
    <w:rsid w:val="00DA6E94"/>
    <w:rsid w:val="00DA7022"/>
    <w:rsid w:val="00DA70AC"/>
    <w:rsid w:val="00DA745E"/>
    <w:rsid w:val="00DA7695"/>
    <w:rsid w:val="00DA76D6"/>
    <w:rsid w:val="00DA78DF"/>
    <w:rsid w:val="00DA7C99"/>
    <w:rsid w:val="00DB01B9"/>
    <w:rsid w:val="00DB01CB"/>
    <w:rsid w:val="00DB063B"/>
    <w:rsid w:val="00DB1008"/>
    <w:rsid w:val="00DB1B38"/>
    <w:rsid w:val="00DB1BCE"/>
    <w:rsid w:val="00DB2059"/>
    <w:rsid w:val="00DB2120"/>
    <w:rsid w:val="00DB2714"/>
    <w:rsid w:val="00DB2B7B"/>
    <w:rsid w:val="00DB31E0"/>
    <w:rsid w:val="00DB33BD"/>
    <w:rsid w:val="00DB3B40"/>
    <w:rsid w:val="00DB44ED"/>
    <w:rsid w:val="00DB51DE"/>
    <w:rsid w:val="00DB53BB"/>
    <w:rsid w:val="00DB5DF4"/>
    <w:rsid w:val="00DB662A"/>
    <w:rsid w:val="00DB66B2"/>
    <w:rsid w:val="00DB69F4"/>
    <w:rsid w:val="00DB76E1"/>
    <w:rsid w:val="00DB7B14"/>
    <w:rsid w:val="00DB7BBC"/>
    <w:rsid w:val="00DC00DE"/>
    <w:rsid w:val="00DC066D"/>
    <w:rsid w:val="00DC06DD"/>
    <w:rsid w:val="00DC0A8E"/>
    <w:rsid w:val="00DC122F"/>
    <w:rsid w:val="00DC13FF"/>
    <w:rsid w:val="00DC1D2C"/>
    <w:rsid w:val="00DC2189"/>
    <w:rsid w:val="00DC24DD"/>
    <w:rsid w:val="00DC286B"/>
    <w:rsid w:val="00DC2877"/>
    <w:rsid w:val="00DC2C03"/>
    <w:rsid w:val="00DC3144"/>
    <w:rsid w:val="00DC3504"/>
    <w:rsid w:val="00DC3DED"/>
    <w:rsid w:val="00DC4599"/>
    <w:rsid w:val="00DC4D94"/>
    <w:rsid w:val="00DC56CE"/>
    <w:rsid w:val="00DC5BF7"/>
    <w:rsid w:val="00DC5C64"/>
    <w:rsid w:val="00DC6083"/>
    <w:rsid w:val="00DC6099"/>
    <w:rsid w:val="00DC6219"/>
    <w:rsid w:val="00DC6243"/>
    <w:rsid w:val="00DC6666"/>
    <w:rsid w:val="00DC6943"/>
    <w:rsid w:val="00DC75CD"/>
    <w:rsid w:val="00DD0177"/>
    <w:rsid w:val="00DD0247"/>
    <w:rsid w:val="00DD10E3"/>
    <w:rsid w:val="00DD1538"/>
    <w:rsid w:val="00DD1729"/>
    <w:rsid w:val="00DD1BC3"/>
    <w:rsid w:val="00DD1CEA"/>
    <w:rsid w:val="00DD1DF7"/>
    <w:rsid w:val="00DD1FF8"/>
    <w:rsid w:val="00DD252F"/>
    <w:rsid w:val="00DD2B11"/>
    <w:rsid w:val="00DD3129"/>
    <w:rsid w:val="00DD32E9"/>
    <w:rsid w:val="00DD3DA3"/>
    <w:rsid w:val="00DD41E8"/>
    <w:rsid w:val="00DD44D0"/>
    <w:rsid w:val="00DD4960"/>
    <w:rsid w:val="00DD51CE"/>
    <w:rsid w:val="00DD54B9"/>
    <w:rsid w:val="00DD57B2"/>
    <w:rsid w:val="00DD5A20"/>
    <w:rsid w:val="00DD5AD9"/>
    <w:rsid w:val="00DD5BE7"/>
    <w:rsid w:val="00DD7330"/>
    <w:rsid w:val="00DE035A"/>
    <w:rsid w:val="00DE04A3"/>
    <w:rsid w:val="00DE07FA"/>
    <w:rsid w:val="00DE11B1"/>
    <w:rsid w:val="00DE1952"/>
    <w:rsid w:val="00DE2A72"/>
    <w:rsid w:val="00DE2C44"/>
    <w:rsid w:val="00DE32D8"/>
    <w:rsid w:val="00DE3315"/>
    <w:rsid w:val="00DE3886"/>
    <w:rsid w:val="00DE441B"/>
    <w:rsid w:val="00DE477D"/>
    <w:rsid w:val="00DE4BC2"/>
    <w:rsid w:val="00DE5D12"/>
    <w:rsid w:val="00DE5DBC"/>
    <w:rsid w:val="00DE5E05"/>
    <w:rsid w:val="00DE5F22"/>
    <w:rsid w:val="00DE5FB9"/>
    <w:rsid w:val="00DE6285"/>
    <w:rsid w:val="00DE62BE"/>
    <w:rsid w:val="00DE6902"/>
    <w:rsid w:val="00DE6AB1"/>
    <w:rsid w:val="00DE6BD4"/>
    <w:rsid w:val="00DE6C70"/>
    <w:rsid w:val="00DE6EFE"/>
    <w:rsid w:val="00DE71FC"/>
    <w:rsid w:val="00DE72EA"/>
    <w:rsid w:val="00DE74E0"/>
    <w:rsid w:val="00DE7BAF"/>
    <w:rsid w:val="00DE7FC7"/>
    <w:rsid w:val="00DF0303"/>
    <w:rsid w:val="00DF0B25"/>
    <w:rsid w:val="00DF0C25"/>
    <w:rsid w:val="00DF0D2B"/>
    <w:rsid w:val="00DF0D53"/>
    <w:rsid w:val="00DF0E7C"/>
    <w:rsid w:val="00DF0ED8"/>
    <w:rsid w:val="00DF0FCD"/>
    <w:rsid w:val="00DF1397"/>
    <w:rsid w:val="00DF1576"/>
    <w:rsid w:val="00DF162E"/>
    <w:rsid w:val="00DF2253"/>
    <w:rsid w:val="00DF253C"/>
    <w:rsid w:val="00DF3197"/>
    <w:rsid w:val="00DF324E"/>
    <w:rsid w:val="00DF3506"/>
    <w:rsid w:val="00DF3A98"/>
    <w:rsid w:val="00DF4579"/>
    <w:rsid w:val="00DF4A17"/>
    <w:rsid w:val="00DF4C37"/>
    <w:rsid w:val="00DF4F0D"/>
    <w:rsid w:val="00DF5001"/>
    <w:rsid w:val="00DF51FC"/>
    <w:rsid w:val="00DF5E7A"/>
    <w:rsid w:val="00DF5EA9"/>
    <w:rsid w:val="00DF6948"/>
    <w:rsid w:val="00DF69F6"/>
    <w:rsid w:val="00DF6DD3"/>
    <w:rsid w:val="00DF7A1A"/>
    <w:rsid w:val="00DF7FFC"/>
    <w:rsid w:val="00E0029C"/>
    <w:rsid w:val="00E002CD"/>
    <w:rsid w:val="00E00318"/>
    <w:rsid w:val="00E00D71"/>
    <w:rsid w:val="00E0126A"/>
    <w:rsid w:val="00E0149E"/>
    <w:rsid w:val="00E01684"/>
    <w:rsid w:val="00E021E3"/>
    <w:rsid w:val="00E024C0"/>
    <w:rsid w:val="00E02B46"/>
    <w:rsid w:val="00E02DD6"/>
    <w:rsid w:val="00E02F66"/>
    <w:rsid w:val="00E02FF3"/>
    <w:rsid w:val="00E030FD"/>
    <w:rsid w:val="00E03107"/>
    <w:rsid w:val="00E0373B"/>
    <w:rsid w:val="00E03FC1"/>
    <w:rsid w:val="00E04169"/>
    <w:rsid w:val="00E04B41"/>
    <w:rsid w:val="00E04C8A"/>
    <w:rsid w:val="00E057DF"/>
    <w:rsid w:val="00E05949"/>
    <w:rsid w:val="00E0645A"/>
    <w:rsid w:val="00E06747"/>
    <w:rsid w:val="00E06B85"/>
    <w:rsid w:val="00E06C19"/>
    <w:rsid w:val="00E06DD4"/>
    <w:rsid w:val="00E06DEC"/>
    <w:rsid w:val="00E0701C"/>
    <w:rsid w:val="00E070E2"/>
    <w:rsid w:val="00E07E14"/>
    <w:rsid w:val="00E10165"/>
    <w:rsid w:val="00E107AC"/>
    <w:rsid w:val="00E107F8"/>
    <w:rsid w:val="00E10A0A"/>
    <w:rsid w:val="00E10F03"/>
    <w:rsid w:val="00E11128"/>
    <w:rsid w:val="00E1152A"/>
    <w:rsid w:val="00E11725"/>
    <w:rsid w:val="00E117E1"/>
    <w:rsid w:val="00E11990"/>
    <w:rsid w:val="00E12CBC"/>
    <w:rsid w:val="00E131A0"/>
    <w:rsid w:val="00E135ED"/>
    <w:rsid w:val="00E14441"/>
    <w:rsid w:val="00E1469C"/>
    <w:rsid w:val="00E15164"/>
    <w:rsid w:val="00E16224"/>
    <w:rsid w:val="00E16242"/>
    <w:rsid w:val="00E16723"/>
    <w:rsid w:val="00E16C15"/>
    <w:rsid w:val="00E16D26"/>
    <w:rsid w:val="00E17A1B"/>
    <w:rsid w:val="00E17ADA"/>
    <w:rsid w:val="00E17EA0"/>
    <w:rsid w:val="00E2050E"/>
    <w:rsid w:val="00E20F21"/>
    <w:rsid w:val="00E21BAC"/>
    <w:rsid w:val="00E2233C"/>
    <w:rsid w:val="00E22C93"/>
    <w:rsid w:val="00E22EFC"/>
    <w:rsid w:val="00E23447"/>
    <w:rsid w:val="00E237B1"/>
    <w:rsid w:val="00E23CB0"/>
    <w:rsid w:val="00E2409C"/>
    <w:rsid w:val="00E240E4"/>
    <w:rsid w:val="00E24533"/>
    <w:rsid w:val="00E247BC"/>
    <w:rsid w:val="00E254F4"/>
    <w:rsid w:val="00E25820"/>
    <w:rsid w:val="00E25E93"/>
    <w:rsid w:val="00E262C7"/>
    <w:rsid w:val="00E26D69"/>
    <w:rsid w:val="00E272B5"/>
    <w:rsid w:val="00E27D1C"/>
    <w:rsid w:val="00E30EEF"/>
    <w:rsid w:val="00E31031"/>
    <w:rsid w:val="00E312F0"/>
    <w:rsid w:val="00E31843"/>
    <w:rsid w:val="00E322AD"/>
    <w:rsid w:val="00E32442"/>
    <w:rsid w:val="00E32694"/>
    <w:rsid w:val="00E335E8"/>
    <w:rsid w:val="00E33A01"/>
    <w:rsid w:val="00E33AE6"/>
    <w:rsid w:val="00E33BFF"/>
    <w:rsid w:val="00E33E00"/>
    <w:rsid w:val="00E34389"/>
    <w:rsid w:val="00E352DD"/>
    <w:rsid w:val="00E354B8"/>
    <w:rsid w:val="00E35AFA"/>
    <w:rsid w:val="00E36112"/>
    <w:rsid w:val="00E366BB"/>
    <w:rsid w:val="00E36A5A"/>
    <w:rsid w:val="00E36C03"/>
    <w:rsid w:val="00E36C5C"/>
    <w:rsid w:val="00E36C84"/>
    <w:rsid w:val="00E36FBB"/>
    <w:rsid w:val="00E370D6"/>
    <w:rsid w:val="00E37219"/>
    <w:rsid w:val="00E377D7"/>
    <w:rsid w:val="00E3789B"/>
    <w:rsid w:val="00E37EB3"/>
    <w:rsid w:val="00E37FDE"/>
    <w:rsid w:val="00E404F0"/>
    <w:rsid w:val="00E40B48"/>
    <w:rsid w:val="00E40B8A"/>
    <w:rsid w:val="00E41690"/>
    <w:rsid w:val="00E418EC"/>
    <w:rsid w:val="00E41C47"/>
    <w:rsid w:val="00E41C7F"/>
    <w:rsid w:val="00E41D58"/>
    <w:rsid w:val="00E41DF7"/>
    <w:rsid w:val="00E422CB"/>
    <w:rsid w:val="00E4235C"/>
    <w:rsid w:val="00E42FD7"/>
    <w:rsid w:val="00E4302A"/>
    <w:rsid w:val="00E43184"/>
    <w:rsid w:val="00E4370F"/>
    <w:rsid w:val="00E43841"/>
    <w:rsid w:val="00E4384B"/>
    <w:rsid w:val="00E4389D"/>
    <w:rsid w:val="00E43CE8"/>
    <w:rsid w:val="00E43D90"/>
    <w:rsid w:val="00E44230"/>
    <w:rsid w:val="00E44575"/>
    <w:rsid w:val="00E44B40"/>
    <w:rsid w:val="00E44E8A"/>
    <w:rsid w:val="00E4508F"/>
    <w:rsid w:val="00E455E1"/>
    <w:rsid w:val="00E459BB"/>
    <w:rsid w:val="00E45F89"/>
    <w:rsid w:val="00E4605A"/>
    <w:rsid w:val="00E4623F"/>
    <w:rsid w:val="00E46285"/>
    <w:rsid w:val="00E462A7"/>
    <w:rsid w:val="00E46462"/>
    <w:rsid w:val="00E46E2F"/>
    <w:rsid w:val="00E47632"/>
    <w:rsid w:val="00E478EB"/>
    <w:rsid w:val="00E50022"/>
    <w:rsid w:val="00E501AF"/>
    <w:rsid w:val="00E5060C"/>
    <w:rsid w:val="00E5065D"/>
    <w:rsid w:val="00E5087C"/>
    <w:rsid w:val="00E5120E"/>
    <w:rsid w:val="00E517F4"/>
    <w:rsid w:val="00E51945"/>
    <w:rsid w:val="00E51A27"/>
    <w:rsid w:val="00E51D1F"/>
    <w:rsid w:val="00E52084"/>
    <w:rsid w:val="00E525BC"/>
    <w:rsid w:val="00E535B1"/>
    <w:rsid w:val="00E53718"/>
    <w:rsid w:val="00E541E0"/>
    <w:rsid w:val="00E54AFF"/>
    <w:rsid w:val="00E55247"/>
    <w:rsid w:val="00E5599E"/>
    <w:rsid w:val="00E559E6"/>
    <w:rsid w:val="00E55C4F"/>
    <w:rsid w:val="00E57168"/>
    <w:rsid w:val="00E57711"/>
    <w:rsid w:val="00E57CDD"/>
    <w:rsid w:val="00E60269"/>
    <w:rsid w:val="00E607F9"/>
    <w:rsid w:val="00E6093B"/>
    <w:rsid w:val="00E60B52"/>
    <w:rsid w:val="00E61AEF"/>
    <w:rsid w:val="00E61C22"/>
    <w:rsid w:val="00E624B2"/>
    <w:rsid w:val="00E62781"/>
    <w:rsid w:val="00E62797"/>
    <w:rsid w:val="00E62B72"/>
    <w:rsid w:val="00E63061"/>
    <w:rsid w:val="00E631B6"/>
    <w:rsid w:val="00E6353C"/>
    <w:rsid w:val="00E63AA5"/>
    <w:rsid w:val="00E63C02"/>
    <w:rsid w:val="00E63D15"/>
    <w:rsid w:val="00E64E79"/>
    <w:rsid w:val="00E65A81"/>
    <w:rsid w:val="00E65B19"/>
    <w:rsid w:val="00E65C78"/>
    <w:rsid w:val="00E66762"/>
    <w:rsid w:val="00E66D0C"/>
    <w:rsid w:val="00E6721E"/>
    <w:rsid w:val="00E675E6"/>
    <w:rsid w:val="00E67F85"/>
    <w:rsid w:val="00E703E3"/>
    <w:rsid w:val="00E719E3"/>
    <w:rsid w:val="00E719EC"/>
    <w:rsid w:val="00E71A98"/>
    <w:rsid w:val="00E71C6A"/>
    <w:rsid w:val="00E72158"/>
    <w:rsid w:val="00E722DA"/>
    <w:rsid w:val="00E723FC"/>
    <w:rsid w:val="00E726D1"/>
    <w:rsid w:val="00E7295C"/>
    <w:rsid w:val="00E75432"/>
    <w:rsid w:val="00E7579C"/>
    <w:rsid w:val="00E76801"/>
    <w:rsid w:val="00E76A8C"/>
    <w:rsid w:val="00E77580"/>
    <w:rsid w:val="00E77B2E"/>
    <w:rsid w:val="00E77E10"/>
    <w:rsid w:val="00E80331"/>
    <w:rsid w:val="00E8060E"/>
    <w:rsid w:val="00E80FD1"/>
    <w:rsid w:val="00E814BE"/>
    <w:rsid w:val="00E8191B"/>
    <w:rsid w:val="00E82DC8"/>
    <w:rsid w:val="00E83057"/>
    <w:rsid w:val="00E84026"/>
    <w:rsid w:val="00E843A3"/>
    <w:rsid w:val="00E845E5"/>
    <w:rsid w:val="00E8472B"/>
    <w:rsid w:val="00E84F23"/>
    <w:rsid w:val="00E850B8"/>
    <w:rsid w:val="00E8532A"/>
    <w:rsid w:val="00E85679"/>
    <w:rsid w:val="00E85892"/>
    <w:rsid w:val="00E85A01"/>
    <w:rsid w:val="00E85C1F"/>
    <w:rsid w:val="00E86090"/>
    <w:rsid w:val="00E86365"/>
    <w:rsid w:val="00E86628"/>
    <w:rsid w:val="00E86B51"/>
    <w:rsid w:val="00E870D4"/>
    <w:rsid w:val="00E87387"/>
    <w:rsid w:val="00E874A5"/>
    <w:rsid w:val="00E90173"/>
    <w:rsid w:val="00E90A8C"/>
    <w:rsid w:val="00E91C2A"/>
    <w:rsid w:val="00E91E85"/>
    <w:rsid w:val="00E92F06"/>
    <w:rsid w:val="00E93976"/>
    <w:rsid w:val="00E93AC8"/>
    <w:rsid w:val="00E93BC2"/>
    <w:rsid w:val="00E93C3A"/>
    <w:rsid w:val="00E9431F"/>
    <w:rsid w:val="00E94514"/>
    <w:rsid w:val="00E9495F"/>
    <w:rsid w:val="00E96C42"/>
    <w:rsid w:val="00E96F07"/>
    <w:rsid w:val="00E9757A"/>
    <w:rsid w:val="00E9758C"/>
    <w:rsid w:val="00EA071E"/>
    <w:rsid w:val="00EA08DB"/>
    <w:rsid w:val="00EA0AAC"/>
    <w:rsid w:val="00EA0E79"/>
    <w:rsid w:val="00EA0F92"/>
    <w:rsid w:val="00EA176F"/>
    <w:rsid w:val="00EA1BAC"/>
    <w:rsid w:val="00EA2407"/>
    <w:rsid w:val="00EA2F61"/>
    <w:rsid w:val="00EA31C4"/>
    <w:rsid w:val="00EA39EB"/>
    <w:rsid w:val="00EA3C64"/>
    <w:rsid w:val="00EA41E0"/>
    <w:rsid w:val="00EA4F22"/>
    <w:rsid w:val="00EA5695"/>
    <w:rsid w:val="00EA5B19"/>
    <w:rsid w:val="00EA6657"/>
    <w:rsid w:val="00EA6F87"/>
    <w:rsid w:val="00EA7032"/>
    <w:rsid w:val="00EA77C9"/>
    <w:rsid w:val="00EA78A0"/>
    <w:rsid w:val="00EA7FF0"/>
    <w:rsid w:val="00EB03F3"/>
    <w:rsid w:val="00EB04A3"/>
    <w:rsid w:val="00EB0703"/>
    <w:rsid w:val="00EB08CF"/>
    <w:rsid w:val="00EB0A43"/>
    <w:rsid w:val="00EB0DF5"/>
    <w:rsid w:val="00EB0EFE"/>
    <w:rsid w:val="00EB184A"/>
    <w:rsid w:val="00EB19AD"/>
    <w:rsid w:val="00EB1C05"/>
    <w:rsid w:val="00EB1CD5"/>
    <w:rsid w:val="00EB2033"/>
    <w:rsid w:val="00EB23E4"/>
    <w:rsid w:val="00EB24DF"/>
    <w:rsid w:val="00EB2536"/>
    <w:rsid w:val="00EB3265"/>
    <w:rsid w:val="00EB344E"/>
    <w:rsid w:val="00EB3DAB"/>
    <w:rsid w:val="00EB3E90"/>
    <w:rsid w:val="00EB40E4"/>
    <w:rsid w:val="00EB42DF"/>
    <w:rsid w:val="00EB45A7"/>
    <w:rsid w:val="00EB4D8D"/>
    <w:rsid w:val="00EB4DBB"/>
    <w:rsid w:val="00EB54E7"/>
    <w:rsid w:val="00EB551B"/>
    <w:rsid w:val="00EB5742"/>
    <w:rsid w:val="00EB5B2E"/>
    <w:rsid w:val="00EB5D16"/>
    <w:rsid w:val="00EB5DC3"/>
    <w:rsid w:val="00EB5F4E"/>
    <w:rsid w:val="00EB5FDD"/>
    <w:rsid w:val="00EB6183"/>
    <w:rsid w:val="00EB6334"/>
    <w:rsid w:val="00EB6449"/>
    <w:rsid w:val="00EB6624"/>
    <w:rsid w:val="00EB735C"/>
    <w:rsid w:val="00EB7938"/>
    <w:rsid w:val="00EC06F6"/>
    <w:rsid w:val="00EC0F8D"/>
    <w:rsid w:val="00EC13BD"/>
    <w:rsid w:val="00EC13D9"/>
    <w:rsid w:val="00EC1AAD"/>
    <w:rsid w:val="00EC1B64"/>
    <w:rsid w:val="00EC26A9"/>
    <w:rsid w:val="00EC2827"/>
    <w:rsid w:val="00EC3104"/>
    <w:rsid w:val="00EC428D"/>
    <w:rsid w:val="00EC474B"/>
    <w:rsid w:val="00EC4D98"/>
    <w:rsid w:val="00EC5569"/>
    <w:rsid w:val="00EC6239"/>
    <w:rsid w:val="00EC6720"/>
    <w:rsid w:val="00EC680F"/>
    <w:rsid w:val="00EC685E"/>
    <w:rsid w:val="00EC7915"/>
    <w:rsid w:val="00ED0005"/>
    <w:rsid w:val="00ED0845"/>
    <w:rsid w:val="00ED12E8"/>
    <w:rsid w:val="00ED1454"/>
    <w:rsid w:val="00ED31C8"/>
    <w:rsid w:val="00ED3670"/>
    <w:rsid w:val="00ED3860"/>
    <w:rsid w:val="00ED3B60"/>
    <w:rsid w:val="00ED3BCF"/>
    <w:rsid w:val="00ED4180"/>
    <w:rsid w:val="00ED4207"/>
    <w:rsid w:val="00ED549A"/>
    <w:rsid w:val="00ED5950"/>
    <w:rsid w:val="00ED632F"/>
    <w:rsid w:val="00ED6B04"/>
    <w:rsid w:val="00ED72DD"/>
    <w:rsid w:val="00ED7362"/>
    <w:rsid w:val="00ED7A01"/>
    <w:rsid w:val="00ED7D5C"/>
    <w:rsid w:val="00EE0558"/>
    <w:rsid w:val="00EE09E4"/>
    <w:rsid w:val="00EE0D81"/>
    <w:rsid w:val="00EE107D"/>
    <w:rsid w:val="00EE13A2"/>
    <w:rsid w:val="00EE1724"/>
    <w:rsid w:val="00EE22C9"/>
    <w:rsid w:val="00EE2448"/>
    <w:rsid w:val="00EE26E3"/>
    <w:rsid w:val="00EE2BC3"/>
    <w:rsid w:val="00EE30DC"/>
    <w:rsid w:val="00EE3190"/>
    <w:rsid w:val="00EE31C9"/>
    <w:rsid w:val="00EE31DF"/>
    <w:rsid w:val="00EE3389"/>
    <w:rsid w:val="00EE383A"/>
    <w:rsid w:val="00EE4378"/>
    <w:rsid w:val="00EE4392"/>
    <w:rsid w:val="00EE470D"/>
    <w:rsid w:val="00EE4EB5"/>
    <w:rsid w:val="00EE52E6"/>
    <w:rsid w:val="00EE5437"/>
    <w:rsid w:val="00EE6154"/>
    <w:rsid w:val="00EE615D"/>
    <w:rsid w:val="00EE6561"/>
    <w:rsid w:val="00EE769B"/>
    <w:rsid w:val="00EE77B8"/>
    <w:rsid w:val="00EF0948"/>
    <w:rsid w:val="00EF0959"/>
    <w:rsid w:val="00EF0C0D"/>
    <w:rsid w:val="00EF1078"/>
    <w:rsid w:val="00EF1F81"/>
    <w:rsid w:val="00EF1FAD"/>
    <w:rsid w:val="00EF1FE1"/>
    <w:rsid w:val="00EF288F"/>
    <w:rsid w:val="00EF34D7"/>
    <w:rsid w:val="00EF3C56"/>
    <w:rsid w:val="00EF3E19"/>
    <w:rsid w:val="00EF4557"/>
    <w:rsid w:val="00EF51A0"/>
    <w:rsid w:val="00EF5459"/>
    <w:rsid w:val="00EF5F9E"/>
    <w:rsid w:val="00EF620C"/>
    <w:rsid w:val="00EF6818"/>
    <w:rsid w:val="00EF69E3"/>
    <w:rsid w:val="00EF7237"/>
    <w:rsid w:val="00EF79F8"/>
    <w:rsid w:val="00EF7AC5"/>
    <w:rsid w:val="00EF7BBE"/>
    <w:rsid w:val="00EF7E3B"/>
    <w:rsid w:val="00F0023C"/>
    <w:rsid w:val="00F008CE"/>
    <w:rsid w:val="00F00CA9"/>
    <w:rsid w:val="00F013FF"/>
    <w:rsid w:val="00F0150C"/>
    <w:rsid w:val="00F0176B"/>
    <w:rsid w:val="00F01B32"/>
    <w:rsid w:val="00F01B67"/>
    <w:rsid w:val="00F01D65"/>
    <w:rsid w:val="00F02072"/>
    <w:rsid w:val="00F02416"/>
    <w:rsid w:val="00F02B8F"/>
    <w:rsid w:val="00F02B9F"/>
    <w:rsid w:val="00F02CD5"/>
    <w:rsid w:val="00F02F81"/>
    <w:rsid w:val="00F0321C"/>
    <w:rsid w:val="00F03643"/>
    <w:rsid w:val="00F03B49"/>
    <w:rsid w:val="00F03DF1"/>
    <w:rsid w:val="00F03FF7"/>
    <w:rsid w:val="00F0420E"/>
    <w:rsid w:val="00F04E89"/>
    <w:rsid w:val="00F0515D"/>
    <w:rsid w:val="00F05530"/>
    <w:rsid w:val="00F05B47"/>
    <w:rsid w:val="00F05C29"/>
    <w:rsid w:val="00F066FF"/>
    <w:rsid w:val="00F06CB2"/>
    <w:rsid w:val="00F06D81"/>
    <w:rsid w:val="00F06F1F"/>
    <w:rsid w:val="00F0719B"/>
    <w:rsid w:val="00F07326"/>
    <w:rsid w:val="00F07632"/>
    <w:rsid w:val="00F10540"/>
    <w:rsid w:val="00F10996"/>
    <w:rsid w:val="00F10E3B"/>
    <w:rsid w:val="00F110C6"/>
    <w:rsid w:val="00F1197F"/>
    <w:rsid w:val="00F1222E"/>
    <w:rsid w:val="00F125E4"/>
    <w:rsid w:val="00F12A9E"/>
    <w:rsid w:val="00F12EB5"/>
    <w:rsid w:val="00F131AE"/>
    <w:rsid w:val="00F14692"/>
    <w:rsid w:val="00F14A8B"/>
    <w:rsid w:val="00F14B8D"/>
    <w:rsid w:val="00F1509F"/>
    <w:rsid w:val="00F1526E"/>
    <w:rsid w:val="00F152EE"/>
    <w:rsid w:val="00F15B89"/>
    <w:rsid w:val="00F15B92"/>
    <w:rsid w:val="00F16121"/>
    <w:rsid w:val="00F16383"/>
    <w:rsid w:val="00F167D4"/>
    <w:rsid w:val="00F16923"/>
    <w:rsid w:val="00F201FA"/>
    <w:rsid w:val="00F206F6"/>
    <w:rsid w:val="00F209AB"/>
    <w:rsid w:val="00F20C22"/>
    <w:rsid w:val="00F213C2"/>
    <w:rsid w:val="00F21655"/>
    <w:rsid w:val="00F21891"/>
    <w:rsid w:val="00F22058"/>
    <w:rsid w:val="00F225B0"/>
    <w:rsid w:val="00F22FEA"/>
    <w:rsid w:val="00F2321F"/>
    <w:rsid w:val="00F23813"/>
    <w:rsid w:val="00F23815"/>
    <w:rsid w:val="00F23BE3"/>
    <w:rsid w:val="00F23C29"/>
    <w:rsid w:val="00F25770"/>
    <w:rsid w:val="00F2594B"/>
    <w:rsid w:val="00F259A5"/>
    <w:rsid w:val="00F25B3E"/>
    <w:rsid w:val="00F260A8"/>
    <w:rsid w:val="00F265BB"/>
    <w:rsid w:val="00F26860"/>
    <w:rsid w:val="00F26E58"/>
    <w:rsid w:val="00F27616"/>
    <w:rsid w:val="00F2770F"/>
    <w:rsid w:val="00F3007C"/>
    <w:rsid w:val="00F30361"/>
    <w:rsid w:val="00F304D4"/>
    <w:rsid w:val="00F30619"/>
    <w:rsid w:val="00F30BCA"/>
    <w:rsid w:val="00F31166"/>
    <w:rsid w:val="00F314F7"/>
    <w:rsid w:val="00F319E5"/>
    <w:rsid w:val="00F31AE6"/>
    <w:rsid w:val="00F31BE1"/>
    <w:rsid w:val="00F31F45"/>
    <w:rsid w:val="00F3205C"/>
    <w:rsid w:val="00F3270F"/>
    <w:rsid w:val="00F32A75"/>
    <w:rsid w:val="00F33398"/>
    <w:rsid w:val="00F335A8"/>
    <w:rsid w:val="00F33BF6"/>
    <w:rsid w:val="00F33C2A"/>
    <w:rsid w:val="00F33D74"/>
    <w:rsid w:val="00F340F0"/>
    <w:rsid w:val="00F3616A"/>
    <w:rsid w:val="00F3640A"/>
    <w:rsid w:val="00F36FB3"/>
    <w:rsid w:val="00F372BB"/>
    <w:rsid w:val="00F402F3"/>
    <w:rsid w:val="00F412FF"/>
    <w:rsid w:val="00F415CD"/>
    <w:rsid w:val="00F4204C"/>
    <w:rsid w:val="00F42133"/>
    <w:rsid w:val="00F42FD5"/>
    <w:rsid w:val="00F430FB"/>
    <w:rsid w:val="00F439B8"/>
    <w:rsid w:val="00F43E36"/>
    <w:rsid w:val="00F4419F"/>
    <w:rsid w:val="00F44283"/>
    <w:rsid w:val="00F44862"/>
    <w:rsid w:val="00F44F76"/>
    <w:rsid w:val="00F45320"/>
    <w:rsid w:val="00F45907"/>
    <w:rsid w:val="00F45EA8"/>
    <w:rsid w:val="00F45F57"/>
    <w:rsid w:val="00F46434"/>
    <w:rsid w:val="00F46C2F"/>
    <w:rsid w:val="00F47385"/>
    <w:rsid w:val="00F47A55"/>
    <w:rsid w:val="00F5001D"/>
    <w:rsid w:val="00F501D9"/>
    <w:rsid w:val="00F502FF"/>
    <w:rsid w:val="00F5073E"/>
    <w:rsid w:val="00F50D34"/>
    <w:rsid w:val="00F50D76"/>
    <w:rsid w:val="00F51997"/>
    <w:rsid w:val="00F5296B"/>
    <w:rsid w:val="00F529A9"/>
    <w:rsid w:val="00F52E07"/>
    <w:rsid w:val="00F546A4"/>
    <w:rsid w:val="00F54763"/>
    <w:rsid w:val="00F54B30"/>
    <w:rsid w:val="00F55597"/>
    <w:rsid w:val="00F55E97"/>
    <w:rsid w:val="00F55FDF"/>
    <w:rsid w:val="00F5631A"/>
    <w:rsid w:val="00F56397"/>
    <w:rsid w:val="00F56979"/>
    <w:rsid w:val="00F56A3A"/>
    <w:rsid w:val="00F56C14"/>
    <w:rsid w:val="00F56D20"/>
    <w:rsid w:val="00F57289"/>
    <w:rsid w:val="00F60497"/>
    <w:rsid w:val="00F608D6"/>
    <w:rsid w:val="00F60904"/>
    <w:rsid w:val="00F610B2"/>
    <w:rsid w:val="00F61948"/>
    <w:rsid w:val="00F6197E"/>
    <w:rsid w:val="00F61A47"/>
    <w:rsid w:val="00F6294B"/>
    <w:rsid w:val="00F63534"/>
    <w:rsid w:val="00F6357A"/>
    <w:rsid w:val="00F635D7"/>
    <w:rsid w:val="00F638BA"/>
    <w:rsid w:val="00F63FC6"/>
    <w:rsid w:val="00F6472C"/>
    <w:rsid w:val="00F6480D"/>
    <w:rsid w:val="00F649FF"/>
    <w:rsid w:val="00F65068"/>
    <w:rsid w:val="00F651EE"/>
    <w:rsid w:val="00F655F4"/>
    <w:rsid w:val="00F659DF"/>
    <w:rsid w:val="00F65C49"/>
    <w:rsid w:val="00F65DEB"/>
    <w:rsid w:val="00F65EB6"/>
    <w:rsid w:val="00F66774"/>
    <w:rsid w:val="00F6719D"/>
    <w:rsid w:val="00F70586"/>
    <w:rsid w:val="00F70DE5"/>
    <w:rsid w:val="00F70FCD"/>
    <w:rsid w:val="00F71243"/>
    <w:rsid w:val="00F7124D"/>
    <w:rsid w:val="00F716BB"/>
    <w:rsid w:val="00F71A84"/>
    <w:rsid w:val="00F71C82"/>
    <w:rsid w:val="00F71D90"/>
    <w:rsid w:val="00F72553"/>
    <w:rsid w:val="00F73572"/>
    <w:rsid w:val="00F73D36"/>
    <w:rsid w:val="00F74219"/>
    <w:rsid w:val="00F75596"/>
    <w:rsid w:val="00F759DB"/>
    <w:rsid w:val="00F75B71"/>
    <w:rsid w:val="00F75E6E"/>
    <w:rsid w:val="00F7612C"/>
    <w:rsid w:val="00F76880"/>
    <w:rsid w:val="00F76AD6"/>
    <w:rsid w:val="00F77968"/>
    <w:rsid w:val="00F77B15"/>
    <w:rsid w:val="00F77D97"/>
    <w:rsid w:val="00F80119"/>
    <w:rsid w:val="00F80178"/>
    <w:rsid w:val="00F8100D"/>
    <w:rsid w:val="00F81D22"/>
    <w:rsid w:val="00F820DE"/>
    <w:rsid w:val="00F82232"/>
    <w:rsid w:val="00F832A8"/>
    <w:rsid w:val="00F8350F"/>
    <w:rsid w:val="00F83A63"/>
    <w:rsid w:val="00F83A9C"/>
    <w:rsid w:val="00F845B8"/>
    <w:rsid w:val="00F84E4F"/>
    <w:rsid w:val="00F85135"/>
    <w:rsid w:val="00F8546A"/>
    <w:rsid w:val="00F85806"/>
    <w:rsid w:val="00F85D96"/>
    <w:rsid w:val="00F85DF4"/>
    <w:rsid w:val="00F85E8E"/>
    <w:rsid w:val="00F87779"/>
    <w:rsid w:val="00F87CEE"/>
    <w:rsid w:val="00F9122C"/>
    <w:rsid w:val="00F91C4D"/>
    <w:rsid w:val="00F91E51"/>
    <w:rsid w:val="00F922EC"/>
    <w:rsid w:val="00F926C5"/>
    <w:rsid w:val="00F927C7"/>
    <w:rsid w:val="00F92BE9"/>
    <w:rsid w:val="00F92FFD"/>
    <w:rsid w:val="00F931CB"/>
    <w:rsid w:val="00F93204"/>
    <w:rsid w:val="00F93258"/>
    <w:rsid w:val="00F932F9"/>
    <w:rsid w:val="00F93370"/>
    <w:rsid w:val="00F93929"/>
    <w:rsid w:val="00F939AD"/>
    <w:rsid w:val="00F93D2D"/>
    <w:rsid w:val="00F94253"/>
    <w:rsid w:val="00F94C83"/>
    <w:rsid w:val="00F962C1"/>
    <w:rsid w:val="00F96C26"/>
    <w:rsid w:val="00F96DA2"/>
    <w:rsid w:val="00F97009"/>
    <w:rsid w:val="00F97827"/>
    <w:rsid w:val="00F97B1B"/>
    <w:rsid w:val="00F97CDA"/>
    <w:rsid w:val="00F97F02"/>
    <w:rsid w:val="00FA049B"/>
    <w:rsid w:val="00FA04A1"/>
    <w:rsid w:val="00FA0632"/>
    <w:rsid w:val="00FA068B"/>
    <w:rsid w:val="00FA0A6B"/>
    <w:rsid w:val="00FA1921"/>
    <w:rsid w:val="00FA2326"/>
    <w:rsid w:val="00FA2492"/>
    <w:rsid w:val="00FA2D15"/>
    <w:rsid w:val="00FA3898"/>
    <w:rsid w:val="00FA3916"/>
    <w:rsid w:val="00FA3925"/>
    <w:rsid w:val="00FA3CF0"/>
    <w:rsid w:val="00FA446B"/>
    <w:rsid w:val="00FA5201"/>
    <w:rsid w:val="00FA529A"/>
    <w:rsid w:val="00FA58A1"/>
    <w:rsid w:val="00FA5FC1"/>
    <w:rsid w:val="00FA636B"/>
    <w:rsid w:val="00FA657C"/>
    <w:rsid w:val="00FA6C50"/>
    <w:rsid w:val="00FA6D3B"/>
    <w:rsid w:val="00FA727E"/>
    <w:rsid w:val="00FA788F"/>
    <w:rsid w:val="00FA7BD4"/>
    <w:rsid w:val="00FA7F4E"/>
    <w:rsid w:val="00FB044B"/>
    <w:rsid w:val="00FB045C"/>
    <w:rsid w:val="00FB093A"/>
    <w:rsid w:val="00FB19B5"/>
    <w:rsid w:val="00FB23C1"/>
    <w:rsid w:val="00FB2452"/>
    <w:rsid w:val="00FB3572"/>
    <w:rsid w:val="00FB3835"/>
    <w:rsid w:val="00FB3D1D"/>
    <w:rsid w:val="00FB3F05"/>
    <w:rsid w:val="00FB4879"/>
    <w:rsid w:val="00FB4D1F"/>
    <w:rsid w:val="00FB50DB"/>
    <w:rsid w:val="00FB549D"/>
    <w:rsid w:val="00FB5E97"/>
    <w:rsid w:val="00FB661B"/>
    <w:rsid w:val="00FB6B6F"/>
    <w:rsid w:val="00FB6CE6"/>
    <w:rsid w:val="00FB6F28"/>
    <w:rsid w:val="00FB6F2D"/>
    <w:rsid w:val="00FB72A6"/>
    <w:rsid w:val="00FB7469"/>
    <w:rsid w:val="00FB7A28"/>
    <w:rsid w:val="00FB7EB8"/>
    <w:rsid w:val="00FC05ED"/>
    <w:rsid w:val="00FC0865"/>
    <w:rsid w:val="00FC09EB"/>
    <w:rsid w:val="00FC0AC6"/>
    <w:rsid w:val="00FC0B5C"/>
    <w:rsid w:val="00FC1CE5"/>
    <w:rsid w:val="00FC1D5E"/>
    <w:rsid w:val="00FC21B6"/>
    <w:rsid w:val="00FC2BF0"/>
    <w:rsid w:val="00FC2FE3"/>
    <w:rsid w:val="00FC36AC"/>
    <w:rsid w:val="00FC373F"/>
    <w:rsid w:val="00FC37C1"/>
    <w:rsid w:val="00FC440B"/>
    <w:rsid w:val="00FC44C8"/>
    <w:rsid w:val="00FC4A6F"/>
    <w:rsid w:val="00FC4D55"/>
    <w:rsid w:val="00FC5112"/>
    <w:rsid w:val="00FC5981"/>
    <w:rsid w:val="00FC5C7C"/>
    <w:rsid w:val="00FC65A7"/>
    <w:rsid w:val="00FC6865"/>
    <w:rsid w:val="00FC695D"/>
    <w:rsid w:val="00FC6A14"/>
    <w:rsid w:val="00FC6BA1"/>
    <w:rsid w:val="00FC6C8B"/>
    <w:rsid w:val="00FC6D0E"/>
    <w:rsid w:val="00FC703C"/>
    <w:rsid w:val="00FC7051"/>
    <w:rsid w:val="00FC71FD"/>
    <w:rsid w:val="00FC7FAE"/>
    <w:rsid w:val="00FD0E6C"/>
    <w:rsid w:val="00FD10BE"/>
    <w:rsid w:val="00FD1A10"/>
    <w:rsid w:val="00FD1C3F"/>
    <w:rsid w:val="00FD2448"/>
    <w:rsid w:val="00FD27B4"/>
    <w:rsid w:val="00FD3431"/>
    <w:rsid w:val="00FD3968"/>
    <w:rsid w:val="00FD3A7C"/>
    <w:rsid w:val="00FD4342"/>
    <w:rsid w:val="00FD4C41"/>
    <w:rsid w:val="00FD5257"/>
    <w:rsid w:val="00FD54C1"/>
    <w:rsid w:val="00FD5A8A"/>
    <w:rsid w:val="00FD5F39"/>
    <w:rsid w:val="00FD5FE8"/>
    <w:rsid w:val="00FD61F0"/>
    <w:rsid w:val="00FD64AB"/>
    <w:rsid w:val="00FD65A0"/>
    <w:rsid w:val="00FD697C"/>
    <w:rsid w:val="00FD6FD8"/>
    <w:rsid w:val="00FD7B7B"/>
    <w:rsid w:val="00FE0A5E"/>
    <w:rsid w:val="00FE0C66"/>
    <w:rsid w:val="00FE1214"/>
    <w:rsid w:val="00FE130A"/>
    <w:rsid w:val="00FE1600"/>
    <w:rsid w:val="00FE20A9"/>
    <w:rsid w:val="00FE21D6"/>
    <w:rsid w:val="00FE27DE"/>
    <w:rsid w:val="00FE27E9"/>
    <w:rsid w:val="00FE294D"/>
    <w:rsid w:val="00FE2D2F"/>
    <w:rsid w:val="00FE2ED9"/>
    <w:rsid w:val="00FE301B"/>
    <w:rsid w:val="00FE32EE"/>
    <w:rsid w:val="00FE3E72"/>
    <w:rsid w:val="00FE42E8"/>
    <w:rsid w:val="00FE4931"/>
    <w:rsid w:val="00FE49C5"/>
    <w:rsid w:val="00FE5677"/>
    <w:rsid w:val="00FE5723"/>
    <w:rsid w:val="00FE58F7"/>
    <w:rsid w:val="00FE59A2"/>
    <w:rsid w:val="00FE5A61"/>
    <w:rsid w:val="00FE60B1"/>
    <w:rsid w:val="00FE6A1D"/>
    <w:rsid w:val="00FE6D8A"/>
    <w:rsid w:val="00FE7384"/>
    <w:rsid w:val="00FE7ABA"/>
    <w:rsid w:val="00FE7D92"/>
    <w:rsid w:val="00FF010C"/>
    <w:rsid w:val="00FF026C"/>
    <w:rsid w:val="00FF088D"/>
    <w:rsid w:val="00FF0BBE"/>
    <w:rsid w:val="00FF0EBF"/>
    <w:rsid w:val="00FF0EEA"/>
    <w:rsid w:val="00FF0F73"/>
    <w:rsid w:val="00FF1156"/>
    <w:rsid w:val="00FF1347"/>
    <w:rsid w:val="00FF147A"/>
    <w:rsid w:val="00FF18AF"/>
    <w:rsid w:val="00FF1DAB"/>
    <w:rsid w:val="00FF22EE"/>
    <w:rsid w:val="00FF31C5"/>
    <w:rsid w:val="00FF3AAB"/>
    <w:rsid w:val="00FF3B91"/>
    <w:rsid w:val="00FF3EAF"/>
    <w:rsid w:val="00FF428F"/>
    <w:rsid w:val="00FF48BF"/>
    <w:rsid w:val="00FF4D3E"/>
    <w:rsid w:val="00FF60CA"/>
    <w:rsid w:val="00FF6303"/>
    <w:rsid w:val="00FF6953"/>
    <w:rsid w:val="00FF7087"/>
    <w:rsid w:val="00FF75C1"/>
    <w:rsid w:val="00FF783D"/>
    <w:rsid w:val="00FF7E5D"/>
    <w:rsid w:val="01101A91"/>
    <w:rsid w:val="01650EE1"/>
    <w:rsid w:val="019AC19E"/>
    <w:rsid w:val="01C1699F"/>
    <w:rsid w:val="01FAD7E1"/>
    <w:rsid w:val="021B8562"/>
    <w:rsid w:val="024CF88F"/>
    <w:rsid w:val="025B49CB"/>
    <w:rsid w:val="02661E32"/>
    <w:rsid w:val="02CA3483"/>
    <w:rsid w:val="02F4E219"/>
    <w:rsid w:val="02F60589"/>
    <w:rsid w:val="031C0B40"/>
    <w:rsid w:val="0327A064"/>
    <w:rsid w:val="034F1931"/>
    <w:rsid w:val="035FAE23"/>
    <w:rsid w:val="0414D1C7"/>
    <w:rsid w:val="0439AB4A"/>
    <w:rsid w:val="04C32E5F"/>
    <w:rsid w:val="04CE1E32"/>
    <w:rsid w:val="04D07C09"/>
    <w:rsid w:val="04E25822"/>
    <w:rsid w:val="04E7485E"/>
    <w:rsid w:val="04E98A1F"/>
    <w:rsid w:val="05017E3F"/>
    <w:rsid w:val="05306AAA"/>
    <w:rsid w:val="053224A7"/>
    <w:rsid w:val="056A4CCA"/>
    <w:rsid w:val="0571D214"/>
    <w:rsid w:val="05CACC64"/>
    <w:rsid w:val="05F65E31"/>
    <w:rsid w:val="061876D9"/>
    <w:rsid w:val="062D9A2F"/>
    <w:rsid w:val="06587C71"/>
    <w:rsid w:val="065F6D85"/>
    <w:rsid w:val="068139A4"/>
    <w:rsid w:val="06931AAD"/>
    <w:rsid w:val="06A114A9"/>
    <w:rsid w:val="06E35D84"/>
    <w:rsid w:val="06F705D1"/>
    <w:rsid w:val="06F9FF6C"/>
    <w:rsid w:val="072D7242"/>
    <w:rsid w:val="073B6B60"/>
    <w:rsid w:val="075F7E60"/>
    <w:rsid w:val="0777DD64"/>
    <w:rsid w:val="077E3D1D"/>
    <w:rsid w:val="07A50C2D"/>
    <w:rsid w:val="07D4E558"/>
    <w:rsid w:val="07DB0775"/>
    <w:rsid w:val="07F05A5A"/>
    <w:rsid w:val="07FC6D7D"/>
    <w:rsid w:val="080789D9"/>
    <w:rsid w:val="082B6788"/>
    <w:rsid w:val="083A5D92"/>
    <w:rsid w:val="0843B0AE"/>
    <w:rsid w:val="08A24F6F"/>
    <w:rsid w:val="08A65945"/>
    <w:rsid w:val="08C1ABFA"/>
    <w:rsid w:val="08F03070"/>
    <w:rsid w:val="0913BCBD"/>
    <w:rsid w:val="09174497"/>
    <w:rsid w:val="09208A31"/>
    <w:rsid w:val="0924B943"/>
    <w:rsid w:val="0932E138"/>
    <w:rsid w:val="0956CE53"/>
    <w:rsid w:val="0963C10E"/>
    <w:rsid w:val="09657BE3"/>
    <w:rsid w:val="099564E9"/>
    <w:rsid w:val="099F15CA"/>
    <w:rsid w:val="09A41DC0"/>
    <w:rsid w:val="09C2A707"/>
    <w:rsid w:val="09D82A36"/>
    <w:rsid w:val="09DF217B"/>
    <w:rsid w:val="09F76653"/>
    <w:rsid w:val="0A086744"/>
    <w:rsid w:val="0A1305BF"/>
    <w:rsid w:val="0A19608B"/>
    <w:rsid w:val="0A43DB12"/>
    <w:rsid w:val="0A6AB475"/>
    <w:rsid w:val="0A8F4D94"/>
    <w:rsid w:val="0A94174B"/>
    <w:rsid w:val="0A9978A1"/>
    <w:rsid w:val="0AA4BAD2"/>
    <w:rsid w:val="0AAA5B6F"/>
    <w:rsid w:val="0AD14F82"/>
    <w:rsid w:val="0AEBFD9D"/>
    <w:rsid w:val="0B24DF63"/>
    <w:rsid w:val="0B33FE3D"/>
    <w:rsid w:val="0B3D7E01"/>
    <w:rsid w:val="0B7EDAC6"/>
    <w:rsid w:val="0BC16BB9"/>
    <w:rsid w:val="0BE712FC"/>
    <w:rsid w:val="0BFC44E0"/>
    <w:rsid w:val="0BFCDC1E"/>
    <w:rsid w:val="0C312478"/>
    <w:rsid w:val="0C39898B"/>
    <w:rsid w:val="0C3F68AF"/>
    <w:rsid w:val="0CB27B7C"/>
    <w:rsid w:val="0CEF20CF"/>
    <w:rsid w:val="0D0D621F"/>
    <w:rsid w:val="0D211E2D"/>
    <w:rsid w:val="0D2ED61E"/>
    <w:rsid w:val="0D61FAB4"/>
    <w:rsid w:val="0D6CFDE8"/>
    <w:rsid w:val="0D777D2E"/>
    <w:rsid w:val="0D78255D"/>
    <w:rsid w:val="0DC46992"/>
    <w:rsid w:val="0DF9CF10"/>
    <w:rsid w:val="0E4595C7"/>
    <w:rsid w:val="0E7E494F"/>
    <w:rsid w:val="0E801631"/>
    <w:rsid w:val="0E99C21C"/>
    <w:rsid w:val="0ED0F0D9"/>
    <w:rsid w:val="0ED66FD5"/>
    <w:rsid w:val="0F323519"/>
    <w:rsid w:val="0F4B255D"/>
    <w:rsid w:val="0F64E40A"/>
    <w:rsid w:val="0F97D9DF"/>
    <w:rsid w:val="1031E88B"/>
    <w:rsid w:val="1034D5A4"/>
    <w:rsid w:val="104D75DD"/>
    <w:rsid w:val="10572AB1"/>
    <w:rsid w:val="105804EE"/>
    <w:rsid w:val="1062451C"/>
    <w:rsid w:val="10721C76"/>
    <w:rsid w:val="10864CA5"/>
    <w:rsid w:val="109EAF75"/>
    <w:rsid w:val="10A4DC13"/>
    <w:rsid w:val="10AB96B6"/>
    <w:rsid w:val="10B8F424"/>
    <w:rsid w:val="10D0CC05"/>
    <w:rsid w:val="11094045"/>
    <w:rsid w:val="11487F9B"/>
    <w:rsid w:val="117E8D08"/>
    <w:rsid w:val="11976631"/>
    <w:rsid w:val="11997CAC"/>
    <w:rsid w:val="11C79FB7"/>
    <w:rsid w:val="11D5CF54"/>
    <w:rsid w:val="123CE73F"/>
    <w:rsid w:val="12403705"/>
    <w:rsid w:val="127CA16B"/>
    <w:rsid w:val="1289D2FB"/>
    <w:rsid w:val="129712B6"/>
    <w:rsid w:val="1298F486"/>
    <w:rsid w:val="129922E8"/>
    <w:rsid w:val="129BED18"/>
    <w:rsid w:val="12F7C4DA"/>
    <w:rsid w:val="13219711"/>
    <w:rsid w:val="140FD863"/>
    <w:rsid w:val="142662DE"/>
    <w:rsid w:val="14927033"/>
    <w:rsid w:val="14B3BDD3"/>
    <w:rsid w:val="14B5723E"/>
    <w:rsid w:val="14EC5843"/>
    <w:rsid w:val="1549C85F"/>
    <w:rsid w:val="157DE505"/>
    <w:rsid w:val="15A7BE27"/>
    <w:rsid w:val="15ED212D"/>
    <w:rsid w:val="16314E32"/>
    <w:rsid w:val="1639CCB0"/>
    <w:rsid w:val="1665E613"/>
    <w:rsid w:val="16A12A0F"/>
    <w:rsid w:val="16A94E0E"/>
    <w:rsid w:val="16B7F932"/>
    <w:rsid w:val="16BCD5F6"/>
    <w:rsid w:val="170C5E12"/>
    <w:rsid w:val="1720A26C"/>
    <w:rsid w:val="1730FCE7"/>
    <w:rsid w:val="1765CBBA"/>
    <w:rsid w:val="17BBDC89"/>
    <w:rsid w:val="17BFB888"/>
    <w:rsid w:val="17EC9DC9"/>
    <w:rsid w:val="17F2BAC8"/>
    <w:rsid w:val="17F497A6"/>
    <w:rsid w:val="184EB74E"/>
    <w:rsid w:val="18A29AB3"/>
    <w:rsid w:val="18B17CBF"/>
    <w:rsid w:val="1943F39E"/>
    <w:rsid w:val="195399EF"/>
    <w:rsid w:val="19646D0B"/>
    <w:rsid w:val="198AB2DC"/>
    <w:rsid w:val="19A477E0"/>
    <w:rsid w:val="19CBAA2B"/>
    <w:rsid w:val="19E69554"/>
    <w:rsid w:val="19EE7C70"/>
    <w:rsid w:val="1A18F990"/>
    <w:rsid w:val="1A27CA88"/>
    <w:rsid w:val="1A4958A8"/>
    <w:rsid w:val="1A4B8BD1"/>
    <w:rsid w:val="1A7C32DC"/>
    <w:rsid w:val="1AA3E3EC"/>
    <w:rsid w:val="1AB33DD7"/>
    <w:rsid w:val="1AC25B91"/>
    <w:rsid w:val="1AC84FC9"/>
    <w:rsid w:val="1AF52F33"/>
    <w:rsid w:val="1B0C9116"/>
    <w:rsid w:val="1B26E2C0"/>
    <w:rsid w:val="1B292CB1"/>
    <w:rsid w:val="1B2FCC47"/>
    <w:rsid w:val="1B5C6703"/>
    <w:rsid w:val="1B6F3700"/>
    <w:rsid w:val="1B721161"/>
    <w:rsid w:val="1BBCB47A"/>
    <w:rsid w:val="1BDA4E0A"/>
    <w:rsid w:val="1BDC56A8"/>
    <w:rsid w:val="1BE5F0E7"/>
    <w:rsid w:val="1BE89DDF"/>
    <w:rsid w:val="1BFD29F0"/>
    <w:rsid w:val="1C52D717"/>
    <w:rsid w:val="1C60709F"/>
    <w:rsid w:val="1C6D9739"/>
    <w:rsid w:val="1C725C11"/>
    <w:rsid w:val="1CD91CB9"/>
    <w:rsid w:val="1D4643B1"/>
    <w:rsid w:val="1D5F7EBF"/>
    <w:rsid w:val="1D7E3CBD"/>
    <w:rsid w:val="1DBD202B"/>
    <w:rsid w:val="1DE2285A"/>
    <w:rsid w:val="1E048ECD"/>
    <w:rsid w:val="1E0C2021"/>
    <w:rsid w:val="1E0E2314"/>
    <w:rsid w:val="1E402280"/>
    <w:rsid w:val="1E484FBF"/>
    <w:rsid w:val="1E931397"/>
    <w:rsid w:val="1EAC3BF4"/>
    <w:rsid w:val="1EF2C82C"/>
    <w:rsid w:val="1F1DFD94"/>
    <w:rsid w:val="1F2A67BE"/>
    <w:rsid w:val="1F53FE91"/>
    <w:rsid w:val="20106CDF"/>
    <w:rsid w:val="203707F7"/>
    <w:rsid w:val="203F4C20"/>
    <w:rsid w:val="205F94E8"/>
    <w:rsid w:val="2068EC94"/>
    <w:rsid w:val="20726D5E"/>
    <w:rsid w:val="208A8E62"/>
    <w:rsid w:val="20F21C56"/>
    <w:rsid w:val="20FE4A55"/>
    <w:rsid w:val="21259C00"/>
    <w:rsid w:val="213D5ED9"/>
    <w:rsid w:val="21425E65"/>
    <w:rsid w:val="21597AA2"/>
    <w:rsid w:val="21659531"/>
    <w:rsid w:val="21868B5E"/>
    <w:rsid w:val="2190BB89"/>
    <w:rsid w:val="21CF0333"/>
    <w:rsid w:val="21D18E20"/>
    <w:rsid w:val="21D38C12"/>
    <w:rsid w:val="21D7614A"/>
    <w:rsid w:val="21F1AE84"/>
    <w:rsid w:val="22129669"/>
    <w:rsid w:val="22940E23"/>
    <w:rsid w:val="229DE580"/>
    <w:rsid w:val="22A641A0"/>
    <w:rsid w:val="22BC8874"/>
    <w:rsid w:val="22D5D52C"/>
    <w:rsid w:val="2337200A"/>
    <w:rsid w:val="233AA352"/>
    <w:rsid w:val="2387D116"/>
    <w:rsid w:val="23A8CB60"/>
    <w:rsid w:val="23CEC043"/>
    <w:rsid w:val="23EC7689"/>
    <w:rsid w:val="23FBE3B4"/>
    <w:rsid w:val="23FCC92E"/>
    <w:rsid w:val="2442E9AB"/>
    <w:rsid w:val="24C9C1DB"/>
    <w:rsid w:val="25007CD4"/>
    <w:rsid w:val="251A9D6A"/>
    <w:rsid w:val="255131CE"/>
    <w:rsid w:val="255D1F0B"/>
    <w:rsid w:val="256A90A4"/>
    <w:rsid w:val="260C2052"/>
    <w:rsid w:val="261BF6F9"/>
    <w:rsid w:val="267303D5"/>
    <w:rsid w:val="26A6497B"/>
    <w:rsid w:val="26C6936A"/>
    <w:rsid w:val="26F99038"/>
    <w:rsid w:val="27040275"/>
    <w:rsid w:val="270AC528"/>
    <w:rsid w:val="270F15D5"/>
    <w:rsid w:val="2716E91C"/>
    <w:rsid w:val="273737E2"/>
    <w:rsid w:val="2743A4F4"/>
    <w:rsid w:val="2791E86F"/>
    <w:rsid w:val="27A1241B"/>
    <w:rsid w:val="27F9EC84"/>
    <w:rsid w:val="285FBE46"/>
    <w:rsid w:val="287E2283"/>
    <w:rsid w:val="288F2B84"/>
    <w:rsid w:val="28B3AB12"/>
    <w:rsid w:val="28B9BD8C"/>
    <w:rsid w:val="28C73CBF"/>
    <w:rsid w:val="28DBD51C"/>
    <w:rsid w:val="2909F3B2"/>
    <w:rsid w:val="293E90BC"/>
    <w:rsid w:val="294D82CF"/>
    <w:rsid w:val="2970F312"/>
    <w:rsid w:val="297499E4"/>
    <w:rsid w:val="29816E58"/>
    <w:rsid w:val="29927620"/>
    <w:rsid w:val="29E0154C"/>
    <w:rsid w:val="29FB7610"/>
    <w:rsid w:val="2A327AEE"/>
    <w:rsid w:val="2A93F4D5"/>
    <w:rsid w:val="2AB0DCA1"/>
    <w:rsid w:val="2AFFD268"/>
    <w:rsid w:val="2B0C1BC3"/>
    <w:rsid w:val="2B760B2E"/>
    <w:rsid w:val="2BA29956"/>
    <w:rsid w:val="2BB4C45D"/>
    <w:rsid w:val="2BF83F06"/>
    <w:rsid w:val="2C15AC4D"/>
    <w:rsid w:val="2C2003FF"/>
    <w:rsid w:val="2C302427"/>
    <w:rsid w:val="2C3AB031"/>
    <w:rsid w:val="2C6EFFBE"/>
    <w:rsid w:val="2C888000"/>
    <w:rsid w:val="2CA45C34"/>
    <w:rsid w:val="2CA78362"/>
    <w:rsid w:val="2CAEE082"/>
    <w:rsid w:val="2CFD8CEF"/>
    <w:rsid w:val="2D24D61C"/>
    <w:rsid w:val="2D4604F2"/>
    <w:rsid w:val="2D6504AF"/>
    <w:rsid w:val="2D8C192F"/>
    <w:rsid w:val="2DAC274A"/>
    <w:rsid w:val="2DB64158"/>
    <w:rsid w:val="2DC5B881"/>
    <w:rsid w:val="2DD047D4"/>
    <w:rsid w:val="2E102BA3"/>
    <w:rsid w:val="2E22A166"/>
    <w:rsid w:val="2E24CB85"/>
    <w:rsid w:val="2E34112A"/>
    <w:rsid w:val="2E5A1B02"/>
    <w:rsid w:val="2E69657C"/>
    <w:rsid w:val="2E7D3233"/>
    <w:rsid w:val="2EB41200"/>
    <w:rsid w:val="2EC98123"/>
    <w:rsid w:val="2ED8C2C1"/>
    <w:rsid w:val="2EDAEFEC"/>
    <w:rsid w:val="2EE46575"/>
    <w:rsid w:val="2EEA19C7"/>
    <w:rsid w:val="2F3A6565"/>
    <w:rsid w:val="2F64CB7B"/>
    <w:rsid w:val="2F6AF556"/>
    <w:rsid w:val="2F773565"/>
    <w:rsid w:val="2F786EDF"/>
    <w:rsid w:val="2F8E747B"/>
    <w:rsid w:val="2FBF32C8"/>
    <w:rsid w:val="2FFA076A"/>
    <w:rsid w:val="2FFEB00D"/>
    <w:rsid w:val="300B4012"/>
    <w:rsid w:val="300C69EA"/>
    <w:rsid w:val="302B8DB9"/>
    <w:rsid w:val="3041B7F5"/>
    <w:rsid w:val="304D2BC1"/>
    <w:rsid w:val="3054C3C2"/>
    <w:rsid w:val="309637FC"/>
    <w:rsid w:val="30AE81C5"/>
    <w:rsid w:val="30DF129A"/>
    <w:rsid w:val="3119C659"/>
    <w:rsid w:val="311E5E66"/>
    <w:rsid w:val="312E1B89"/>
    <w:rsid w:val="317013CD"/>
    <w:rsid w:val="319508D5"/>
    <w:rsid w:val="31A59427"/>
    <w:rsid w:val="31E7C489"/>
    <w:rsid w:val="31F0FB78"/>
    <w:rsid w:val="3206EBD7"/>
    <w:rsid w:val="320FF9ED"/>
    <w:rsid w:val="3258475B"/>
    <w:rsid w:val="3271524F"/>
    <w:rsid w:val="3290D317"/>
    <w:rsid w:val="32A763EA"/>
    <w:rsid w:val="32BF13ED"/>
    <w:rsid w:val="32CF766D"/>
    <w:rsid w:val="32D8708C"/>
    <w:rsid w:val="3313B744"/>
    <w:rsid w:val="333FE9D4"/>
    <w:rsid w:val="33406092"/>
    <w:rsid w:val="33AB4A05"/>
    <w:rsid w:val="33E19A1A"/>
    <w:rsid w:val="33E39EAF"/>
    <w:rsid w:val="340314DC"/>
    <w:rsid w:val="340AA524"/>
    <w:rsid w:val="3418FF97"/>
    <w:rsid w:val="343758E0"/>
    <w:rsid w:val="343F2C0A"/>
    <w:rsid w:val="34A23BCB"/>
    <w:rsid w:val="353BBF9A"/>
    <w:rsid w:val="353BE05D"/>
    <w:rsid w:val="3546A8FB"/>
    <w:rsid w:val="3559F305"/>
    <w:rsid w:val="357A0A08"/>
    <w:rsid w:val="3587D7AE"/>
    <w:rsid w:val="35906596"/>
    <w:rsid w:val="35A95D47"/>
    <w:rsid w:val="35B7BA92"/>
    <w:rsid w:val="35CD0E47"/>
    <w:rsid w:val="35E90265"/>
    <w:rsid w:val="35F45C5B"/>
    <w:rsid w:val="3639FEE0"/>
    <w:rsid w:val="36546205"/>
    <w:rsid w:val="36747761"/>
    <w:rsid w:val="36A1DF7F"/>
    <w:rsid w:val="36AC5966"/>
    <w:rsid w:val="36ACCAAC"/>
    <w:rsid w:val="36CD9207"/>
    <w:rsid w:val="36F044EE"/>
    <w:rsid w:val="372952A9"/>
    <w:rsid w:val="37A6BC10"/>
    <w:rsid w:val="37B9C688"/>
    <w:rsid w:val="37F57FDC"/>
    <w:rsid w:val="37FEE61A"/>
    <w:rsid w:val="3816454D"/>
    <w:rsid w:val="38202838"/>
    <w:rsid w:val="38573B0C"/>
    <w:rsid w:val="38602B2C"/>
    <w:rsid w:val="38A678A8"/>
    <w:rsid w:val="38B19C8F"/>
    <w:rsid w:val="38BD3B50"/>
    <w:rsid w:val="38E7B9E5"/>
    <w:rsid w:val="395A39BA"/>
    <w:rsid w:val="395C6692"/>
    <w:rsid w:val="396981A1"/>
    <w:rsid w:val="39B2D3F1"/>
    <w:rsid w:val="39D4817A"/>
    <w:rsid w:val="3A005447"/>
    <w:rsid w:val="3A087A6D"/>
    <w:rsid w:val="3A8D01EE"/>
    <w:rsid w:val="3AA2421D"/>
    <w:rsid w:val="3AC43FCF"/>
    <w:rsid w:val="3ADF0714"/>
    <w:rsid w:val="3B08AE6E"/>
    <w:rsid w:val="3B0A8C13"/>
    <w:rsid w:val="3B23A478"/>
    <w:rsid w:val="3B346C76"/>
    <w:rsid w:val="3B56F84C"/>
    <w:rsid w:val="3B7B4984"/>
    <w:rsid w:val="3B87B78A"/>
    <w:rsid w:val="3BF6DFAB"/>
    <w:rsid w:val="3C82CAE1"/>
    <w:rsid w:val="3C89F5AC"/>
    <w:rsid w:val="3C952544"/>
    <w:rsid w:val="3CA15E3A"/>
    <w:rsid w:val="3CBE8DA1"/>
    <w:rsid w:val="3CDCF915"/>
    <w:rsid w:val="3CDDB8F4"/>
    <w:rsid w:val="3D35C75E"/>
    <w:rsid w:val="3D643510"/>
    <w:rsid w:val="3DB43643"/>
    <w:rsid w:val="3E317531"/>
    <w:rsid w:val="3E51D6D9"/>
    <w:rsid w:val="3E60299B"/>
    <w:rsid w:val="3E603350"/>
    <w:rsid w:val="3E696711"/>
    <w:rsid w:val="3E6D22EC"/>
    <w:rsid w:val="3EA9D6FA"/>
    <w:rsid w:val="3EBF3FE5"/>
    <w:rsid w:val="3ED5A831"/>
    <w:rsid w:val="3EF6278A"/>
    <w:rsid w:val="3EF79F37"/>
    <w:rsid w:val="3F01CC4B"/>
    <w:rsid w:val="3F575CB2"/>
    <w:rsid w:val="3F9178BD"/>
    <w:rsid w:val="400EACB9"/>
    <w:rsid w:val="4077F6FA"/>
    <w:rsid w:val="40784FF9"/>
    <w:rsid w:val="411C187C"/>
    <w:rsid w:val="411CBA41"/>
    <w:rsid w:val="419BD915"/>
    <w:rsid w:val="41A28126"/>
    <w:rsid w:val="41B54297"/>
    <w:rsid w:val="4204FEC6"/>
    <w:rsid w:val="42083C87"/>
    <w:rsid w:val="42104B08"/>
    <w:rsid w:val="4255D5AD"/>
    <w:rsid w:val="426A87B4"/>
    <w:rsid w:val="42D33D0A"/>
    <w:rsid w:val="42E85A5B"/>
    <w:rsid w:val="42F2E2DF"/>
    <w:rsid w:val="4316B7F8"/>
    <w:rsid w:val="4339A346"/>
    <w:rsid w:val="4348C495"/>
    <w:rsid w:val="435100E6"/>
    <w:rsid w:val="43A8930C"/>
    <w:rsid w:val="43B3602C"/>
    <w:rsid w:val="43E8A713"/>
    <w:rsid w:val="43FBD5FA"/>
    <w:rsid w:val="443DC3C4"/>
    <w:rsid w:val="44820652"/>
    <w:rsid w:val="44A82C9E"/>
    <w:rsid w:val="44AEB3E7"/>
    <w:rsid w:val="44B496CF"/>
    <w:rsid w:val="452585D7"/>
    <w:rsid w:val="4533ACFE"/>
    <w:rsid w:val="45723B40"/>
    <w:rsid w:val="4583449D"/>
    <w:rsid w:val="45C96560"/>
    <w:rsid w:val="46401D0C"/>
    <w:rsid w:val="464BF29B"/>
    <w:rsid w:val="4655120E"/>
    <w:rsid w:val="46584C30"/>
    <w:rsid w:val="4658CD85"/>
    <w:rsid w:val="467276AA"/>
    <w:rsid w:val="467A4D5D"/>
    <w:rsid w:val="46D4E7DF"/>
    <w:rsid w:val="46EFDB0E"/>
    <w:rsid w:val="46F9EB2D"/>
    <w:rsid w:val="47186DF5"/>
    <w:rsid w:val="4740AA6D"/>
    <w:rsid w:val="4743BBEF"/>
    <w:rsid w:val="476331F3"/>
    <w:rsid w:val="47691B70"/>
    <w:rsid w:val="47710BCC"/>
    <w:rsid w:val="477363E9"/>
    <w:rsid w:val="478BFBC5"/>
    <w:rsid w:val="47AED978"/>
    <w:rsid w:val="47FB3EA2"/>
    <w:rsid w:val="4800DE46"/>
    <w:rsid w:val="4801608A"/>
    <w:rsid w:val="480C5B90"/>
    <w:rsid w:val="482D4473"/>
    <w:rsid w:val="485FD266"/>
    <w:rsid w:val="489401CF"/>
    <w:rsid w:val="48B06257"/>
    <w:rsid w:val="48C5EDD6"/>
    <w:rsid w:val="48DED8F6"/>
    <w:rsid w:val="48E2DA68"/>
    <w:rsid w:val="48E5F88B"/>
    <w:rsid w:val="494CDB7E"/>
    <w:rsid w:val="4950E98C"/>
    <w:rsid w:val="49715AB9"/>
    <w:rsid w:val="4974DFED"/>
    <w:rsid w:val="49796493"/>
    <w:rsid w:val="4985203A"/>
    <w:rsid w:val="4996D10A"/>
    <w:rsid w:val="49ABA561"/>
    <w:rsid w:val="49B58EFF"/>
    <w:rsid w:val="49B60E9C"/>
    <w:rsid w:val="49C271C1"/>
    <w:rsid w:val="49E33A67"/>
    <w:rsid w:val="49F8F6FA"/>
    <w:rsid w:val="4A053EBA"/>
    <w:rsid w:val="4A6FE63F"/>
    <w:rsid w:val="4AB81220"/>
    <w:rsid w:val="4AC53E80"/>
    <w:rsid w:val="4AC5B023"/>
    <w:rsid w:val="4AE495EE"/>
    <w:rsid w:val="4AF916B5"/>
    <w:rsid w:val="4B1DBFDF"/>
    <w:rsid w:val="4B286B42"/>
    <w:rsid w:val="4B2CA97F"/>
    <w:rsid w:val="4B37D7E7"/>
    <w:rsid w:val="4B4CDE0A"/>
    <w:rsid w:val="4B61EDD2"/>
    <w:rsid w:val="4B71A40D"/>
    <w:rsid w:val="4B7C99CE"/>
    <w:rsid w:val="4BDFB8AB"/>
    <w:rsid w:val="4C00F3D5"/>
    <w:rsid w:val="4C2EC638"/>
    <w:rsid w:val="4C57008D"/>
    <w:rsid w:val="4C58EA27"/>
    <w:rsid w:val="4C594D4B"/>
    <w:rsid w:val="4C74D2F4"/>
    <w:rsid w:val="4C80AEC0"/>
    <w:rsid w:val="4C888A4E"/>
    <w:rsid w:val="4C8A2742"/>
    <w:rsid w:val="4CF53CCB"/>
    <w:rsid w:val="4D1A8AA3"/>
    <w:rsid w:val="4D1AF78C"/>
    <w:rsid w:val="4D2F5458"/>
    <w:rsid w:val="4D49C019"/>
    <w:rsid w:val="4D616FB4"/>
    <w:rsid w:val="4D7CFDAC"/>
    <w:rsid w:val="4D8923C9"/>
    <w:rsid w:val="4DBB4EE8"/>
    <w:rsid w:val="4E013B9B"/>
    <w:rsid w:val="4E042679"/>
    <w:rsid w:val="4E369A16"/>
    <w:rsid w:val="4E8B40BC"/>
    <w:rsid w:val="4E9D43A9"/>
    <w:rsid w:val="4EA5DF49"/>
    <w:rsid w:val="4EEAA2AD"/>
    <w:rsid w:val="4F0C408E"/>
    <w:rsid w:val="4F111262"/>
    <w:rsid w:val="4F1185A6"/>
    <w:rsid w:val="4F4E9BA2"/>
    <w:rsid w:val="4F7CCD83"/>
    <w:rsid w:val="4F8D3E25"/>
    <w:rsid w:val="4FC1B43F"/>
    <w:rsid w:val="4FCB32E2"/>
    <w:rsid w:val="4FDCDD7F"/>
    <w:rsid w:val="4FF9B61D"/>
    <w:rsid w:val="5001B9BB"/>
    <w:rsid w:val="505A2A85"/>
    <w:rsid w:val="50748D55"/>
    <w:rsid w:val="50A3FF14"/>
    <w:rsid w:val="50AFDEE9"/>
    <w:rsid w:val="50B37BC7"/>
    <w:rsid w:val="50FE1DCD"/>
    <w:rsid w:val="510C1807"/>
    <w:rsid w:val="519F71BA"/>
    <w:rsid w:val="51B91678"/>
    <w:rsid w:val="51E1E382"/>
    <w:rsid w:val="5247D0DE"/>
    <w:rsid w:val="524BDC41"/>
    <w:rsid w:val="526A79EA"/>
    <w:rsid w:val="52FF5916"/>
    <w:rsid w:val="534E31C0"/>
    <w:rsid w:val="539EE359"/>
    <w:rsid w:val="547921E8"/>
    <w:rsid w:val="551288EC"/>
    <w:rsid w:val="552DC237"/>
    <w:rsid w:val="553C6D6F"/>
    <w:rsid w:val="5548E207"/>
    <w:rsid w:val="5557D385"/>
    <w:rsid w:val="555A2D28"/>
    <w:rsid w:val="557E94C8"/>
    <w:rsid w:val="55881176"/>
    <w:rsid w:val="55983421"/>
    <w:rsid w:val="55A7D61B"/>
    <w:rsid w:val="55FAAEB0"/>
    <w:rsid w:val="56151B1D"/>
    <w:rsid w:val="56274895"/>
    <w:rsid w:val="562F6C94"/>
    <w:rsid w:val="5676244D"/>
    <w:rsid w:val="5687DA9A"/>
    <w:rsid w:val="571E692F"/>
    <w:rsid w:val="5727BD70"/>
    <w:rsid w:val="572BF435"/>
    <w:rsid w:val="579647F2"/>
    <w:rsid w:val="57EDB898"/>
    <w:rsid w:val="57F3ADBA"/>
    <w:rsid w:val="58178C11"/>
    <w:rsid w:val="5825661C"/>
    <w:rsid w:val="5826198D"/>
    <w:rsid w:val="582FD115"/>
    <w:rsid w:val="58854961"/>
    <w:rsid w:val="589096A7"/>
    <w:rsid w:val="5894D5BD"/>
    <w:rsid w:val="58BEFFE8"/>
    <w:rsid w:val="59B8E283"/>
    <w:rsid w:val="59E9EC2F"/>
    <w:rsid w:val="5A0E5D61"/>
    <w:rsid w:val="5A28162B"/>
    <w:rsid w:val="5A5C54F6"/>
    <w:rsid w:val="5A7602C5"/>
    <w:rsid w:val="5A969BD0"/>
    <w:rsid w:val="5ABF63B1"/>
    <w:rsid w:val="5ACD93D3"/>
    <w:rsid w:val="5B5B80CE"/>
    <w:rsid w:val="5B9BF9F5"/>
    <w:rsid w:val="5C1ECE75"/>
    <w:rsid w:val="5C2E3286"/>
    <w:rsid w:val="5C33D841"/>
    <w:rsid w:val="5C468A4C"/>
    <w:rsid w:val="5CDB487A"/>
    <w:rsid w:val="5CDE78B9"/>
    <w:rsid w:val="5D029762"/>
    <w:rsid w:val="5D443985"/>
    <w:rsid w:val="5D4F1E83"/>
    <w:rsid w:val="5D616DCE"/>
    <w:rsid w:val="5D6212D5"/>
    <w:rsid w:val="5D659975"/>
    <w:rsid w:val="5D7B4459"/>
    <w:rsid w:val="5DA6DE66"/>
    <w:rsid w:val="5DEB56B3"/>
    <w:rsid w:val="5E1D3FA8"/>
    <w:rsid w:val="5E25178C"/>
    <w:rsid w:val="5E2E77BF"/>
    <w:rsid w:val="5E58E038"/>
    <w:rsid w:val="5ECC6FD8"/>
    <w:rsid w:val="5F35635A"/>
    <w:rsid w:val="5F473163"/>
    <w:rsid w:val="5F9BF69D"/>
    <w:rsid w:val="5FD964C4"/>
    <w:rsid w:val="601753A2"/>
    <w:rsid w:val="60319114"/>
    <w:rsid w:val="6087CD8B"/>
    <w:rsid w:val="609DFE5E"/>
    <w:rsid w:val="60A159AB"/>
    <w:rsid w:val="60BAD2A1"/>
    <w:rsid w:val="60D1C6E4"/>
    <w:rsid w:val="610AFCBA"/>
    <w:rsid w:val="611100FA"/>
    <w:rsid w:val="6171AF04"/>
    <w:rsid w:val="61A94D4A"/>
    <w:rsid w:val="61BD065D"/>
    <w:rsid w:val="61BEA4D4"/>
    <w:rsid w:val="6212ADCB"/>
    <w:rsid w:val="62259586"/>
    <w:rsid w:val="62353EAB"/>
    <w:rsid w:val="624A5CA9"/>
    <w:rsid w:val="624BCBAF"/>
    <w:rsid w:val="627AF493"/>
    <w:rsid w:val="62A9E61A"/>
    <w:rsid w:val="62D17CB3"/>
    <w:rsid w:val="62D4A28F"/>
    <w:rsid w:val="6300C932"/>
    <w:rsid w:val="632433D1"/>
    <w:rsid w:val="63373F32"/>
    <w:rsid w:val="6387DA99"/>
    <w:rsid w:val="63891C04"/>
    <w:rsid w:val="638EE22C"/>
    <w:rsid w:val="63978E6C"/>
    <w:rsid w:val="63A33775"/>
    <w:rsid w:val="63DB33ED"/>
    <w:rsid w:val="63EB322E"/>
    <w:rsid w:val="644D2FA5"/>
    <w:rsid w:val="644FCC41"/>
    <w:rsid w:val="64B85860"/>
    <w:rsid w:val="64E069F7"/>
    <w:rsid w:val="65064A07"/>
    <w:rsid w:val="653C886D"/>
    <w:rsid w:val="65446742"/>
    <w:rsid w:val="654A4E97"/>
    <w:rsid w:val="655B3FBC"/>
    <w:rsid w:val="659B8514"/>
    <w:rsid w:val="65D292F9"/>
    <w:rsid w:val="65D70065"/>
    <w:rsid w:val="6606DC12"/>
    <w:rsid w:val="6618D11E"/>
    <w:rsid w:val="6656003C"/>
    <w:rsid w:val="66680C01"/>
    <w:rsid w:val="6694E288"/>
    <w:rsid w:val="669B29FC"/>
    <w:rsid w:val="66C249D1"/>
    <w:rsid w:val="66E80BA5"/>
    <w:rsid w:val="66E88571"/>
    <w:rsid w:val="6702F99A"/>
    <w:rsid w:val="671407E5"/>
    <w:rsid w:val="673D22BD"/>
    <w:rsid w:val="67519AF7"/>
    <w:rsid w:val="675C684C"/>
    <w:rsid w:val="67E87F59"/>
    <w:rsid w:val="687B2310"/>
    <w:rsid w:val="687DB0DA"/>
    <w:rsid w:val="68A9FCBA"/>
    <w:rsid w:val="68D7FB99"/>
    <w:rsid w:val="68F17CDD"/>
    <w:rsid w:val="68F53FED"/>
    <w:rsid w:val="692728BE"/>
    <w:rsid w:val="69696030"/>
    <w:rsid w:val="696A2F31"/>
    <w:rsid w:val="69B542F5"/>
    <w:rsid w:val="69BC132E"/>
    <w:rsid w:val="69BE19A5"/>
    <w:rsid w:val="69C9A5E2"/>
    <w:rsid w:val="69E39E9D"/>
    <w:rsid w:val="6A1FDB2B"/>
    <w:rsid w:val="6A63D60E"/>
    <w:rsid w:val="6A6AED0B"/>
    <w:rsid w:val="6A7A6451"/>
    <w:rsid w:val="6AB459E4"/>
    <w:rsid w:val="6AF4CF53"/>
    <w:rsid w:val="6AFA5B09"/>
    <w:rsid w:val="6AFA963E"/>
    <w:rsid w:val="6AFFD924"/>
    <w:rsid w:val="6B00700B"/>
    <w:rsid w:val="6B698501"/>
    <w:rsid w:val="6B779432"/>
    <w:rsid w:val="6B9D8342"/>
    <w:rsid w:val="6BB7C721"/>
    <w:rsid w:val="6BBBED69"/>
    <w:rsid w:val="6BC8B584"/>
    <w:rsid w:val="6BFB2FEA"/>
    <w:rsid w:val="6C2430BF"/>
    <w:rsid w:val="6C531A7E"/>
    <w:rsid w:val="6C821BD1"/>
    <w:rsid w:val="6CB94F41"/>
    <w:rsid w:val="6CC13B86"/>
    <w:rsid w:val="6CD3360E"/>
    <w:rsid w:val="6E0E8EA1"/>
    <w:rsid w:val="6E0F29E4"/>
    <w:rsid w:val="6E1EBA98"/>
    <w:rsid w:val="6E317319"/>
    <w:rsid w:val="6E46A189"/>
    <w:rsid w:val="6E50A9ED"/>
    <w:rsid w:val="6E590BBB"/>
    <w:rsid w:val="6E9C92C3"/>
    <w:rsid w:val="6EBCA26A"/>
    <w:rsid w:val="6F3A25DC"/>
    <w:rsid w:val="6F54772A"/>
    <w:rsid w:val="6F566303"/>
    <w:rsid w:val="6FE9C996"/>
    <w:rsid w:val="7001C159"/>
    <w:rsid w:val="70695B2C"/>
    <w:rsid w:val="7069F7AA"/>
    <w:rsid w:val="70731EC9"/>
    <w:rsid w:val="70741E6E"/>
    <w:rsid w:val="70D696F0"/>
    <w:rsid w:val="71300CBE"/>
    <w:rsid w:val="714C6AFE"/>
    <w:rsid w:val="71553258"/>
    <w:rsid w:val="716AB9F2"/>
    <w:rsid w:val="716DF2EB"/>
    <w:rsid w:val="71734945"/>
    <w:rsid w:val="7185B6D8"/>
    <w:rsid w:val="7195AD95"/>
    <w:rsid w:val="71B7A27F"/>
    <w:rsid w:val="71BA17AF"/>
    <w:rsid w:val="71DFD89D"/>
    <w:rsid w:val="71E0B248"/>
    <w:rsid w:val="720B8B27"/>
    <w:rsid w:val="72A222CF"/>
    <w:rsid w:val="72A5C826"/>
    <w:rsid w:val="72B8250D"/>
    <w:rsid w:val="72D96BCB"/>
    <w:rsid w:val="72DE2875"/>
    <w:rsid w:val="72F46A83"/>
    <w:rsid w:val="72FC7276"/>
    <w:rsid w:val="72FFF2A7"/>
    <w:rsid w:val="73302D43"/>
    <w:rsid w:val="73729E9A"/>
    <w:rsid w:val="7386C311"/>
    <w:rsid w:val="73ABD302"/>
    <w:rsid w:val="73DCA5CE"/>
    <w:rsid w:val="7403A2E5"/>
    <w:rsid w:val="74431741"/>
    <w:rsid w:val="74459D29"/>
    <w:rsid w:val="744CADE6"/>
    <w:rsid w:val="74677560"/>
    <w:rsid w:val="7471F793"/>
    <w:rsid w:val="7475E91F"/>
    <w:rsid w:val="747E91F0"/>
    <w:rsid w:val="748FF68D"/>
    <w:rsid w:val="7495546C"/>
    <w:rsid w:val="74A25AB4"/>
    <w:rsid w:val="74EA4CF0"/>
    <w:rsid w:val="74EB47D5"/>
    <w:rsid w:val="74EBD1F2"/>
    <w:rsid w:val="750045E0"/>
    <w:rsid w:val="759E5966"/>
    <w:rsid w:val="75AA7188"/>
    <w:rsid w:val="75C7627E"/>
    <w:rsid w:val="75CE67A8"/>
    <w:rsid w:val="75D53F0B"/>
    <w:rsid w:val="75E01D11"/>
    <w:rsid w:val="75EDE8F9"/>
    <w:rsid w:val="75EEAF66"/>
    <w:rsid w:val="761EC7B4"/>
    <w:rsid w:val="7629E1A6"/>
    <w:rsid w:val="762CF45B"/>
    <w:rsid w:val="768A8267"/>
    <w:rsid w:val="76FF97CE"/>
    <w:rsid w:val="7748574B"/>
    <w:rsid w:val="777647FF"/>
    <w:rsid w:val="77C677C9"/>
    <w:rsid w:val="77CBA7B7"/>
    <w:rsid w:val="77FADE6D"/>
    <w:rsid w:val="7812812B"/>
    <w:rsid w:val="7813C1FB"/>
    <w:rsid w:val="781D16CF"/>
    <w:rsid w:val="782B682C"/>
    <w:rsid w:val="783619A1"/>
    <w:rsid w:val="784B78E1"/>
    <w:rsid w:val="784F168E"/>
    <w:rsid w:val="78825EF6"/>
    <w:rsid w:val="78837519"/>
    <w:rsid w:val="789ADD7A"/>
    <w:rsid w:val="78B3AD4E"/>
    <w:rsid w:val="78BF1F61"/>
    <w:rsid w:val="78E0372D"/>
    <w:rsid w:val="78E1AFB6"/>
    <w:rsid w:val="78F09FAE"/>
    <w:rsid w:val="7948CD06"/>
    <w:rsid w:val="79753CB2"/>
    <w:rsid w:val="798BE81C"/>
    <w:rsid w:val="7A29384F"/>
    <w:rsid w:val="7A364E8C"/>
    <w:rsid w:val="7A44B08F"/>
    <w:rsid w:val="7A8932F9"/>
    <w:rsid w:val="7A8F7ADA"/>
    <w:rsid w:val="7AABA22C"/>
    <w:rsid w:val="7AB046C6"/>
    <w:rsid w:val="7ABEF860"/>
    <w:rsid w:val="7AE3B807"/>
    <w:rsid w:val="7B15C675"/>
    <w:rsid w:val="7B17AAC7"/>
    <w:rsid w:val="7B1A3281"/>
    <w:rsid w:val="7B23DF2E"/>
    <w:rsid w:val="7B51F5BE"/>
    <w:rsid w:val="7B720089"/>
    <w:rsid w:val="7BC1C9FD"/>
    <w:rsid w:val="7BC9A695"/>
    <w:rsid w:val="7BE700E6"/>
    <w:rsid w:val="7BE99418"/>
    <w:rsid w:val="7C0EE8D2"/>
    <w:rsid w:val="7C2B4B3B"/>
    <w:rsid w:val="7C3F3CC3"/>
    <w:rsid w:val="7C402DBB"/>
    <w:rsid w:val="7C65A406"/>
    <w:rsid w:val="7CCD897F"/>
    <w:rsid w:val="7E01456B"/>
    <w:rsid w:val="7E099753"/>
    <w:rsid w:val="7E3022E9"/>
    <w:rsid w:val="7E46183A"/>
    <w:rsid w:val="7E79D4FB"/>
    <w:rsid w:val="7F103A90"/>
    <w:rsid w:val="7F28FACB"/>
    <w:rsid w:val="7FADFB31"/>
    <w:rsid w:val="7FC43D3F"/>
    <w:rsid w:val="7FD3D6A1"/>
    <w:rsid w:val="7FE6D16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3EA5B59E"/>
  <w15:docId w15:val="{8C8C856B-A382-4B96-9A41-F16A6795E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B7FAE"/>
    <w:rPr>
      <w:rFonts w:ascii="Arial" w:hAnsi="Arial"/>
      <w:sz w:val="24"/>
      <w:szCs w:val="24"/>
    </w:rPr>
  </w:style>
  <w:style w:type="paragraph" w:styleId="Heading1">
    <w:name w:val="heading 1"/>
    <w:basedOn w:val="Normal"/>
    <w:next w:val="Normal"/>
    <w:qFormat/>
    <w:rsid w:val="005B7FAE"/>
    <w:pPr>
      <w:keepNext/>
      <w:pageBreakBefore/>
      <w:jc w:val="center"/>
      <w:outlineLvl w:val="0"/>
    </w:pPr>
    <w:rPr>
      <w:rFonts w:cs="Arial"/>
      <w:b/>
    </w:rPr>
  </w:style>
  <w:style w:type="paragraph" w:styleId="Heading2">
    <w:name w:val="heading 2"/>
    <w:basedOn w:val="Normal"/>
    <w:next w:val="Normal"/>
    <w:link w:val="Heading2Char"/>
    <w:unhideWhenUsed/>
    <w:qFormat/>
    <w:rsid w:val="008F5D9E"/>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BodyTextIndent3">
    <w:name w:val="Body Text Indent 3"/>
    <w:basedOn w:val="Normal"/>
    <w:pPr>
      <w:overflowPunct w:val="0"/>
      <w:autoSpaceDE w:val="0"/>
      <w:autoSpaceDN w:val="0"/>
      <w:adjustRightInd w:val="0"/>
      <w:ind w:left="1440" w:hanging="720"/>
      <w:textAlignment w:val="baseline"/>
    </w:pPr>
    <w:rPr>
      <w:szCs w:val="20"/>
    </w:rPr>
  </w:style>
  <w:style w:type="paragraph" w:styleId="BodyTextIndent">
    <w:name w:val="Body Text Indent"/>
    <w:basedOn w:val="Normal"/>
    <w:pPr>
      <w:ind w:left="2160" w:hanging="360"/>
    </w:pPr>
    <w:rPr>
      <w:rFonts w:cs="Arial"/>
      <w:u w:val="single"/>
    </w:r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rPr>
      <w:sz w:val="20"/>
      <w:szCs w:val="20"/>
    </w:rPr>
  </w:style>
  <w:style w:type="paragraph" w:styleId="DocumentMap">
    <w:name w:val="Document Map"/>
    <w:basedOn w:val="Normal"/>
    <w:semiHidden/>
    <w:pPr>
      <w:shd w:val="clear" w:color="auto" w:fill="000080"/>
    </w:pPr>
    <w:rPr>
      <w:rFonts w:ascii="Tahoma" w:hAnsi="Tahoma" w:cs="Tahoma"/>
      <w:sz w:val="20"/>
      <w:szCs w:val="20"/>
    </w:rPr>
  </w:style>
  <w:style w:type="paragraph" w:styleId="BalloonText">
    <w:name w:val="Balloon Text"/>
    <w:basedOn w:val="Normal"/>
    <w:semiHidden/>
    <w:rPr>
      <w:rFonts w:ascii="Tahoma" w:hAnsi="Tahoma" w:cs="Tahoma"/>
      <w:sz w:val="16"/>
      <w:szCs w:val="16"/>
    </w:rPr>
  </w:style>
  <w:style w:type="paragraph" w:styleId="ListParagraph">
    <w:name w:val="List Paragraph"/>
    <w:basedOn w:val="Normal"/>
    <w:link w:val="ListParagraphChar"/>
    <w:uiPriority w:val="1"/>
    <w:qFormat/>
    <w:pPr>
      <w:ind w:left="720"/>
    </w:pPr>
  </w:style>
  <w:style w:type="paragraph" w:customStyle="1" w:styleId="Default">
    <w:name w:val="Default"/>
    <w:uiPriority w:val="99"/>
    <w:pPr>
      <w:autoSpaceDE w:val="0"/>
      <w:autoSpaceDN w:val="0"/>
      <w:adjustRightInd w:val="0"/>
    </w:pPr>
    <w:rPr>
      <w:rFonts w:ascii="Arial" w:hAnsi="Arial" w:cs="Arial"/>
      <w:color w:val="000000"/>
      <w:sz w:val="24"/>
      <w:szCs w:val="24"/>
    </w:rPr>
  </w:style>
  <w:style w:type="character" w:customStyle="1" w:styleId="msoins0">
    <w:name w:val="msoins"/>
    <w:basedOn w:val="DefaultParagraphFont"/>
  </w:style>
  <w:style w:type="character" w:styleId="Hyperlink">
    <w:name w:val="Hyperlink"/>
    <w:uiPriority w:val="99"/>
    <w:rPr>
      <w:color w:val="0000FF"/>
      <w:u w:val="single"/>
    </w:rPr>
  </w:style>
  <w:style w:type="character" w:customStyle="1" w:styleId="DeltaViewInsertion">
    <w:name w:val="DeltaView Insertion"/>
    <w:rPr>
      <w:color w:val="000080"/>
      <w:spacing w:val="0"/>
      <w:u w:val="double"/>
    </w:rPr>
  </w:style>
  <w:style w:type="character" w:styleId="FollowedHyperlink">
    <w:name w:val="FollowedHyperlink"/>
    <w:rsid w:val="00675C87"/>
    <w:rPr>
      <w:color w:val="800080"/>
      <w:u w:val="single"/>
    </w:rPr>
  </w:style>
  <w:style w:type="paragraph" w:styleId="CommentSubject">
    <w:name w:val="annotation subject"/>
    <w:basedOn w:val="CommentText"/>
    <w:next w:val="CommentText"/>
    <w:semiHidden/>
    <w:rsid w:val="009B2F50"/>
    <w:rPr>
      <w:b/>
      <w:bCs/>
    </w:rPr>
  </w:style>
  <w:style w:type="character" w:customStyle="1" w:styleId="CommentTextChar">
    <w:name w:val="Comment Text Char"/>
    <w:basedOn w:val="DefaultParagraphFont"/>
    <w:link w:val="CommentText"/>
    <w:uiPriority w:val="99"/>
    <w:rsid w:val="00452DA3"/>
  </w:style>
  <w:style w:type="character" w:customStyle="1" w:styleId="FooterChar">
    <w:name w:val="Footer Char"/>
    <w:basedOn w:val="DefaultParagraphFont"/>
    <w:link w:val="Footer"/>
    <w:uiPriority w:val="99"/>
    <w:rsid w:val="00E02FF3"/>
    <w:rPr>
      <w:sz w:val="24"/>
      <w:szCs w:val="24"/>
    </w:rPr>
  </w:style>
  <w:style w:type="paragraph" w:customStyle="1" w:styleId="Style1">
    <w:name w:val="Style1"/>
    <w:basedOn w:val="Normal"/>
    <w:link w:val="Style1Char"/>
    <w:qFormat/>
    <w:rsid w:val="001F39B9"/>
    <w:pPr>
      <w:pageBreakBefore/>
      <w:jc w:val="center"/>
    </w:pPr>
    <w:rPr>
      <w:rFonts w:cs="Arial"/>
      <w:b/>
    </w:rPr>
  </w:style>
  <w:style w:type="paragraph" w:customStyle="1" w:styleId="Style2">
    <w:name w:val="Style 2"/>
    <w:basedOn w:val="Normal"/>
    <w:link w:val="Style2Char"/>
    <w:qFormat/>
    <w:rsid w:val="0062750F"/>
    <w:pPr>
      <w:ind w:left="720" w:hanging="720"/>
    </w:pPr>
    <w:rPr>
      <w:rFonts w:cs="Arial"/>
      <w:b/>
      <w:color w:val="000000"/>
    </w:rPr>
  </w:style>
  <w:style w:type="paragraph" w:styleId="TOC1">
    <w:name w:val="toc 1"/>
    <w:basedOn w:val="Normal"/>
    <w:next w:val="Normal"/>
    <w:link w:val="TOC1Char"/>
    <w:autoRedefine/>
    <w:uiPriority w:val="39"/>
    <w:unhideWhenUsed/>
    <w:rsid w:val="003023F9"/>
    <w:pPr>
      <w:tabs>
        <w:tab w:val="right" w:leader="dot" w:pos="9360"/>
      </w:tabs>
      <w:spacing w:after="100"/>
    </w:pPr>
  </w:style>
  <w:style w:type="character" w:customStyle="1" w:styleId="TOC1Char">
    <w:name w:val="TOC 1 Char"/>
    <w:basedOn w:val="DefaultParagraphFont"/>
    <w:link w:val="TOC1"/>
    <w:uiPriority w:val="39"/>
    <w:rsid w:val="003023F9"/>
    <w:rPr>
      <w:rFonts w:ascii="Arial" w:hAnsi="Arial"/>
      <w:sz w:val="24"/>
      <w:szCs w:val="24"/>
    </w:rPr>
  </w:style>
  <w:style w:type="character" w:customStyle="1" w:styleId="Style1Char">
    <w:name w:val="Style1 Char"/>
    <w:basedOn w:val="TOC1Char"/>
    <w:link w:val="Style1"/>
    <w:rsid w:val="001F39B9"/>
    <w:rPr>
      <w:rFonts w:ascii="Arial" w:hAnsi="Arial" w:cs="Arial"/>
      <w:b/>
      <w:sz w:val="24"/>
      <w:szCs w:val="24"/>
    </w:rPr>
  </w:style>
  <w:style w:type="paragraph" w:styleId="TOCHeading">
    <w:name w:val="TOC Heading"/>
    <w:basedOn w:val="Heading1"/>
    <w:next w:val="Normal"/>
    <w:uiPriority w:val="39"/>
    <w:unhideWhenUsed/>
    <w:qFormat/>
    <w:rsid w:val="0062750F"/>
    <w:pPr>
      <w:keepLines/>
      <w:spacing w:before="240" w:line="259" w:lineRule="auto"/>
      <w:outlineLvl w:val="9"/>
    </w:pPr>
    <w:rPr>
      <w:rFonts w:asciiTheme="majorHAnsi" w:eastAsiaTheme="majorEastAsia" w:hAnsiTheme="majorHAnsi" w:cstheme="majorBidi"/>
      <w:color w:val="365F91" w:themeColor="accent1" w:themeShade="BF"/>
      <w:sz w:val="32"/>
      <w:szCs w:val="32"/>
    </w:rPr>
  </w:style>
  <w:style w:type="character" w:customStyle="1" w:styleId="Style2Char">
    <w:name w:val="Style 2 Char"/>
    <w:basedOn w:val="DefaultParagraphFont"/>
    <w:link w:val="Style2"/>
    <w:rsid w:val="0062750F"/>
    <w:rPr>
      <w:rFonts w:ascii="Arial" w:hAnsi="Arial" w:cs="Arial"/>
      <w:b/>
      <w:color w:val="000000"/>
      <w:sz w:val="24"/>
      <w:szCs w:val="24"/>
    </w:rPr>
  </w:style>
  <w:style w:type="paragraph" w:styleId="TOC3">
    <w:name w:val="toc 3"/>
    <w:basedOn w:val="Normal"/>
    <w:next w:val="Normal"/>
    <w:autoRedefine/>
    <w:uiPriority w:val="39"/>
    <w:unhideWhenUsed/>
    <w:rsid w:val="0062750F"/>
    <w:pPr>
      <w:spacing w:after="100"/>
      <w:ind w:left="480"/>
    </w:pPr>
  </w:style>
  <w:style w:type="character" w:customStyle="1" w:styleId="Heading2Char">
    <w:name w:val="Heading 2 Char"/>
    <w:basedOn w:val="DefaultParagraphFont"/>
    <w:link w:val="Heading2"/>
    <w:rsid w:val="008F5D9E"/>
    <w:rPr>
      <w:rFonts w:asciiTheme="majorHAnsi" w:eastAsiaTheme="majorEastAsia" w:hAnsiTheme="majorHAnsi" w:cstheme="majorBidi"/>
      <w:color w:val="365F91" w:themeColor="accent1" w:themeShade="BF"/>
      <w:sz w:val="26"/>
      <w:szCs w:val="26"/>
    </w:rPr>
  </w:style>
  <w:style w:type="paragraph" w:styleId="TOC2">
    <w:name w:val="toc 2"/>
    <w:basedOn w:val="Normal"/>
    <w:next w:val="Normal"/>
    <w:autoRedefine/>
    <w:uiPriority w:val="39"/>
    <w:unhideWhenUsed/>
    <w:rsid w:val="003023F9"/>
    <w:pPr>
      <w:tabs>
        <w:tab w:val="right" w:leader="dot" w:pos="9350"/>
      </w:tabs>
      <w:spacing w:after="100"/>
      <w:ind w:left="240" w:right="1440"/>
    </w:pPr>
    <w:rPr>
      <w:rFonts w:cs="Arial"/>
      <w:noProof/>
    </w:rPr>
  </w:style>
  <w:style w:type="paragraph" w:styleId="Revision">
    <w:name w:val="Revision"/>
    <w:hidden/>
    <w:uiPriority w:val="99"/>
    <w:semiHidden/>
    <w:rsid w:val="002834EC"/>
    <w:rPr>
      <w:sz w:val="24"/>
      <w:szCs w:val="24"/>
    </w:rPr>
  </w:style>
  <w:style w:type="paragraph" w:styleId="BodyText">
    <w:name w:val="Body Text"/>
    <w:basedOn w:val="Normal"/>
    <w:link w:val="BodyTextChar"/>
    <w:uiPriority w:val="1"/>
    <w:unhideWhenUsed/>
    <w:qFormat/>
    <w:rsid w:val="009F49DD"/>
    <w:pPr>
      <w:spacing w:after="120"/>
    </w:pPr>
  </w:style>
  <w:style w:type="character" w:customStyle="1" w:styleId="BodyTextChar">
    <w:name w:val="Body Text Char"/>
    <w:basedOn w:val="DefaultParagraphFont"/>
    <w:link w:val="BodyText"/>
    <w:uiPriority w:val="1"/>
    <w:rsid w:val="009F49DD"/>
    <w:rPr>
      <w:sz w:val="24"/>
      <w:szCs w:val="24"/>
    </w:rPr>
  </w:style>
  <w:style w:type="table" w:styleId="TableGrid">
    <w:name w:val="Table Grid"/>
    <w:basedOn w:val="TableNormal"/>
    <w:uiPriority w:val="39"/>
    <w:rsid w:val="009F49DD"/>
    <w:pPr>
      <w:widowControl w:val="0"/>
      <w:autoSpaceDE w:val="0"/>
      <w:autoSpaceDN w:val="0"/>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9A102D"/>
    <w:rPr>
      <w:color w:val="605E5C"/>
      <w:shd w:val="clear" w:color="auto" w:fill="E1DFDD"/>
    </w:rPr>
  </w:style>
  <w:style w:type="character" w:styleId="UnresolvedMention">
    <w:name w:val="Unresolved Mention"/>
    <w:basedOn w:val="DefaultParagraphFont"/>
    <w:uiPriority w:val="99"/>
    <w:unhideWhenUsed/>
    <w:rsid w:val="00AA2590"/>
    <w:rPr>
      <w:color w:val="605E5C"/>
      <w:shd w:val="clear" w:color="auto" w:fill="E1DFDD"/>
    </w:rPr>
  </w:style>
  <w:style w:type="character" w:customStyle="1" w:styleId="wordphrase">
    <w:name w:val="wordphrase"/>
    <w:basedOn w:val="DefaultParagraphFont"/>
    <w:rsid w:val="00A27BF6"/>
  </w:style>
  <w:style w:type="paragraph" w:styleId="NormalWeb">
    <w:name w:val="Normal (Web)"/>
    <w:basedOn w:val="Normal"/>
    <w:uiPriority w:val="99"/>
    <w:unhideWhenUsed/>
    <w:rsid w:val="0020203D"/>
    <w:pPr>
      <w:spacing w:before="100" w:beforeAutospacing="1" w:after="100" w:afterAutospacing="1"/>
    </w:pPr>
    <w:rPr>
      <w:rFonts w:ascii="Times New Roman" w:hAnsi="Times New Roman"/>
    </w:rPr>
  </w:style>
  <w:style w:type="character" w:customStyle="1" w:styleId="ListParagraphChar">
    <w:name w:val="List Paragraph Char"/>
    <w:basedOn w:val="DefaultParagraphFont"/>
    <w:link w:val="ListParagraph"/>
    <w:uiPriority w:val="1"/>
    <w:locked/>
    <w:rsid w:val="001743DD"/>
    <w:rPr>
      <w:rFonts w:ascii="Arial" w:hAnsi="Arial"/>
      <w:sz w:val="24"/>
      <w:szCs w:val="24"/>
    </w:rPr>
  </w:style>
  <w:style w:type="character" w:customStyle="1" w:styleId="CM45">
    <w:name w:val="CM45"/>
    <w:uiPriority w:val="99"/>
    <w:rsid w:val="00E93BC2"/>
    <w:rPr>
      <w:color w:val="000000"/>
    </w:rPr>
  </w:style>
  <w:style w:type="character" w:customStyle="1" w:styleId="eop">
    <w:name w:val="eop"/>
    <w:basedOn w:val="DefaultParagraphFont"/>
    <w:rsid w:val="00E43184"/>
  </w:style>
  <w:style w:type="character" w:customStyle="1" w:styleId="normaltextrun">
    <w:name w:val="normaltextrun"/>
    <w:basedOn w:val="DefaultParagraphFont"/>
    <w:rsid w:val="002511A2"/>
  </w:style>
  <w:style w:type="character" w:styleId="Mention">
    <w:name w:val="Mention"/>
    <w:basedOn w:val="DefaultParagraphFont"/>
    <w:uiPriority w:val="99"/>
    <w:unhideWhenUsed/>
    <w:rsid w:val="006F155C"/>
    <w:rPr>
      <w:color w:val="2B579A"/>
      <w:shd w:val="clear" w:color="auto" w:fill="E1DFDD"/>
    </w:rPr>
  </w:style>
  <w:style w:type="character" w:styleId="Strong">
    <w:name w:val="Strong"/>
    <w:basedOn w:val="DefaultParagraphFont"/>
    <w:uiPriority w:val="22"/>
    <w:qFormat/>
    <w:rsid w:val="00D9042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28978">
      <w:bodyDiv w:val="1"/>
      <w:marLeft w:val="0"/>
      <w:marRight w:val="0"/>
      <w:marTop w:val="0"/>
      <w:marBottom w:val="0"/>
      <w:divBdr>
        <w:top w:val="none" w:sz="0" w:space="0" w:color="auto"/>
        <w:left w:val="none" w:sz="0" w:space="0" w:color="auto"/>
        <w:bottom w:val="none" w:sz="0" w:space="0" w:color="auto"/>
        <w:right w:val="none" w:sz="0" w:space="0" w:color="auto"/>
      </w:divBdr>
    </w:div>
    <w:div w:id="148718255">
      <w:bodyDiv w:val="1"/>
      <w:marLeft w:val="0"/>
      <w:marRight w:val="0"/>
      <w:marTop w:val="0"/>
      <w:marBottom w:val="0"/>
      <w:divBdr>
        <w:top w:val="none" w:sz="0" w:space="0" w:color="auto"/>
        <w:left w:val="none" w:sz="0" w:space="0" w:color="auto"/>
        <w:bottom w:val="none" w:sz="0" w:space="0" w:color="auto"/>
        <w:right w:val="none" w:sz="0" w:space="0" w:color="auto"/>
      </w:divBdr>
    </w:div>
    <w:div w:id="149488943">
      <w:bodyDiv w:val="1"/>
      <w:marLeft w:val="0"/>
      <w:marRight w:val="0"/>
      <w:marTop w:val="0"/>
      <w:marBottom w:val="0"/>
      <w:divBdr>
        <w:top w:val="none" w:sz="0" w:space="0" w:color="auto"/>
        <w:left w:val="none" w:sz="0" w:space="0" w:color="auto"/>
        <w:bottom w:val="none" w:sz="0" w:space="0" w:color="auto"/>
        <w:right w:val="none" w:sz="0" w:space="0" w:color="auto"/>
      </w:divBdr>
    </w:div>
    <w:div w:id="167251764">
      <w:bodyDiv w:val="1"/>
      <w:marLeft w:val="0"/>
      <w:marRight w:val="0"/>
      <w:marTop w:val="0"/>
      <w:marBottom w:val="0"/>
      <w:divBdr>
        <w:top w:val="none" w:sz="0" w:space="0" w:color="auto"/>
        <w:left w:val="none" w:sz="0" w:space="0" w:color="auto"/>
        <w:bottom w:val="none" w:sz="0" w:space="0" w:color="auto"/>
        <w:right w:val="none" w:sz="0" w:space="0" w:color="auto"/>
      </w:divBdr>
    </w:div>
    <w:div w:id="189613818">
      <w:bodyDiv w:val="1"/>
      <w:marLeft w:val="0"/>
      <w:marRight w:val="0"/>
      <w:marTop w:val="0"/>
      <w:marBottom w:val="0"/>
      <w:divBdr>
        <w:top w:val="none" w:sz="0" w:space="0" w:color="auto"/>
        <w:left w:val="none" w:sz="0" w:space="0" w:color="auto"/>
        <w:bottom w:val="none" w:sz="0" w:space="0" w:color="auto"/>
        <w:right w:val="none" w:sz="0" w:space="0" w:color="auto"/>
      </w:divBdr>
    </w:div>
    <w:div w:id="418529265">
      <w:bodyDiv w:val="1"/>
      <w:marLeft w:val="0"/>
      <w:marRight w:val="0"/>
      <w:marTop w:val="0"/>
      <w:marBottom w:val="0"/>
      <w:divBdr>
        <w:top w:val="none" w:sz="0" w:space="0" w:color="auto"/>
        <w:left w:val="none" w:sz="0" w:space="0" w:color="auto"/>
        <w:bottom w:val="none" w:sz="0" w:space="0" w:color="auto"/>
        <w:right w:val="none" w:sz="0" w:space="0" w:color="auto"/>
      </w:divBdr>
    </w:div>
    <w:div w:id="910774410">
      <w:bodyDiv w:val="1"/>
      <w:marLeft w:val="0"/>
      <w:marRight w:val="0"/>
      <w:marTop w:val="0"/>
      <w:marBottom w:val="0"/>
      <w:divBdr>
        <w:top w:val="none" w:sz="0" w:space="0" w:color="auto"/>
        <w:left w:val="none" w:sz="0" w:space="0" w:color="auto"/>
        <w:bottom w:val="none" w:sz="0" w:space="0" w:color="auto"/>
        <w:right w:val="none" w:sz="0" w:space="0" w:color="auto"/>
      </w:divBdr>
      <w:divsChild>
        <w:div w:id="441729089">
          <w:marLeft w:val="0"/>
          <w:marRight w:val="0"/>
          <w:marTop w:val="0"/>
          <w:marBottom w:val="240"/>
          <w:divBdr>
            <w:top w:val="none" w:sz="0" w:space="0" w:color="auto"/>
            <w:left w:val="none" w:sz="0" w:space="0" w:color="auto"/>
            <w:bottom w:val="none" w:sz="0" w:space="0" w:color="auto"/>
            <w:right w:val="none" w:sz="0" w:space="0" w:color="auto"/>
          </w:divBdr>
        </w:div>
        <w:div w:id="551039705">
          <w:marLeft w:val="0"/>
          <w:marRight w:val="0"/>
          <w:marTop w:val="0"/>
          <w:marBottom w:val="240"/>
          <w:divBdr>
            <w:top w:val="none" w:sz="0" w:space="0" w:color="auto"/>
            <w:left w:val="none" w:sz="0" w:space="0" w:color="auto"/>
            <w:bottom w:val="none" w:sz="0" w:space="0" w:color="auto"/>
            <w:right w:val="none" w:sz="0" w:space="0" w:color="auto"/>
          </w:divBdr>
        </w:div>
      </w:divsChild>
    </w:div>
    <w:div w:id="1031879990">
      <w:bodyDiv w:val="1"/>
      <w:marLeft w:val="0"/>
      <w:marRight w:val="0"/>
      <w:marTop w:val="0"/>
      <w:marBottom w:val="0"/>
      <w:divBdr>
        <w:top w:val="none" w:sz="0" w:space="0" w:color="auto"/>
        <w:left w:val="none" w:sz="0" w:space="0" w:color="auto"/>
        <w:bottom w:val="none" w:sz="0" w:space="0" w:color="auto"/>
        <w:right w:val="none" w:sz="0" w:space="0" w:color="auto"/>
      </w:divBdr>
    </w:div>
    <w:div w:id="1041052317">
      <w:bodyDiv w:val="1"/>
      <w:marLeft w:val="0"/>
      <w:marRight w:val="0"/>
      <w:marTop w:val="0"/>
      <w:marBottom w:val="0"/>
      <w:divBdr>
        <w:top w:val="none" w:sz="0" w:space="0" w:color="auto"/>
        <w:left w:val="none" w:sz="0" w:space="0" w:color="auto"/>
        <w:bottom w:val="none" w:sz="0" w:space="0" w:color="auto"/>
        <w:right w:val="none" w:sz="0" w:space="0" w:color="auto"/>
      </w:divBdr>
    </w:div>
    <w:div w:id="1067844302">
      <w:bodyDiv w:val="1"/>
      <w:marLeft w:val="0"/>
      <w:marRight w:val="0"/>
      <w:marTop w:val="0"/>
      <w:marBottom w:val="0"/>
      <w:divBdr>
        <w:top w:val="none" w:sz="0" w:space="0" w:color="auto"/>
        <w:left w:val="none" w:sz="0" w:space="0" w:color="auto"/>
        <w:bottom w:val="none" w:sz="0" w:space="0" w:color="auto"/>
        <w:right w:val="none" w:sz="0" w:space="0" w:color="auto"/>
      </w:divBdr>
    </w:div>
    <w:div w:id="1215193939">
      <w:bodyDiv w:val="1"/>
      <w:marLeft w:val="0"/>
      <w:marRight w:val="0"/>
      <w:marTop w:val="0"/>
      <w:marBottom w:val="0"/>
      <w:divBdr>
        <w:top w:val="none" w:sz="0" w:space="0" w:color="auto"/>
        <w:left w:val="none" w:sz="0" w:space="0" w:color="auto"/>
        <w:bottom w:val="none" w:sz="0" w:space="0" w:color="auto"/>
        <w:right w:val="none" w:sz="0" w:space="0" w:color="auto"/>
      </w:divBdr>
    </w:div>
    <w:div w:id="1243370272">
      <w:bodyDiv w:val="1"/>
      <w:marLeft w:val="0"/>
      <w:marRight w:val="0"/>
      <w:marTop w:val="0"/>
      <w:marBottom w:val="0"/>
      <w:divBdr>
        <w:top w:val="none" w:sz="0" w:space="0" w:color="auto"/>
        <w:left w:val="none" w:sz="0" w:space="0" w:color="auto"/>
        <w:bottom w:val="none" w:sz="0" w:space="0" w:color="auto"/>
        <w:right w:val="none" w:sz="0" w:space="0" w:color="auto"/>
      </w:divBdr>
    </w:div>
    <w:div w:id="1338076185">
      <w:bodyDiv w:val="1"/>
      <w:marLeft w:val="0"/>
      <w:marRight w:val="0"/>
      <w:marTop w:val="0"/>
      <w:marBottom w:val="0"/>
      <w:divBdr>
        <w:top w:val="none" w:sz="0" w:space="0" w:color="auto"/>
        <w:left w:val="none" w:sz="0" w:space="0" w:color="auto"/>
        <w:bottom w:val="none" w:sz="0" w:space="0" w:color="auto"/>
        <w:right w:val="none" w:sz="0" w:space="0" w:color="auto"/>
      </w:divBdr>
    </w:div>
    <w:div w:id="1624965412">
      <w:bodyDiv w:val="1"/>
      <w:marLeft w:val="0"/>
      <w:marRight w:val="0"/>
      <w:marTop w:val="0"/>
      <w:marBottom w:val="0"/>
      <w:divBdr>
        <w:top w:val="none" w:sz="0" w:space="0" w:color="auto"/>
        <w:left w:val="none" w:sz="0" w:space="0" w:color="auto"/>
        <w:bottom w:val="none" w:sz="0" w:space="0" w:color="auto"/>
        <w:right w:val="none" w:sz="0" w:space="0" w:color="auto"/>
      </w:divBdr>
      <w:divsChild>
        <w:div w:id="1071194711">
          <w:marLeft w:val="150"/>
          <w:marRight w:val="150"/>
          <w:marTop w:val="150"/>
          <w:marBottom w:val="150"/>
          <w:divBdr>
            <w:top w:val="none" w:sz="0" w:space="0" w:color="auto"/>
            <w:left w:val="none" w:sz="0" w:space="0" w:color="auto"/>
            <w:bottom w:val="none" w:sz="0" w:space="0" w:color="auto"/>
            <w:right w:val="none" w:sz="0" w:space="0" w:color="auto"/>
          </w:divBdr>
        </w:div>
        <w:div w:id="1295215446">
          <w:marLeft w:val="150"/>
          <w:marRight w:val="150"/>
          <w:marTop w:val="150"/>
          <w:marBottom w:val="150"/>
          <w:divBdr>
            <w:top w:val="none" w:sz="0" w:space="0" w:color="auto"/>
            <w:left w:val="none" w:sz="0" w:space="0" w:color="auto"/>
            <w:bottom w:val="none" w:sz="0" w:space="0" w:color="auto"/>
            <w:right w:val="none" w:sz="0" w:space="0" w:color="auto"/>
          </w:divBdr>
          <w:divsChild>
            <w:div w:id="121000523">
              <w:marLeft w:val="150"/>
              <w:marRight w:val="150"/>
              <w:marTop w:val="150"/>
              <w:marBottom w:val="150"/>
              <w:divBdr>
                <w:top w:val="none" w:sz="0" w:space="0" w:color="auto"/>
                <w:left w:val="none" w:sz="0" w:space="0" w:color="auto"/>
                <w:bottom w:val="none" w:sz="0" w:space="0" w:color="auto"/>
                <w:right w:val="none" w:sz="0" w:space="0" w:color="auto"/>
              </w:divBdr>
            </w:div>
            <w:div w:id="659191094">
              <w:marLeft w:val="150"/>
              <w:marRight w:val="150"/>
              <w:marTop w:val="150"/>
              <w:marBottom w:val="150"/>
              <w:divBdr>
                <w:top w:val="none" w:sz="0" w:space="0" w:color="auto"/>
                <w:left w:val="none" w:sz="0" w:space="0" w:color="auto"/>
                <w:bottom w:val="none" w:sz="0" w:space="0" w:color="auto"/>
                <w:right w:val="none" w:sz="0" w:space="0" w:color="auto"/>
              </w:divBdr>
            </w:div>
            <w:div w:id="983967038">
              <w:marLeft w:val="150"/>
              <w:marRight w:val="150"/>
              <w:marTop w:val="150"/>
              <w:marBottom w:val="150"/>
              <w:divBdr>
                <w:top w:val="none" w:sz="0" w:space="0" w:color="auto"/>
                <w:left w:val="none" w:sz="0" w:space="0" w:color="auto"/>
                <w:bottom w:val="none" w:sz="0" w:space="0" w:color="auto"/>
                <w:right w:val="none" w:sz="0" w:space="0" w:color="auto"/>
              </w:divBdr>
            </w:div>
            <w:div w:id="1396782242">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 w:id="1631202595">
      <w:bodyDiv w:val="1"/>
      <w:marLeft w:val="0"/>
      <w:marRight w:val="0"/>
      <w:marTop w:val="0"/>
      <w:marBottom w:val="0"/>
      <w:divBdr>
        <w:top w:val="none" w:sz="0" w:space="0" w:color="auto"/>
        <w:left w:val="none" w:sz="0" w:space="0" w:color="auto"/>
        <w:bottom w:val="none" w:sz="0" w:space="0" w:color="auto"/>
        <w:right w:val="none" w:sz="0" w:space="0" w:color="auto"/>
      </w:divBdr>
    </w:div>
    <w:div w:id="1639070261">
      <w:bodyDiv w:val="1"/>
      <w:marLeft w:val="0"/>
      <w:marRight w:val="0"/>
      <w:marTop w:val="0"/>
      <w:marBottom w:val="0"/>
      <w:divBdr>
        <w:top w:val="none" w:sz="0" w:space="0" w:color="auto"/>
        <w:left w:val="none" w:sz="0" w:space="0" w:color="auto"/>
        <w:bottom w:val="none" w:sz="0" w:space="0" w:color="auto"/>
        <w:right w:val="none" w:sz="0" w:space="0" w:color="auto"/>
      </w:divBdr>
    </w:div>
    <w:div w:id="1704817720">
      <w:bodyDiv w:val="1"/>
      <w:marLeft w:val="0"/>
      <w:marRight w:val="0"/>
      <w:marTop w:val="0"/>
      <w:marBottom w:val="0"/>
      <w:divBdr>
        <w:top w:val="none" w:sz="0" w:space="0" w:color="auto"/>
        <w:left w:val="none" w:sz="0" w:space="0" w:color="auto"/>
        <w:bottom w:val="none" w:sz="0" w:space="0" w:color="auto"/>
        <w:right w:val="none" w:sz="0" w:space="0" w:color="auto"/>
      </w:divBdr>
    </w:div>
    <w:div w:id="1912345879">
      <w:bodyDiv w:val="1"/>
      <w:marLeft w:val="0"/>
      <w:marRight w:val="0"/>
      <w:marTop w:val="0"/>
      <w:marBottom w:val="0"/>
      <w:divBdr>
        <w:top w:val="none" w:sz="0" w:space="0" w:color="auto"/>
        <w:left w:val="none" w:sz="0" w:space="0" w:color="auto"/>
        <w:bottom w:val="none" w:sz="0" w:space="0" w:color="auto"/>
        <w:right w:val="none" w:sz="0" w:space="0" w:color="auto"/>
      </w:divBdr>
    </w:div>
    <w:div w:id="1923486830">
      <w:bodyDiv w:val="1"/>
      <w:marLeft w:val="0"/>
      <w:marRight w:val="0"/>
      <w:marTop w:val="0"/>
      <w:marBottom w:val="0"/>
      <w:divBdr>
        <w:top w:val="none" w:sz="0" w:space="0" w:color="auto"/>
        <w:left w:val="none" w:sz="0" w:space="0" w:color="auto"/>
        <w:bottom w:val="none" w:sz="0" w:space="0" w:color="auto"/>
        <w:right w:val="none" w:sz="0" w:space="0" w:color="auto"/>
      </w:divBdr>
    </w:div>
    <w:div w:id="1935895874">
      <w:bodyDiv w:val="1"/>
      <w:marLeft w:val="0"/>
      <w:marRight w:val="0"/>
      <w:marTop w:val="0"/>
      <w:marBottom w:val="0"/>
      <w:divBdr>
        <w:top w:val="none" w:sz="0" w:space="0" w:color="auto"/>
        <w:left w:val="none" w:sz="0" w:space="0" w:color="auto"/>
        <w:bottom w:val="none" w:sz="0" w:space="0" w:color="auto"/>
        <w:right w:val="none" w:sz="0" w:space="0" w:color="auto"/>
      </w:divBdr>
    </w:div>
    <w:div w:id="2107769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ill@hcd.ca.gov" TargetMode="External"/><Relationship Id="rId18" Type="http://schemas.openxmlformats.org/officeDocument/2006/relationships/hyperlink" Target="https://www.aging.ca.gov/Providers_and_Partners/Multipurpose_Senior_Services_Program/"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treasurer.ca.gov/ctcac/opportunity.asp" TargetMode="External"/><Relationship Id="rId7" Type="http://schemas.openxmlformats.org/officeDocument/2006/relationships/settings" Target="settings.xml"/><Relationship Id="rId12" Type="http://schemas.openxmlformats.org/officeDocument/2006/relationships/hyperlink" Target="https://www.hcd.ca.gov/grants-funding/active-funding/iigp.shtml" TargetMode="External"/><Relationship Id="rId17" Type="http://schemas.openxmlformats.org/officeDocument/2006/relationships/hyperlink" Target="https://www.dds.ca.gov/initiatives/hcbs/"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hcd.ca.gov/sites/default/files/2022-03/IIG-QIP-Guidelines-AB-434-posting-2.pdf" TargetMode="External"/><Relationship Id="rId20" Type="http://schemas.openxmlformats.org/officeDocument/2006/relationships/hyperlink" Target="https://www.cdss.ca.gov/in-home-supportive-servic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https://www.hcd.ca.gov/grants-and-funding"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www.hcd.ca.gov/grants-and-funding" TargetMode="External"/><Relationship Id="rId28" Type="http://schemas.microsoft.com/office/2019/05/relationships/documenttasks" Target="documenttasks/documenttasks1.xml"/><Relationship Id="rId10" Type="http://schemas.openxmlformats.org/officeDocument/2006/relationships/endnotes" Target="endnotes.xml"/><Relationship Id="rId19" Type="http://schemas.openxmlformats.org/officeDocument/2006/relationships/hyperlink" Target="https://www.dhcs.ca.gov/services/ltc/Pages/AssistedLivingWaiver.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hcd.ca.gov/grants-funding/docs/admin_memo21-06_stacking_prohibition_repeal.pdf" TargetMode="External"/><Relationship Id="rId27" Type="http://schemas.openxmlformats.org/officeDocument/2006/relationships/theme" Target="theme/theme1.xml"/></Relationships>
</file>

<file path=word/documenttasks/documenttasks1.xml><?xml version="1.0" encoding="utf-8"?>
<t:Tasks xmlns:t="http://schemas.microsoft.com/office/tasks/2019/documenttasks" xmlns:oel="http://schemas.microsoft.com/office/2019/extlst">
  <t:Task id="{CC49448E-380A-48A3-B511-4C0B0CFA47FE}">
    <t:Anchor>
      <t:Comment id="633209601"/>
    </t:Anchor>
    <t:History>
      <t:Event id="{18E4AAF0-8ACF-43FF-9686-355DE255EF62}" time="2022-02-22T16:04:15.989Z">
        <t:Attribution userId="S::aleksandra.djurasovic@hcd.ca.gov::2f91fc9b-7ca7-4b36-972f-02ba9f383874" userProvider="AD" userName="Djurasovic, Aleksandra@HCD"/>
        <t:Anchor>
          <t:Comment id="398431886"/>
        </t:Anchor>
        <t:Create/>
      </t:Event>
      <t:Event id="{802B31E6-C595-48AF-A1A4-BC68ABA0ED99}" time="2022-02-22T16:04:15.989Z">
        <t:Attribution userId="S::aleksandra.djurasovic@hcd.ca.gov::2f91fc9b-7ca7-4b36-972f-02ba9f383874" userProvider="AD" userName="Djurasovic, Aleksandra@HCD"/>
        <t:Anchor>
          <t:Comment id="398431886"/>
        </t:Anchor>
        <t:Assign userId="S::Gina.Ferguson@hcd.ca.gov::17b6455c-f128-43c5-8755-cec6666163f1" userProvider="AD" userName="Ferguson, Gina@HCD"/>
      </t:Event>
      <t:Event id="{D04805DD-F90C-4F76-B6EC-31F8A4B779B7}" time="2022-02-22T16:04:15.989Z">
        <t:Attribution userId="S::aleksandra.djurasovic@hcd.ca.gov::2f91fc9b-7ca7-4b36-972f-02ba9f383874" userProvider="AD" userName="Djurasovic, Aleksandra@HCD"/>
        <t:Anchor>
          <t:Comment id="398431886"/>
        </t:Anchor>
        <t:SetTitle title="I am not sure. I think the original idea by LAD was to leave IIG Guideline Legal Section as it is. I would not add duplicative content but maybe I am missing something. @Ferguson, Gina@HCD, what do you think?"/>
      </t:Event>
    </t:History>
  </t:Task>
  <t:Task id="{6C4C41EC-2BC5-4602-B46E-0D60ADCE3573}">
    <t:Anchor>
      <t:Comment id="631490972"/>
    </t:Anchor>
    <t:History>
      <t:Event id="{27F3B4A4-A996-486B-B291-7557127C1C1B}" time="2022-02-22T17:24:38.314Z">
        <t:Attribution userId="S::aleksandra.djurasovic@hcd.ca.gov::2f91fc9b-7ca7-4b36-972f-02ba9f383874" userProvider="AD" userName="Djurasovic, Aleksandra@HCD"/>
        <t:Anchor>
          <t:Comment id="1918375312"/>
        </t:Anchor>
        <t:Create/>
      </t:Event>
      <t:Event id="{F5708348-9D88-441A-8A07-897F7BB0A34D}" time="2022-02-22T17:24:38.314Z">
        <t:Attribution userId="S::aleksandra.djurasovic@hcd.ca.gov::2f91fc9b-7ca7-4b36-972f-02ba9f383874" userProvider="AD" userName="Djurasovic, Aleksandra@HCD"/>
        <t:Anchor>
          <t:Comment id="1918375312"/>
        </t:Anchor>
        <t:Assign userId="S::Gina.Ferguson@hcd.ca.gov::17b6455c-f128-43c5-8755-cec6666163f1" userProvider="AD" userName="Ferguson, Gina@HCD"/>
      </t:Event>
      <t:Event id="{850AE57C-69CC-4FB5-A422-7A752B348919}" time="2022-02-22T17:24:38.314Z">
        <t:Attribution userId="S::aleksandra.djurasovic@hcd.ca.gov::2f91fc9b-7ca7-4b36-972f-02ba9f383874" userProvider="AD" userName="Djurasovic, Aleksandra@HCD"/>
        <t:Anchor>
          <t:Comment id="1918375312"/>
        </t:Anchor>
        <t:SetTitle title="The provision on supplanting is in both statutes (Funds awarded pursuant to this section shall supplement, not supplant, other available funding). We should align with 2007. @Ferguson, Gina@HCD , should we add to 2007 or remove from here?"/>
      </t:Event>
    </t:History>
  </t:Task>
  <t:Task id="{ED365C70-23D7-4A7C-942A-96EE2CCE3181}">
    <t:Anchor>
      <t:Comment id="633209413"/>
    </t:Anchor>
    <t:History>
      <t:Event id="{209D5E62-6D9C-4E5D-9C37-6F03F8025342}" time="2022-02-22T16:14:56.906Z">
        <t:Attribution userId="S::aleksandra.djurasovic@hcd.ca.gov::2f91fc9b-7ca7-4b36-972f-02ba9f383874" userProvider="AD" userName="Djurasovic, Aleksandra@HCD"/>
        <t:Anchor>
          <t:Comment id="158012139"/>
        </t:Anchor>
        <t:Create/>
      </t:Event>
      <t:Event id="{DEF77A26-79AD-4C63-9825-3D6F07A62D4D}" time="2022-02-22T16:14:56.906Z">
        <t:Attribution userId="S::aleksandra.djurasovic@hcd.ca.gov::2f91fc9b-7ca7-4b36-972f-02ba9f383874" userProvider="AD" userName="Djurasovic, Aleksandra@HCD"/>
        <t:Anchor>
          <t:Comment id="158012139"/>
        </t:Anchor>
        <t:Assign userId="S::Gina.Ferguson@hcd.ca.gov::17b6455c-f128-43c5-8755-cec6666163f1" userProvider="AD" userName="Ferguson, Gina@HCD"/>
      </t:Event>
      <t:Event id="{3B34E682-BC88-40D9-84DD-AECFE20DE60C}" time="2022-02-22T16:14:56.906Z">
        <t:Attribution userId="S::aleksandra.djurasovic@hcd.ca.gov::2f91fc9b-7ca7-4b36-972f-02ba9f383874" userProvider="AD" userName="Djurasovic, Aleksandra@HCD"/>
        <t:Anchor>
          <t:Comment id="158012139"/>
        </t:Anchor>
        <t:SetTitle title="…. It is an old (previous rounds) IIG Requirement. For the purpose of alignment, I would suggest to remove it. @Ferguson, Gina@HCD, @Stoecklein, Tim@HCD, @Shields, Craig@HCD would you agree?  p.s. Also, IIG 2007 has (d) under (2). I can adjust …"/>
      </t:Event>
    </t:History>
  </t:Task>
  <t:Task id="{F8A1B5C6-8058-4AA2-9485-257222F9DF10}">
    <t:Anchor>
      <t:Comment id="633209130"/>
    </t:Anchor>
    <t:History>
      <t:Event id="{64BD77DE-9F42-47CC-B008-CA524D7559AD}" time="2022-02-22T16:39:43.045Z">
        <t:Attribution userId="S::aleksandra.djurasovic@hcd.ca.gov::2f91fc9b-7ca7-4b36-972f-02ba9f383874" userProvider="AD" userName="Djurasovic, Aleksandra@HCD"/>
        <t:Anchor>
          <t:Comment id="1829900346"/>
        </t:Anchor>
        <t:Create/>
      </t:Event>
      <t:Event id="{E9F0C825-46B8-4BD1-93F7-03916B6A152F}" time="2022-02-22T16:39:43.045Z">
        <t:Attribution userId="S::aleksandra.djurasovic@hcd.ca.gov::2f91fc9b-7ca7-4b36-972f-02ba9f383874" userProvider="AD" userName="Djurasovic, Aleksandra@HCD"/>
        <t:Anchor>
          <t:Comment id="1829900346"/>
        </t:Anchor>
        <t:Assign userId="S::Gina.Ferguson@hcd.ca.gov::17b6455c-f128-43c5-8755-cec6666163f1" userProvider="AD" userName="Ferguson, Gina@HCD"/>
      </t:Event>
      <t:Event id="{3283439B-2EDE-4F25-989C-1D486F907DFB}" time="2022-02-22T16:39:43.045Z">
        <t:Attribution userId="S::aleksandra.djurasovic@hcd.ca.gov::2f91fc9b-7ca7-4b36-972f-02ba9f383874" userProvider="AD" userName="Djurasovic, Aleksandra@HCD"/>
        <t:Anchor>
          <t:Comment id="1829900346"/>
        </t:Anchor>
        <t:SetTitle title="…, the statutory requirement for small jurisdictions is to be over the counter, which is to be evaluated based on threshold criteria - Threshold criteria has slightly different requirements than AB434. @Ferguson, Gina@HCD, do you have any thoughts?"/>
      </t:Event>
    </t:History>
  </t:Task>
  <t:Task id="{25EA267B-48BB-4564-AD2F-5395FD848B46}">
    <t:Anchor>
      <t:Comment id="631472828"/>
    </t:Anchor>
    <t:History>
      <t:Event id="{19E8E302-E156-480F-A0AD-2026DDC7A516}" time="2022-02-22T17:19:52.881Z">
        <t:Attribution userId="S::aleksandra.djurasovic@hcd.ca.gov::2f91fc9b-7ca7-4b36-972f-02ba9f383874" userProvider="AD" userName="Djurasovic, Aleksandra@HCD"/>
        <t:Anchor>
          <t:Comment id="1330130339"/>
        </t:Anchor>
        <t:Create/>
      </t:Event>
      <t:Event id="{AD97B800-6724-47F1-9B78-C39058D053CD}" time="2022-02-22T17:19:52.881Z">
        <t:Attribution userId="S::aleksandra.djurasovic@hcd.ca.gov::2f91fc9b-7ca7-4b36-972f-02ba9f383874" userProvider="AD" userName="Djurasovic, Aleksandra@HCD"/>
        <t:Anchor>
          <t:Comment id="1330130339"/>
        </t:Anchor>
        <t:Assign userId="S::Gina.Ferguson@hcd.ca.gov::17b6455c-f128-43c5-8755-cec6666163f1" userProvider="AD" userName="Ferguson, Gina@HCD"/>
      </t:Event>
      <t:Event id="{31FE6E0E-B0C2-48E1-8DEE-9CC3474C96DA}" time="2022-02-22T17:19:52.881Z">
        <t:Attribution userId="S::aleksandra.djurasovic@hcd.ca.gov::2f91fc9b-7ca7-4b36-972f-02ba9f383874" userProvider="AD" userName="Djurasovic, Aleksandra@HCD"/>
        <t:Anchor>
          <t:Comment id="1330130339"/>
        </t:Anchor>
        <t:SetTitle title="…not identical. What we can do is combine the list of provisions and add to both sets of Guidelines (that would cover the statute-defined provisions and add additional 2)? It will be 6 provisions (in both 2007 and 2019) instead of 4. @Ferguson, Gina@HCD"/>
      </t:Event>
    </t:History>
  </t:Task>
  <t:Task id="{51871C4E-41E7-4E4B-B62E-5DD488E84F85}">
    <t:Anchor>
      <t:Comment id="633207443"/>
    </t:Anchor>
    <t:History>
      <t:Event id="{1E3C4DB9-1883-4F88-A743-B4AE3FE35103}" time="2022-02-22T17:20:31.846Z">
        <t:Attribution userId="S::aleksandra.djurasovic@hcd.ca.gov::2f91fc9b-7ca7-4b36-972f-02ba9f383874" userProvider="AD" userName="Djurasovic, Aleksandra@HCD"/>
        <t:Anchor>
          <t:Comment id="1670632941"/>
        </t:Anchor>
        <t:Create/>
      </t:Event>
      <t:Event id="{F3091FED-ADDD-4E9D-8E0D-0ECB4EBE2B1F}" time="2022-02-22T17:20:31.846Z">
        <t:Attribution userId="S::aleksandra.djurasovic@hcd.ca.gov::2f91fc9b-7ca7-4b36-972f-02ba9f383874" userProvider="AD" userName="Djurasovic, Aleksandra@HCD"/>
        <t:Anchor>
          <t:Comment id="1670632941"/>
        </t:Anchor>
        <t:Assign userId="S::Gina.Ferguson@hcd.ca.gov::17b6455c-f128-43c5-8755-cec6666163f1" userProvider="AD" userName="Ferguson, Gina@HCD"/>
      </t:Event>
      <t:Event id="{8259901E-2603-4FDF-A786-CA3D06A7E80F}" time="2022-02-22T17:20:31.846Z">
        <t:Attribution userId="S::aleksandra.djurasovic@hcd.ca.gov::2f91fc9b-7ca7-4b36-972f-02ba9f383874" userProvider="AD" userName="Djurasovic, Aleksandra@HCD"/>
        <t:Anchor>
          <t:Comment id="1670632941"/>
        </t:Anchor>
        <t:SetTitle title="@Ferguson, Gina@HCD , what do you think?"/>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CEB60BB175378944B05204E858383772" ma:contentTypeVersion="7" ma:contentTypeDescription="Create a new document." ma:contentTypeScope="" ma:versionID="96beaafe042f5d07217053d3a2c46c66">
  <xsd:schema xmlns:xsd="http://www.w3.org/2001/XMLSchema" xmlns:xs="http://www.w3.org/2001/XMLSchema" xmlns:p="http://schemas.microsoft.com/office/2006/metadata/properties" xmlns:ns2="17adb223-70e9-4803-a386-d0a3dcffbdbc" xmlns:ns3="bd304f3f-7b8e-48e5-a98b-67ffa9746898" targetNamespace="http://schemas.microsoft.com/office/2006/metadata/properties" ma:root="true" ma:fieldsID="9dfeb08f182d22f1edf62b7033e123ea" ns2:_="" ns3:_="">
    <xsd:import namespace="17adb223-70e9-4803-a386-d0a3dcffbdbc"/>
    <xsd:import namespace="bd304f3f-7b8e-48e5-a98b-67ffa974689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adb223-70e9-4803-a386-d0a3dcffbd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d304f3f-7b8e-48e5-a98b-67ffa974689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BA1AB08-599F-4009-9A72-722BC5FBA3B4}">
  <ds:schemaRefs>
    <ds:schemaRef ds:uri="http://schemas.microsoft.com/sharepoint/v3/contenttype/forms"/>
  </ds:schemaRefs>
</ds:datastoreItem>
</file>

<file path=customXml/itemProps2.xml><?xml version="1.0" encoding="utf-8"?>
<ds:datastoreItem xmlns:ds="http://schemas.openxmlformats.org/officeDocument/2006/customXml" ds:itemID="{FCAC894D-C760-4EF4-B808-12029EE64F0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1A20889-FB6C-4805-9B21-0F96DD21F435}">
  <ds:schemaRefs>
    <ds:schemaRef ds:uri="http://schemas.openxmlformats.org/officeDocument/2006/bibliography"/>
  </ds:schemaRefs>
</ds:datastoreItem>
</file>

<file path=customXml/itemProps4.xml><?xml version="1.0" encoding="utf-8"?>
<ds:datastoreItem xmlns:ds="http://schemas.openxmlformats.org/officeDocument/2006/customXml" ds:itemID="{0329A8B3-3121-42ED-98DC-F0CD080E3D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adb223-70e9-4803-a386-d0a3dcffbdbc"/>
    <ds:schemaRef ds:uri="bd304f3f-7b8e-48e5-a98b-67ffa97468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50</Pages>
  <Words>18529</Words>
  <Characters>105621</Characters>
  <Application>Microsoft Office Word</Application>
  <DocSecurity>8</DocSecurity>
  <Lines>880</Lines>
  <Paragraphs>247</Paragraphs>
  <ScaleCrop>false</ScaleCrop>
  <HeadingPairs>
    <vt:vector size="2" baseType="variant">
      <vt:variant>
        <vt:lpstr>Title</vt:lpstr>
      </vt:variant>
      <vt:variant>
        <vt:i4>1</vt:i4>
      </vt:variant>
    </vt:vector>
  </HeadingPairs>
  <TitlesOfParts>
    <vt:vector size="1" baseType="lpstr">
      <vt:lpstr>INFILL INFRASTRUCTURE GRANT PROGRAM</vt:lpstr>
    </vt:vector>
  </TitlesOfParts>
  <Company>State of California</Company>
  <LinksUpToDate>false</LinksUpToDate>
  <CharactersWithSpaces>123903</CharactersWithSpaces>
  <SharedDoc>false</SharedDoc>
  <HLinks>
    <vt:vector size="216" baseType="variant">
      <vt:variant>
        <vt:i4>1441866</vt:i4>
      </vt:variant>
      <vt:variant>
        <vt:i4>171</vt:i4>
      </vt:variant>
      <vt:variant>
        <vt:i4>0</vt:i4>
      </vt:variant>
      <vt:variant>
        <vt:i4>5</vt:i4>
      </vt:variant>
      <vt:variant>
        <vt:lpwstr>https://www.hcd.ca.gov/grants-and-funding</vt:lpwstr>
      </vt:variant>
      <vt:variant>
        <vt:lpwstr/>
      </vt:variant>
      <vt:variant>
        <vt:i4>1441866</vt:i4>
      </vt:variant>
      <vt:variant>
        <vt:i4>168</vt:i4>
      </vt:variant>
      <vt:variant>
        <vt:i4>0</vt:i4>
      </vt:variant>
      <vt:variant>
        <vt:i4>5</vt:i4>
      </vt:variant>
      <vt:variant>
        <vt:lpwstr>https://www.hcd.ca.gov/grants-and-funding</vt:lpwstr>
      </vt:variant>
      <vt:variant>
        <vt:lpwstr/>
      </vt:variant>
      <vt:variant>
        <vt:i4>2293806</vt:i4>
      </vt:variant>
      <vt:variant>
        <vt:i4>165</vt:i4>
      </vt:variant>
      <vt:variant>
        <vt:i4>0</vt:i4>
      </vt:variant>
      <vt:variant>
        <vt:i4>5</vt:i4>
      </vt:variant>
      <vt:variant>
        <vt:lpwstr>https://www.hcd.ca.gov/grants-funding/docs/admin_memo21-06_stacking_prohibition_repeal.pdf</vt:lpwstr>
      </vt:variant>
      <vt:variant>
        <vt:lpwstr/>
      </vt:variant>
      <vt:variant>
        <vt:i4>3539001</vt:i4>
      </vt:variant>
      <vt:variant>
        <vt:i4>162</vt:i4>
      </vt:variant>
      <vt:variant>
        <vt:i4>0</vt:i4>
      </vt:variant>
      <vt:variant>
        <vt:i4>5</vt:i4>
      </vt:variant>
      <vt:variant>
        <vt:lpwstr>https://treasurer.ca.gov/ctcac/opportunity.asp</vt:lpwstr>
      </vt:variant>
      <vt:variant>
        <vt:lpwstr/>
      </vt:variant>
      <vt:variant>
        <vt:i4>6422643</vt:i4>
      </vt:variant>
      <vt:variant>
        <vt:i4>159</vt:i4>
      </vt:variant>
      <vt:variant>
        <vt:i4>0</vt:i4>
      </vt:variant>
      <vt:variant>
        <vt:i4>5</vt:i4>
      </vt:variant>
      <vt:variant>
        <vt:lpwstr>https://www.cdss.ca.gov/in-home-supportive-services</vt:lpwstr>
      </vt:variant>
      <vt:variant>
        <vt:lpwstr/>
      </vt:variant>
      <vt:variant>
        <vt:i4>1572946</vt:i4>
      </vt:variant>
      <vt:variant>
        <vt:i4>156</vt:i4>
      </vt:variant>
      <vt:variant>
        <vt:i4>0</vt:i4>
      </vt:variant>
      <vt:variant>
        <vt:i4>5</vt:i4>
      </vt:variant>
      <vt:variant>
        <vt:lpwstr>https://www.dhcs.ca.gov/services/ltc/Pages/AssistedLivingWaiver.aspx</vt:lpwstr>
      </vt:variant>
      <vt:variant>
        <vt:lpwstr/>
      </vt:variant>
      <vt:variant>
        <vt:i4>7077956</vt:i4>
      </vt:variant>
      <vt:variant>
        <vt:i4>153</vt:i4>
      </vt:variant>
      <vt:variant>
        <vt:i4>0</vt:i4>
      </vt:variant>
      <vt:variant>
        <vt:i4>5</vt:i4>
      </vt:variant>
      <vt:variant>
        <vt:lpwstr>https://www.aging.ca.gov/Providers_and_Partners/Multipurpose_Senior_Services_Program/</vt:lpwstr>
      </vt:variant>
      <vt:variant>
        <vt:lpwstr/>
      </vt:variant>
      <vt:variant>
        <vt:i4>5177362</vt:i4>
      </vt:variant>
      <vt:variant>
        <vt:i4>150</vt:i4>
      </vt:variant>
      <vt:variant>
        <vt:i4>0</vt:i4>
      </vt:variant>
      <vt:variant>
        <vt:i4>5</vt:i4>
      </vt:variant>
      <vt:variant>
        <vt:lpwstr>https://www.dds.ca.gov/initiatives/hcbs/</vt:lpwstr>
      </vt:variant>
      <vt:variant>
        <vt:lpwstr/>
      </vt:variant>
      <vt:variant>
        <vt:i4>7012411</vt:i4>
      </vt:variant>
      <vt:variant>
        <vt:i4>147</vt:i4>
      </vt:variant>
      <vt:variant>
        <vt:i4>0</vt:i4>
      </vt:variant>
      <vt:variant>
        <vt:i4>5</vt:i4>
      </vt:variant>
      <vt:variant>
        <vt:lpwstr>https://www.hcd.ca.gov/sites/default/files/2022-03/IIG-QIP-Guidelines-AB-434-posting-2.pdf</vt:lpwstr>
      </vt:variant>
      <vt:variant>
        <vt:lpwstr/>
      </vt:variant>
      <vt:variant>
        <vt:i4>1441843</vt:i4>
      </vt:variant>
      <vt:variant>
        <vt:i4>140</vt:i4>
      </vt:variant>
      <vt:variant>
        <vt:i4>0</vt:i4>
      </vt:variant>
      <vt:variant>
        <vt:i4>5</vt:i4>
      </vt:variant>
      <vt:variant>
        <vt:lpwstr/>
      </vt:variant>
      <vt:variant>
        <vt:lpwstr>_Toc100741679</vt:lpwstr>
      </vt:variant>
      <vt:variant>
        <vt:i4>1441843</vt:i4>
      </vt:variant>
      <vt:variant>
        <vt:i4>134</vt:i4>
      </vt:variant>
      <vt:variant>
        <vt:i4>0</vt:i4>
      </vt:variant>
      <vt:variant>
        <vt:i4>5</vt:i4>
      </vt:variant>
      <vt:variant>
        <vt:lpwstr/>
      </vt:variant>
      <vt:variant>
        <vt:lpwstr>_Toc100741678</vt:lpwstr>
      </vt:variant>
      <vt:variant>
        <vt:i4>1441843</vt:i4>
      </vt:variant>
      <vt:variant>
        <vt:i4>128</vt:i4>
      </vt:variant>
      <vt:variant>
        <vt:i4>0</vt:i4>
      </vt:variant>
      <vt:variant>
        <vt:i4>5</vt:i4>
      </vt:variant>
      <vt:variant>
        <vt:lpwstr/>
      </vt:variant>
      <vt:variant>
        <vt:lpwstr>_Toc100741677</vt:lpwstr>
      </vt:variant>
      <vt:variant>
        <vt:i4>1441843</vt:i4>
      </vt:variant>
      <vt:variant>
        <vt:i4>122</vt:i4>
      </vt:variant>
      <vt:variant>
        <vt:i4>0</vt:i4>
      </vt:variant>
      <vt:variant>
        <vt:i4>5</vt:i4>
      </vt:variant>
      <vt:variant>
        <vt:lpwstr/>
      </vt:variant>
      <vt:variant>
        <vt:lpwstr>_Toc100741676</vt:lpwstr>
      </vt:variant>
      <vt:variant>
        <vt:i4>1441843</vt:i4>
      </vt:variant>
      <vt:variant>
        <vt:i4>116</vt:i4>
      </vt:variant>
      <vt:variant>
        <vt:i4>0</vt:i4>
      </vt:variant>
      <vt:variant>
        <vt:i4>5</vt:i4>
      </vt:variant>
      <vt:variant>
        <vt:lpwstr/>
      </vt:variant>
      <vt:variant>
        <vt:lpwstr>_Toc100741675</vt:lpwstr>
      </vt:variant>
      <vt:variant>
        <vt:i4>1441843</vt:i4>
      </vt:variant>
      <vt:variant>
        <vt:i4>110</vt:i4>
      </vt:variant>
      <vt:variant>
        <vt:i4>0</vt:i4>
      </vt:variant>
      <vt:variant>
        <vt:i4>5</vt:i4>
      </vt:variant>
      <vt:variant>
        <vt:lpwstr/>
      </vt:variant>
      <vt:variant>
        <vt:lpwstr>_Toc100741674</vt:lpwstr>
      </vt:variant>
      <vt:variant>
        <vt:i4>1441843</vt:i4>
      </vt:variant>
      <vt:variant>
        <vt:i4>104</vt:i4>
      </vt:variant>
      <vt:variant>
        <vt:i4>0</vt:i4>
      </vt:variant>
      <vt:variant>
        <vt:i4>5</vt:i4>
      </vt:variant>
      <vt:variant>
        <vt:lpwstr/>
      </vt:variant>
      <vt:variant>
        <vt:lpwstr>_Toc100741673</vt:lpwstr>
      </vt:variant>
      <vt:variant>
        <vt:i4>1441843</vt:i4>
      </vt:variant>
      <vt:variant>
        <vt:i4>98</vt:i4>
      </vt:variant>
      <vt:variant>
        <vt:i4>0</vt:i4>
      </vt:variant>
      <vt:variant>
        <vt:i4>5</vt:i4>
      </vt:variant>
      <vt:variant>
        <vt:lpwstr/>
      </vt:variant>
      <vt:variant>
        <vt:lpwstr>_Toc100741672</vt:lpwstr>
      </vt:variant>
      <vt:variant>
        <vt:i4>1441843</vt:i4>
      </vt:variant>
      <vt:variant>
        <vt:i4>92</vt:i4>
      </vt:variant>
      <vt:variant>
        <vt:i4>0</vt:i4>
      </vt:variant>
      <vt:variant>
        <vt:i4>5</vt:i4>
      </vt:variant>
      <vt:variant>
        <vt:lpwstr/>
      </vt:variant>
      <vt:variant>
        <vt:lpwstr>_Toc100741671</vt:lpwstr>
      </vt:variant>
      <vt:variant>
        <vt:i4>1441843</vt:i4>
      </vt:variant>
      <vt:variant>
        <vt:i4>86</vt:i4>
      </vt:variant>
      <vt:variant>
        <vt:i4>0</vt:i4>
      </vt:variant>
      <vt:variant>
        <vt:i4>5</vt:i4>
      </vt:variant>
      <vt:variant>
        <vt:lpwstr/>
      </vt:variant>
      <vt:variant>
        <vt:lpwstr>_Toc100741670</vt:lpwstr>
      </vt:variant>
      <vt:variant>
        <vt:i4>1507379</vt:i4>
      </vt:variant>
      <vt:variant>
        <vt:i4>80</vt:i4>
      </vt:variant>
      <vt:variant>
        <vt:i4>0</vt:i4>
      </vt:variant>
      <vt:variant>
        <vt:i4>5</vt:i4>
      </vt:variant>
      <vt:variant>
        <vt:lpwstr/>
      </vt:variant>
      <vt:variant>
        <vt:lpwstr>_Toc100741669</vt:lpwstr>
      </vt:variant>
      <vt:variant>
        <vt:i4>1507379</vt:i4>
      </vt:variant>
      <vt:variant>
        <vt:i4>74</vt:i4>
      </vt:variant>
      <vt:variant>
        <vt:i4>0</vt:i4>
      </vt:variant>
      <vt:variant>
        <vt:i4>5</vt:i4>
      </vt:variant>
      <vt:variant>
        <vt:lpwstr/>
      </vt:variant>
      <vt:variant>
        <vt:lpwstr>_Toc100741668</vt:lpwstr>
      </vt:variant>
      <vt:variant>
        <vt:i4>1507379</vt:i4>
      </vt:variant>
      <vt:variant>
        <vt:i4>68</vt:i4>
      </vt:variant>
      <vt:variant>
        <vt:i4>0</vt:i4>
      </vt:variant>
      <vt:variant>
        <vt:i4>5</vt:i4>
      </vt:variant>
      <vt:variant>
        <vt:lpwstr/>
      </vt:variant>
      <vt:variant>
        <vt:lpwstr>_Toc100741667</vt:lpwstr>
      </vt:variant>
      <vt:variant>
        <vt:i4>1507379</vt:i4>
      </vt:variant>
      <vt:variant>
        <vt:i4>62</vt:i4>
      </vt:variant>
      <vt:variant>
        <vt:i4>0</vt:i4>
      </vt:variant>
      <vt:variant>
        <vt:i4>5</vt:i4>
      </vt:variant>
      <vt:variant>
        <vt:lpwstr/>
      </vt:variant>
      <vt:variant>
        <vt:lpwstr>_Toc100741666</vt:lpwstr>
      </vt:variant>
      <vt:variant>
        <vt:i4>1507379</vt:i4>
      </vt:variant>
      <vt:variant>
        <vt:i4>56</vt:i4>
      </vt:variant>
      <vt:variant>
        <vt:i4>0</vt:i4>
      </vt:variant>
      <vt:variant>
        <vt:i4>5</vt:i4>
      </vt:variant>
      <vt:variant>
        <vt:lpwstr/>
      </vt:variant>
      <vt:variant>
        <vt:lpwstr>_Toc100741665</vt:lpwstr>
      </vt:variant>
      <vt:variant>
        <vt:i4>1507379</vt:i4>
      </vt:variant>
      <vt:variant>
        <vt:i4>50</vt:i4>
      </vt:variant>
      <vt:variant>
        <vt:i4>0</vt:i4>
      </vt:variant>
      <vt:variant>
        <vt:i4>5</vt:i4>
      </vt:variant>
      <vt:variant>
        <vt:lpwstr/>
      </vt:variant>
      <vt:variant>
        <vt:lpwstr>_Toc100741664</vt:lpwstr>
      </vt:variant>
      <vt:variant>
        <vt:i4>1507379</vt:i4>
      </vt:variant>
      <vt:variant>
        <vt:i4>44</vt:i4>
      </vt:variant>
      <vt:variant>
        <vt:i4>0</vt:i4>
      </vt:variant>
      <vt:variant>
        <vt:i4>5</vt:i4>
      </vt:variant>
      <vt:variant>
        <vt:lpwstr/>
      </vt:variant>
      <vt:variant>
        <vt:lpwstr>_Toc100741663</vt:lpwstr>
      </vt:variant>
      <vt:variant>
        <vt:i4>1507379</vt:i4>
      </vt:variant>
      <vt:variant>
        <vt:i4>38</vt:i4>
      </vt:variant>
      <vt:variant>
        <vt:i4>0</vt:i4>
      </vt:variant>
      <vt:variant>
        <vt:i4>5</vt:i4>
      </vt:variant>
      <vt:variant>
        <vt:lpwstr/>
      </vt:variant>
      <vt:variant>
        <vt:lpwstr>_Toc100741662</vt:lpwstr>
      </vt:variant>
      <vt:variant>
        <vt:i4>1507379</vt:i4>
      </vt:variant>
      <vt:variant>
        <vt:i4>32</vt:i4>
      </vt:variant>
      <vt:variant>
        <vt:i4>0</vt:i4>
      </vt:variant>
      <vt:variant>
        <vt:i4>5</vt:i4>
      </vt:variant>
      <vt:variant>
        <vt:lpwstr/>
      </vt:variant>
      <vt:variant>
        <vt:lpwstr>_Toc100741661</vt:lpwstr>
      </vt:variant>
      <vt:variant>
        <vt:i4>1507379</vt:i4>
      </vt:variant>
      <vt:variant>
        <vt:i4>26</vt:i4>
      </vt:variant>
      <vt:variant>
        <vt:i4>0</vt:i4>
      </vt:variant>
      <vt:variant>
        <vt:i4>5</vt:i4>
      </vt:variant>
      <vt:variant>
        <vt:lpwstr/>
      </vt:variant>
      <vt:variant>
        <vt:lpwstr>_Toc100741660</vt:lpwstr>
      </vt:variant>
      <vt:variant>
        <vt:i4>1310771</vt:i4>
      </vt:variant>
      <vt:variant>
        <vt:i4>20</vt:i4>
      </vt:variant>
      <vt:variant>
        <vt:i4>0</vt:i4>
      </vt:variant>
      <vt:variant>
        <vt:i4>5</vt:i4>
      </vt:variant>
      <vt:variant>
        <vt:lpwstr/>
      </vt:variant>
      <vt:variant>
        <vt:lpwstr>_Toc100741659</vt:lpwstr>
      </vt:variant>
      <vt:variant>
        <vt:i4>1310771</vt:i4>
      </vt:variant>
      <vt:variant>
        <vt:i4>14</vt:i4>
      </vt:variant>
      <vt:variant>
        <vt:i4>0</vt:i4>
      </vt:variant>
      <vt:variant>
        <vt:i4>5</vt:i4>
      </vt:variant>
      <vt:variant>
        <vt:lpwstr/>
      </vt:variant>
      <vt:variant>
        <vt:lpwstr>_Toc100741658</vt:lpwstr>
      </vt:variant>
      <vt:variant>
        <vt:i4>1310771</vt:i4>
      </vt:variant>
      <vt:variant>
        <vt:i4>8</vt:i4>
      </vt:variant>
      <vt:variant>
        <vt:i4>0</vt:i4>
      </vt:variant>
      <vt:variant>
        <vt:i4>5</vt:i4>
      </vt:variant>
      <vt:variant>
        <vt:lpwstr/>
      </vt:variant>
      <vt:variant>
        <vt:lpwstr>_Toc100741657</vt:lpwstr>
      </vt:variant>
      <vt:variant>
        <vt:i4>8126479</vt:i4>
      </vt:variant>
      <vt:variant>
        <vt:i4>3</vt:i4>
      </vt:variant>
      <vt:variant>
        <vt:i4>0</vt:i4>
      </vt:variant>
      <vt:variant>
        <vt:i4>5</vt:i4>
      </vt:variant>
      <vt:variant>
        <vt:lpwstr>mailto:infill@hcd.ca.gov</vt:lpwstr>
      </vt:variant>
      <vt:variant>
        <vt:lpwstr/>
      </vt:variant>
      <vt:variant>
        <vt:i4>3538984</vt:i4>
      </vt:variant>
      <vt:variant>
        <vt:i4>0</vt:i4>
      </vt:variant>
      <vt:variant>
        <vt:i4>0</vt:i4>
      </vt:variant>
      <vt:variant>
        <vt:i4>5</vt:i4>
      </vt:variant>
      <vt:variant>
        <vt:lpwstr>https://www.hcd.ca.gov/grants-funding/active-funding/iigp.shtml</vt:lpwstr>
      </vt:variant>
      <vt:variant>
        <vt:lpwstr/>
      </vt:variant>
      <vt:variant>
        <vt:i4>589902</vt:i4>
      </vt:variant>
      <vt:variant>
        <vt:i4>3</vt:i4>
      </vt:variant>
      <vt:variant>
        <vt:i4>0</vt:i4>
      </vt:variant>
      <vt:variant>
        <vt:i4>5</vt:i4>
      </vt:variant>
      <vt:variant>
        <vt:lpwstr>https://www.hcd.ca.gov/affordable-housing-and-sustainable-communities</vt:lpwstr>
      </vt:variant>
      <vt:variant>
        <vt:lpwstr/>
      </vt:variant>
      <vt:variant>
        <vt:i4>7471221</vt:i4>
      </vt:variant>
      <vt:variant>
        <vt:i4>0</vt:i4>
      </vt:variant>
      <vt:variant>
        <vt:i4>0</vt:i4>
      </vt:variant>
      <vt:variant>
        <vt:i4>5</vt:i4>
      </vt:variant>
      <vt:variant>
        <vt:lpwstr>https://www.dds.ca.gov/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INFILL INFRASTRUCTURE GRANT PROGRAM</dc:title>
  <dc:subject/>
  <dc:creator>dmoran</dc:creator>
  <cp:keywords/>
  <cp:lastModifiedBy>Djurasovic, Aleksandra@HCD</cp:lastModifiedBy>
  <cp:revision>5</cp:revision>
  <cp:lastPrinted>2022-04-11T18:49:00Z</cp:lastPrinted>
  <dcterms:created xsi:type="dcterms:W3CDTF">2022-06-13T15:41:00Z</dcterms:created>
  <dcterms:modified xsi:type="dcterms:W3CDTF">2022-06-15T16:14:00Z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-929445821</vt:i4>
  </property>
  <property fmtid="{D5CDD505-2E9C-101B-9397-08002B2CF9AE}" pid="3" name="ContentTypeId">
    <vt:lpwstr>0x010100CEB60BB175378944B05204E858383772</vt:lpwstr>
  </property>
</Properties>
</file>