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D932C" w14:textId="77777777" w:rsidR="00A166A5" w:rsidRPr="00A7776C" w:rsidRDefault="00A166A5" w:rsidP="00A166A5">
      <w:pPr>
        <w:keepNext/>
        <w:widowControl w:val="0"/>
        <w:tabs>
          <w:tab w:val="right" w:pos="10800"/>
        </w:tabs>
        <w:spacing w:after="0"/>
        <w:outlineLvl w:val="0"/>
        <w:rPr>
          <w:rFonts w:ascii="Arial" w:hAnsi="Arial" w:cs="Arial"/>
          <w:i/>
          <w:sz w:val="16"/>
          <w:u w:val="double"/>
        </w:rPr>
      </w:pPr>
      <w:bookmarkStart w:id="0" w:name="_Toc71194279"/>
      <w:bookmarkStart w:id="1" w:name="_Toc71200918"/>
      <w:bookmarkStart w:id="2" w:name="_Toc71201532"/>
      <w:bookmarkStart w:id="3" w:name="_Toc479660037"/>
      <w:bookmarkStart w:id="4" w:name="_Toc479170124"/>
      <w:bookmarkStart w:id="5" w:name="_Toc479168730"/>
      <w:bookmarkStart w:id="6" w:name="_Toc479168420"/>
      <w:bookmarkStart w:id="7" w:name="_Toc479168334"/>
      <w:bookmarkStart w:id="8" w:name="_Toc481659391"/>
      <w:r w:rsidRPr="00A7776C">
        <w:rPr>
          <w:rFonts w:ascii="Arial" w:hAnsi="Arial" w:cs="Arial"/>
          <w:sz w:val="16"/>
          <w:szCs w:val="16"/>
          <w:u w:val="double"/>
        </w:rPr>
        <w:t>STATE OF CALIFORNIA - BUSINESS, CONSUMER SERVICES, AND HOUSING AGENCY</w:t>
      </w:r>
      <w:r w:rsidRPr="00A7776C">
        <w:rPr>
          <w:rFonts w:ascii="Arial" w:hAnsi="Arial" w:cs="Arial"/>
          <w:sz w:val="14"/>
          <w:u w:val="double"/>
        </w:rPr>
        <w:tab/>
      </w:r>
      <w:r>
        <w:rPr>
          <w:rFonts w:ascii="Arial" w:hAnsi="Arial" w:cs="Arial"/>
          <w:sz w:val="16"/>
          <w:szCs w:val="16"/>
          <w:u w:val="double"/>
        </w:rPr>
        <w:t>GAVIN NEWSOM</w:t>
      </w:r>
      <w:r w:rsidRPr="00A7776C">
        <w:rPr>
          <w:rFonts w:ascii="Arial" w:hAnsi="Arial" w:cs="Arial"/>
          <w:sz w:val="16"/>
          <w:szCs w:val="16"/>
          <w:u w:val="double"/>
        </w:rPr>
        <w:t xml:space="preserve">, </w:t>
      </w:r>
      <w:r w:rsidRPr="00A7776C">
        <w:rPr>
          <w:rFonts w:ascii="Arial" w:hAnsi="Arial" w:cs="Arial"/>
          <w:i/>
          <w:sz w:val="16"/>
          <w:szCs w:val="16"/>
          <w:u w:val="double"/>
        </w:rPr>
        <w:t>Governor</w:t>
      </w:r>
      <w:bookmarkEnd w:id="0"/>
      <w:bookmarkEnd w:id="1"/>
      <w:bookmarkEnd w:id="2"/>
    </w:p>
    <w:p w14:paraId="5913DC7E" w14:textId="74FD9707" w:rsidR="00A166A5" w:rsidRPr="00A7776C" w:rsidRDefault="00407E80" w:rsidP="00A166A5">
      <w:pPr>
        <w:widowControl w:val="0"/>
        <w:spacing w:after="0" w:line="57" w:lineRule="exact"/>
        <w:rPr>
          <w:rFonts w:ascii="Arial" w:hAnsi="Arial" w:cs="Arial"/>
          <w:sz w:val="16"/>
        </w:rPr>
      </w:pPr>
      <w:r>
        <w:rPr>
          <w:noProof/>
        </w:rPr>
        <w:drawing>
          <wp:anchor distT="0" distB="0" distL="114300" distR="114300" simplePos="0" relativeHeight="251658240" behindDoc="0" locked="0" layoutInCell="1" allowOverlap="1" wp14:anchorId="0555E1E9" wp14:editId="0AAE2A8A">
            <wp:simplePos x="0" y="0"/>
            <wp:positionH relativeFrom="margin">
              <wp:posOffset>5972213</wp:posOffset>
            </wp:positionH>
            <wp:positionV relativeFrom="page">
              <wp:posOffset>603250</wp:posOffset>
            </wp:positionV>
            <wp:extent cx="838200" cy="838200"/>
            <wp:effectExtent l="0" t="0" r="0" b="0"/>
            <wp:wrapThrough wrapText="bothSides">
              <wp:wrapPolygon edited="0">
                <wp:start x="0" y="0"/>
                <wp:lineTo x="0" y="21109"/>
                <wp:lineTo x="21109" y="21109"/>
                <wp:lineTo x="21109" y="0"/>
                <wp:lineTo x="0" y="0"/>
              </wp:wrapPolygon>
            </wp:wrapThrough>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lor gradien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14:paraId="69FEC1FC" w14:textId="0AD3A8C0" w:rsidR="00A166A5" w:rsidRPr="00A7776C" w:rsidRDefault="00A166A5" w:rsidP="00A166A5">
      <w:pPr>
        <w:widowControl w:val="0"/>
        <w:spacing w:after="0"/>
        <w:rPr>
          <w:rFonts w:ascii="Arial" w:hAnsi="Arial" w:cs="Arial"/>
          <w:b/>
        </w:rPr>
      </w:pPr>
      <w:r w:rsidRPr="00A7776C">
        <w:rPr>
          <w:rFonts w:ascii="Arial" w:hAnsi="Arial" w:cs="Arial"/>
          <w:b/>
        </w:rPr>
        <w:t>DEPARTMENT OF HOUSING AND COMMUNITY DEVELOPMENT</w:t>
      </w:r>
      <w:r>
        <w:rPr>
          <w:rFonts w:ascii="Arial" w:hAnsi="Arial" w:cs="Arial"/>
          <w:b/>
        </w:rPr>
        <w:t xml:space="preserve"> </w:t>
      </w:r>
    </w:p>
    <w:p w14:paraId="5079A9A8" w14:textId="6FF40849" w:rsidR="00A166A5" w:rsidRPr="008A0C71" w:rsidRDefault="00507F2E" w:rsidP="008A0C71">
      <w:pPr>
        <w:keepNext/>
        <w:widowControl w:val="0"/>
        <w:spacing w:after="0"/>
        <w:outlineLvl w:val="1"/>
        <w:rPr>
          <w:rFonts w:ascii="Arial" w:hAnsi="Arial" w:cs="Arial"/>
          <w:b/>
          <w:sz w:val="20"/>
        </w:rPr>
      </w:pPr>
      <w:bookmarkStart w:id="9" w:name="_Toc71194280"/>
      <w:bookmarkStart w:id="10" w:name="_Toc71200919"/>
      <w:bookmarkStart w:id="11" w:name="_Toc71201533"/>
      <w:r>
        <w:rPr>
          <w:rFonts w:ascii="Arial" w:hAnsi="Arial" w:cs="Arial"/>
          <w:b/>
          <w:sz w:val="20"/>
        </w:rPr>
        <w:t>DIVISION OF STATE FINANCIAL ASSISTANCE</w:t>
      </w:r>
      <w:bookmarkEnd w:id="9"/>
      <w:bookmarkEnd w:id="10"/>
      <w:bookmarkEnd w:id="11"/>
    </w:p>
    <w:p w14:paraId="666E711D" w14:textId="5A25324F" w:rsidR="00A166A5" w:rsidRPr="006D5A43" w:rsidRDefault="00A166A5" w:rsidP="00A166A5">
      <w:pPr>
        <w:widowControl w:val="0"/>
        <w:spacing w:after="0"/>
        <w:rPr>
          <w:rFonts w:ascii="Arial" w:hAnsi="Arial" w:cs="Arial"/>
          <w:sz w:val="16"/>
          <w:szCs w:val="16"/>
          <w:lang w:val="es-MX"/>
        </w:rPr>
      </w:pPr>
      <w:r w:rsidRPr="00A7776C">
        <w:rPr>
          <w:rFonts w:ascii="Arial" w:hAnsi="Arial" w:cs="Arial"/>
          <w:sz w:val="16"/>
          <w:szCs w:val="16"/>
        </w:rPr>
        <w:t xml:space="preserve">2020 West El Camino Avenue, Suite </w:t>
      </w:r>
      <w:r w:rsidR="008A0C71">
        <w:rPr>
          <w:rFonts w:ascii="Arial" w:hAnsi="Arial" w:cs="Arial"/>
          <w:sz w:val="16"/>
          <w:szCs w:val="16"/>
        </w:rPr>
        <w:t>670</w:t>
      </w:r>
      <w:r w:rsidR="00407E80">
        <w:rPr>
          <w:rFonts w:ascii="Arial" w:hAnsi="Arial" w:cs="Arial"/>
          <w:sz w:val="16"/>
          <w:szCs w:val="16"/>
        </w:rPr>
        <w:t xml:space="preserve">, </w:t>
      </w:r>
      <w:r w:rsidRPr="006D5A43">
        <w:rPr>
          <w:rFonts w:ascii="Arial" w:hAnsi="Arial" w:cs="Arial"/>
          <w:sz w:val="16"/>
          <w:szCs w:val="16"/>
          <w:lang w:val="es-MX"/>
        </w:rPr>
        <w:t>Sacramento, CA 95833</w:t>
      </w:r>
    </w:p>
    <w:p w14:paraId="45CCD64F" w14:textId="01857680" w:rsidR="00A166A5" w:rsidRPr="00A7776C" w:rsidRDefault="00A166A5" w:rsidP="00A166A5">
      <w:pPr>
        <w:widowControl w:val="0"/>
        <w:spacing w:after="0"/>
        <w:rPr>
          <w:rFonts w:ascii="Arial" w:hAnsi="Arial" w:cs="Arial"/>
          <w:sz w:val="16"/>
          <w:szCs w:val="16"/>
          <w:lang w:val="es-ES"/>
        </w:rPr>
      </w:pPr>
      <w:r w:rsidRPr="00A7776C">
        <w:rPr>
          <w:rFonts w:ascii="Arial" w:hAnsi="Arial" w:cs="Arial"/>
          <w:sz w:val="16"/>
          <w:szCs w:val="16"/>
          <w:lang w:val="es-ES"/>
        </w:rPr>
        <w:t>P. O. Box 952054</w:t>
      </w:r>
      <w:r w:rsidR="00703CEF">
        <w:rPr>
          <w:rFonts w:ascii="Arial" w:hAnsi="Arial" w:cs="Arial"/>
          <w:sz w:val="16"/>
          <w:szCs w:val="16"/>
          <w:lang w:val="es-ES"/>
        </w:rPr>
        <w:t xml:space="preserve">, </w:t>
      </w:r>
      <w:r w:rsidRPr="00A7776C">
        <w:rPr>
          <w:rFonts w:ascii="Arial" w:hAnsi="Arial" w:cs="Arial"/>
          <w:sz w:val="16"/>
          <w:szCs w:val="16"/>
          <w:lang w:val="es-ES"/>
        </w:rPr>
        <w:t>Sacramento, CA</w:t>
      </w:r>
      <w:r w:rsidR="00962B2F">
        <w:rPr>
          <w:rFonts w:ascii="Arial" w:hAnsi="Arial" w:cs="Arial"/>
          <w:sz w:val="16"/>
          <w:szCs w:val="16"/>
          <w:lang w:val="es-ES"/>
        </w:rPr>
        <w:t xml:space="preserve"> </w:t>
      </w:r>
      <w:r w:rsidRPr="00A7776C">
        <w:rPr>
          <w:rFonts w:ascii="Arial" w:hAnsi="Arial" w:cs="Arial"/>
          <w:sz w:val="16"/>
          <w:szCs w:val="16"/>
          <w:lang w:val="es-ES"/>
        </w:rPr>
        <w:t>94252-2054</w:t>
      </w:r>
    </w:p>
    <w:p w14:paraId="2B3765DD" w14:textId="24920A9A" w:rsidR="00024400" w:rsidRPr="001E2491" w:rsidRDefault="00A166A5" w:rsidP="001E2491">
      <w:pPr>
        <w:widowControl w:val="0"/>
        <w:spacing w:after="0"/>
        <w:rPr>
          <w:rFonts w:ascii="Arial" w:hAnsi="Arial" w:cs="Arial"/>
          <w:szCs w:val="24"/>
          <w:lang w:val="es-MX"/>
        </w:rPr>
      </w:pPr>
      <w:r w:rsidRPr="006D5A43">
        <w:rPr>
          <w:rFonts w:ascii="Arial" w:hAnsi="Arial" w:cs="Arial"/>
          <w:sz w:val="16"/>
          <w:szCs w:val="16"/>
          <w:lang w:val="es-MX"/>
        </w:rPr>
        <w:t>(916) 263-2771</w:t>
      </w:r>
      <w:r w:rsidR="00407E80" w:rsidRPr="006D5A43" w:rsidDel="00407E80">
        <w:rPr>
          <w:rFonts w:ascii="Arial" w:hAnsi="Arial" w:cs="Arial"/>
          <w:sz w:val="16"/>
          <w:szCs w:val="16"/>
          <w:lang w:val="es-MX"/>
        </w:rPr>
        <w:t xml:space="preserve"> </w:t>
      </w:r>
    </w:p>
    <w:p w14:paraId="79A49BD4" w14:textId="6EB24B1F" w:rsidR="00024400" w:rsidRPr="00024400" w:rsidRDefault="00050636" w:rsidP="001E2491">
      <w:pPr>
        <w:widowControl w:val="0"/>
        <w:tabs>
          <w:tab w:val="left" w:pos="1440"/>
        </w:tabs>
        <w:overflowPunct w:val="0"/>
        <w:autoSpaceDE w:val="0"/>
        <w:autoSpaceDN w:val="0"/>
        <w:adjustRightInd w:val="0"/>
        <w:spacing w:before="480" w:after="360" w:line="276" w:lineRule="auto"/>
        <w:jc w:val="center"/>
        <w:textAlignment w:val="baseline"/>
        <w:rPr>
          <w:rFonts w:ascii="Arial" w:eastAsia="Times New Roman" w:hAnsi="Arial" w:cs="Arial"/>
          <w:sz w:val="24"/>
          <w:szCs w:val="24"/>
        </w:rPr>
      </w:pPr>
      <w:r w:rsidRPr="00064B92">
        <w:rPr>
          <w:rFonts w:ascii="Arial" w:eastAsia="Times New Roman" w:hAnsi="Arial" w:cs="Arial"/>
          <w:sz w:val="24"/>
          <w:szCs w:val="24"/>
        </w:rPr>
        <w:t>May</w:t>
      </w:r>
      <w:r w:rsidR="49091E3A" w:rsidRPr="00064B92">
        <w:rPr>
          <w:rFonts w:ascii="Arial" w:eastAsia="Times New Roman" w:hAnsi="Arial" w:cs="Arial"/>
          <w:sz w:val="24"/>
          <w:szCs w:val="24"/>
        </w:rPr>
        <w:t xml:space="preserve"> </w:t>
      </w:r>
      <w:r w:rsidR="00FA1465">
        <w:rPr>
          <w:rFonts w:ascii="Arial" w:eastAsia="Times New Roman" w:hAnsi="Arial" w:cs="Arial"/>
          <w:sz w:val="24"/>
          <w:szCs w:val="24"/>
        </w:rPr>
        <w:t>12</w:t>
      </w:r>
      <w:r w:rsidR="49091E3A" w:rsidRPr="00064B92">
        <w:rPr>
          <w:rFonts w:ascii="Arial" w:eastAsia="Times New Roman" w:hAnsi="Arial" w:cs="Arial"/>
          <w:sz w:val="24"/>
          <w:szCs w:val="24"/>
        </w:rPr>
        <w:t>, 2021</w:t>
      </w:r>
    </w:p>
    <w:p w14:paraId="3AFAFE7D" w14:textId="1B8B5662" w:rsidR="00024400" w:rsidRPr="009F349E" w:rsidRDefault="00B6249E" w:rsidP="00DB79AF">
      <w:pPr>
        <w:widowControl w:val="0"/>
        <w:spacing w:after="240" w:line="240" w:lineRule="auto"/>
        <w:ind w:left="720" w:right="720"/>
        <w:rPr>
          <w:rFonts w:ascii="Arial" w:eastAsia="Times New Roman" w:hAnsi="Arial" w:cs="Arial"/>
          <w:bCs/>
          <w:sz w:val="24"/>
          <w:szCs w:val="24"/>
        </w:rPr>
      </w:pPr>
      <w:r>
        <w:rPr>
          <w:noProof/>
        </w:rPr>
        <w:drawing>
          <wp:anchor distT="0" distB="0" distL="114300" distR="114300" simplePos="0" relativeHeight="251659264" behindDoc="1" locked="0" layoutInCell="1" allowOverlap="1" wp14:anchorId="269FA614" wp14:editId="6F564C6C">
            <wp:simplePos x="0" y="0"/>
            <wp:positionH relativeFrom="column">
              <wp:posOffset>4552315</wp:posOffset>
            </wp:positionH>
            <wp:positionV relativeFrom="paragraph">
              <wp:posOffset>65133</wp:posOffset>
            </wp:positionV>
            <wp:extent cx="1417320" cy="6578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7320" cy="657860"/>
                    </a:xfrm>
                    <a:prstGeom prst="rect">
                      <a:avLst/>
                    </a:prstGeom>
                    <a:noFill/>
                    <a:ln>
                      <a:noFill/>
                    </a:ln>
                  </pic:spPr>
                </pic:pic>
              </a:graphicData>
            </a:graphic>
          </wp:anchor>
        </w:drawing>
      </w:r>
      <w:r w:rsidR="00024400" w:rsidRPr="2D0BB0D1">
        <w:rPr>
          <w:rFonts w:ascii="Arial" w:eastAsia="Times New Roman" w:hAnsi="Arial" w:cs="Arial"/>
          <w:b/>
          <w:bCs/>
          <w:sz w:val="24"/>
          <w:szCs w:val="24"/>
        </w:rPr>
        <w:t>MEMORANDUM FOR:</w:t>
      </w:r>
      <w:r w:rsidR="00024400" w:rsidRPr="00024400">
        <w:rPr>
          <w:rFonts w:ascii="Arial" w:eastAsia="Times New Roman" w:hAnsi="Arial" w:cs="Arial"/>
          <w:sz w:val="24"/>
          <w:szCs w:val="24"/>
        </w:rPr>
        <w:tab/>
      </w:r>
      <w:r w:rsidR="0044050C" w:rsidRPr="2D0BB0D1">
        <w:rPr>
          <w:rFonts w:ascii="Arial" w:eastAsia="Times New Roman" w:hAnsi="Arial" w:cs="Arial"/>
          <w:sz w:val="24"/>
          <w:szCs w:val="24"/>
        </w:rPr>
        <w:t>All Potential Applicants</w:t>
      </w:r>
    </w:p>
    <w:p w14:paraId="4A01DF98" w14:textId="3D08F427" w:rsidR="00024400" w:rsidRPr="00024400" w:rsidRDefault="00024400" w:rsidP="00B63E95">
      <w:pPr>
        <w:widowControl w:val="0"/>
        <w:tabs>
          <w:tab w:val="left" w:pos="3600"/>
        </w:tabs>
        <w:spacing w:after="0" w:line="240" w:lineRule="auto"/>
        <w:ind w:left="720" w:right="720"/>
        <w:rPr>
          <w:rFonts w:ascii="Arial" w:eastAsia="Times New Roman" w:hAnsi="Arial" w:cs="Arial"/>
          <w:sz w:val="24"/>
          <w:szCs w:val="24"/>
        </w:rPr>
      </w:pPr>
      <w:r w:rsidRPr="00024400">
        <w:rPr>
          <w:rFonts w:ascii="Arial" w:eastAsia="Times New Roman" w:hAnsi="Arial" w:cs="Arial"/>
          <w:b/>
          <w:sz w:val="24"/>
          <w:szCs w:val="24"/>
        </w:rPr>
        <w:t>FROM:</w:t>
      </w:r>
      <w:r w:rsidRPr="00024400">
        <w:rPr>
          <w:rFonts w:ascii="Arial" w:eastAsia="Times New Roman" w:hAnsi="Arial" w:cs="Arial"/>
          <w:sz w:val="24"/>
          <w:szCs w:val="24"/>
        </w:rPr>
        <w:tab/>
      </w:r>
      <w:r w:rsidR="00FE3F6F">
        <w:rPr>
          <w:rFonts w:ascii="Arial" w:eastAsia="Times New Roman" w:hAnsi="Arial" w:cs="Arial"/>
          <w:sz w:val="24"/>
          <w:szCs w:val="24"/>
        </w:rPr>
        <w:t>Jennifer Seeger</w:t>
      </w:r>
      <w:r w:rsidRPr="00024400">
        <w:rPr>
          <w:rFonts w:ascii="Arial" w:eastAsia="Times New Roman" w:hAnsi="Arial" w:cs="Arial"/>
          <w:sz w:val="24"/>
          <w:szCs w:val="24"/>
        </w:rPr>
        <w:t>, Deputy Director</w:t>
      </w:r>
    </w:p>
    <w:p w14:paraId="5E8DB5CF" w14:textId="482C4A00" w:rsidR="00B63E95" w:rsidRPr="001E2491" w:rsidRDefault="00024400" w:rsidP="2D0BB0D1">
      <w:pPr>
        <w:widowControl w:val="0"/>
        <w:tabs>
          <w:tab w:val="left" w:pos="3600"/>
        </w:tabs>
        <w:spacing w:after="240" w:line="240" w:lineRule="auto"/>
        <w:ind w:left="2880" w:right="720" w:firstLine="720"/>
        <w:rPr>
          <w:rFonts w:ascii="Arial" w:eastAsia="Times New Roman" w:hAnsi="Arial" w:cs="Arial"/>
          <w:sz w:val="24"/>
          <w:szCs w:val="24"/>
        </w:rPr>
      </w:pPr>
      <w:r w:rsidRPr="006970ED">
        <w:rPr>
          <w:rFonts w:ascii="Arial" w:eastAsia="Times New Roman" w:hAnsi="Arial" w:cs="Arial"/>
          <w:sz w:val="24"/>
          <w:szCs w:val="24"/>
        </w:rPr>
        <w:t xml:space="preserve">Division of </w:t>
      </w:r>
      <w:r w:rsidR="00107A3F">
        <w:rPr>
          <w:rFonts w:ascii="Arial" w:eastAsia="Times New Roman" w:hAnsi="Arial" w:cs="Arial"/>
          <w:sz w:val="24"/>
          <w:szCs w:val="24"/>
        </w:rPr>
        <w:t xml:space="preserve">State </w:t>
      </w:r>
      <w:r w:rsidRPr="006970ED">
        <w:rPr>
          <w:rFonts w:ascii="Arial" w:eastAsia="Times New Roman" w:hAnsi="Arial" w:cs="Arial"/>
          <w:sz w:val="24"/>
          <w:szCs w:val="24"/>
        </w:rPr>
        <w:t>Financial Assistance</w:t>
      </w:r>
    </w:p>
    <w:p w14:paraId="50BE9DB3" w14:textId="17D8442D" w:rsidR="00FC42BD" w:rsidRPr="001E2491" w:rsidRDefault="00024400" w:rsidP="2D0BB0D1">
      <w:pPr>
        <w:widowControl w:val="0"/>
        <w:spacing w:after="600" w:line="240" w:lineRule="auto"/>
        <w:ind w:left="3600" w:right="720" w:hanging="2880"/>
        <w:rPr>
          <w:rFonts w:ascii="Arial" w:eastAsia="Times New Roman" w:hAnsi="Arial" w:cs="Arial"/>
          <w:b/>
          <w:bCs/>
          <w:sz w:val="24"/>
          <w:szCs w:val="24"/>
        </w:rPr>
      </w:pPr>
      <w:r w:rsidRPr="2D0BB0D1">
        <w:rPr>
          <w:rFonts w:ascii="Arial" w:eastAsia="Times New Roman" w:hAnsi="Arial" w:cs="Arial"/>
          <w:b/>
          <w:bCs/>
          <w:sz w:val="24"/>
          <w:szCs w:val="24"/>
        </w:rPr>
        <w:t>SUBJECT:</w:t>
      </w:r>
      <w:r w:rsidR="004F3971">
        <w:tab/>
      </w:r>
      <w:r w:rsidR="009F5E6E">
        <w:rPr>
          <w:rFonts w:ascii="Arial" w:eastAsia="Times New Roman" w:hAnsi="Arial" w:cs="Arial"/>
          <w:b/>
          <w:bCs/>
          <w:sz w:val="24"/>
          <w:szCs w:val="24"/>
        </w:rPr>
        <w:t xml:space="preserve">Infill </w:t>
      </w:r>
      <w:r w:rsidR="002309B6" w:rsidRPr="2D0BB0D1">
        <w:rPr>
          <w:rFonts w:ascii="Arial" w:eastAsia="Times New Roman" w:hAnsi="Arial" w:cs="Arial"/>
          <w:b/>
          <w:bCs/>
          <w:sz w:val="24"/>
          <w:szCs w:val="24"/>
        </w:rPr>
        <w:t>Infrastructure Grant Program</w:t>
      </w:r>
      <w:r>
        <w:br/>
      </w:r>
      <w:r w:rsidR="00FC5449">
        <w:rPr>
          <w:rFonts w:ascii="Arial" w:eastAsia="Times New Roman" w:hAnsi="Arial" w:cs="Arial"/>
          <w:b/>
          <w:bCs/>
          <w:sz w:val="24"/>
          <w:szCs w:val="24"/>
        </w:rPr>
        <w:t>Round 7</w:t>
      </w:r>
      <w:r w:rsidR="006C487C" w:rsidRPr="2D0BB0D1">
        <w:rPr>
          <w:rFonts w:ascii="Arial" w:eastAsia="Times New Roman" w:hAnsi="Arial" w:cs="Arial"/>
          <w:b/>
          <w:bCs/>
          <w:sz w:val="24"/>
          <w:szCs w:val="24"/>
        </w:rPr>
        <w:t xml:space="preserve"> </w:t>
      </w:r>
      <w:r w:rsidR="0044050C" w:rsidRPr="2D0BB0D1">
        <w:rPr>
          <w:rFonts w:ascii="Arial" w:eastAsia="Times New Roman" w:hAnsi="Arial" w:cs="Arial"/>
          <w:b/>
          <w:bCs/>
          <w:sz w:val="24"/>
          <w:szCs w:val="24"/>
        </w:rPr>
        <w:t>Notice of Funding Availability</w:t>
      </w:r>
      <w:bookmarkStart w:id="12" w:name="_Hlk62365630"/>
    </w:p>
    <w:p w14:paraId="21AB950D" w14:textId="77777777" w:rsidR="00FC42BD" w:rsidRDefault="00D46181" w:rsidP="00024400">
      <w:pPr>
        <w:spacing w:after="200" w:line="240" w:lineRule="auto"/>
        <w:ind w:left="720" w:right="720"/>
        <w:rPr>
          <w:rFonts w:ascii="Arial" w:eastAsia="Times New Roman" w:hAnsi="Arial" w:cs="Arial"/>
          <w:sz w:val="24"/>
          <w:szCs w:val="24"/>
        </w:rPr>
      </w:pPr>
      <w:r w:rsidRPr="00D46181">
        <w:rPr>
          <w:rFonts w:ascii="Arial" w:eastAsia="Times New Roman" w:hAnsi="Arial" w:cs="Arial"/>
          <w:sz w:val="24"/>
          <w:szCs w:val="24"/>
        </w:rPr>
        <w:t>The California Department of Housing and Community Development (HCD) is pleased to announce the initial release of Veterans and Affordable Housing Bond Act of 2018 (Proposition 1) Infill Infrastructure Grant program (IIG) funding for approximately $</w:t>
      </w:r>
      <w:r w:rsidR="003649DD" w:rsidRPr="00D46181">
        <w:rPr>
          <w:rFonts w:ascii="Arial" w:eastAsia="Times New Roman" w:hAnsi="Arial" w:cs="Arial"/>
          <w:sz w:val="24"/>
          <w:szCs w:val="24"/>
        </w:rPr>
        <w:t>160</w:t>
      </w:r>
      <w:r w:rsidR="003649DD">
        <w:rPr>
          <w:rFonts w:ascii="Arial" w:eastAsia="Times New Roman" w:hAnsi="Arial" w:cs="Arial"/>
          <w:sz w:val="24"/>
          <w:szCs w:val="24"/>
        </w:rPr>
        <w:t> </w:t>
      </w:r>
      <w:r w:rsidRPr="00D46181">
        <w:rPr>
          <w:rFonts w:ascii="Arial" w:eastAsia="Times New Roman" w:hAnsi="Arial" w:cs="Arial"/>
          <w:sz w:val="24"/>
          <w:szCs w:val="24"/>
        </w:rPr>
        <w:t xml:space="preserve">million. </w:t>
      </w:r>
    </w:p>
    <w:p w14:paraId="03782B31" w14:textId="3BB4C9B9" w:rsidR="008027F2" w:rsidRDefault="00D46181" w:rsidP="00024400">
      <w:pPr>
        <w:spacing w:after="200" w:line="240" w:lineRule="auto"/>
        <w:ind w:left="720" w:right="720"/>
        <w:rPr>
          <w:rFonts w:ascii="Arial" w:eastAsia="Times New Roman" w:hAnsi="Arial" w:cs="Arial"/>
          <w:sz w:val="24"/>
          <w:szCs w:val="24"/>
        </w:rPr>
      </w:pPr>
      <w:r w:rsidRPr="00D46181">
        <w:rPr>
          <w:rFonts w:ascii="Arial" w:eastAsia="Times New Roman" w:hAnsi="Arial" w:cs="Arial"/>
          <w:sz w:val="24"/>
          <w:szCs w:val="24"/>
        </w:rPr>
        <w:t xml:space="preserve">This Notice of Funding Availability (NOFA) </w:t>
      </w:r>
      <w:r w:rsidR="0089643B">
        <w:rPr>
          <w:rFonts w:ascii="Arial" w:eastAsia="Times New Roman" w:hAnsi="Arial" w:cs="Arial"/>
          <w:sz w:val="24"/>
          <w:szCs w:val="24"/>
        </w:rPr>
        <w:t xml:space="preserve">will </w:t>
      </w:r>
      <w:r w:rsidRPr="00D46181">
        <w:rPr>
          <w:rFonts w:ascii="Arial" w:eastAsia="Times New Roman" w:hAnsi="Arial" w:cs="Arial"/>
          <w:sz w:val="24"/>
          <w:szCs w:val="24"/>
        </w:rPr>
        <w:t xml:space="preserve">provide grants to for-profit or nonprofit developers, localities, or public agencies for Capital Improvement Projects in support of </w:t>
      </w:r>
      <w:r w:rsidR="005A48DE">
        <w:rPr>
          <w:rFonts w:ascii="Arial" w:eastAsia="Times New Roman" w:hAnsi="Arial" w:cs="Arial"/>
          <w:sz w:val="24"/>
          <w:szCs w:val="24"/>
        </w:rPr>
        <w:t>QIP</w:t>
      </w:r>
      <w:r w:rsidRPr="00D46181">
        <w:rPr>
          <w:rFonts w:ascii="Arial" w:eastAsia="Times New Roman" w:hAnsi="Arial" w:cs="Arial"/>
          <w:sz w:val="24"/>
          <w:szCs w:val="24"/>
        </w:rPr>
        <w:t>s or Qualifying Infill Areas.</w:t>
      </w:r>
    </w:p>
    <w:bookmarkEnd w:id="12"/>
    <w:p w14:paraId="4B5D31F3" w14:textId="74AA03F4" w:rsidR="00E45F69" w:rsidRDefault="00E45F69" w:rsidP="00024400">
      <w:pPr>
        <w:widowControl w:val="0"/>
        <w:spacing w:after="200" w:line="240" w:lineRule="auto"/>
        <w:ind w:left="720" w:right="720"/>
        <w:rPr>
          <w:rFonts w:ascii="Arial" w:eastAsia="Times New Roman" w:hAnsi="Arial" w:cs="Arial"/>
          <w:b/>
          <w:sz w:val="24"/>
          <w:szCs w:val="24"/>
        </w:rPr>
      </w:pPr>
      <w:r w:rsidRPr="0044050C">
        <w:rPr>
          <w:rFonts w:ascii="Arial" w:eastAsia="Times New Roman" w:hAnsi="Arial" w:cs="Arial"/>
          <w:bCs/>
          <w:sz w:val="24"/>
          <w:szCs w:val="24"/>
        </w:rPr>
        <w:t>Application</w:t>
      </w:r>
      <w:r>
        <w:rPr>
          <w:rFonts w:ascii="Arial" w:eastAsia="Times New Roman" w:hAnsi="Arial" w:cs="Arial"/>
          <w:bCs/>
          <w:sz w:val="24"/>
          <w:szCs w:val="24"/>
        </w:rPr>
        <w:t xml:space="preserve"> materials must be submitted electronically via the Financial Assistance Application Submittal Tool (FAAST) system</w:t>
      </w:r>
      <w:r w:rsidR="00B431A1">
        <w:rPr>
          <w:rFonts w:ascii="Arial" w:eastAsia="Times New Roman" w:hAnsi="Arial" w:cs="Arial"/>
          <w:bCs/>
          <w:sz w:val="24"/>
          <w:szCs w:val="24"/>
        </w:rPr>
        <w:t xml:space="preserve">, available online at </w:t>
      </w:r>
      <w:hyperlink r:id="rId13" w:history="1">
        <w:r w:rsidR="00B431A1" w:rsidRPr="00902DA5">
          <w:rPr>
            <w:rStyle w:val="Hyperlink"/>
            <w:rFonts w:ascii="Arial" w:eastAsia="Times New Roman" w:hAnsi="Arial"/>
            <w:sz w:val="24"/>
          </w:rPr>
          <w:t>https://faast.waterboards.ca.gov/</w:t>
        </w:r>
      </w:hyperlink>
      <w:r w:rsidR="00522D76">
        <w:rPr>
          <w:rFonts w:ascii="Arial" w:eastAsia="Times New Roman" w:hAnsi="Arial" w:cs="Times New Roman"/>
          <w:sz w:val="24"/>
        </w:rPr>
        <w:t xml:space="preserve">, </w:t>
      </w:r>
      <w:r>
        <w:rPr>
          <w:rFonts w:ascii="Arial" w:eastAsia="Times New Roman" w:hAnsi="Arial" w:cs="Arial"/>
          <w:bCs/>
          <w:sz w:val="24"/>
          <w:szCs w:val="24"/>
        </w:rPr>
        <w:t>no later tha</w:t>
      </w:r>
      <w:r w:rsidR="00F73BC1">
        <w:rPr>
          <w:rFonts w:ascii="Arial" w:eastAsia="Times New Roman" w:hAnsi="Arial" w:cs="Arial"/>
          <w:bCs/>
          <w:sz w:val="24"/>
          <w:szCs w:val="24"/>
        </w:rPr>
        <w:t xml:space="preserve">n </w:t>
      </w:r>
      <w:r w:rsidR="0044050C" w:rsidRPr="00617A61">
        <w:rPr>
          <w:rFonts w:ascii="Arial" w:eastAsia="Times New Roman" w:hAnsi="Arial" w:cs="Arial"/>
          <w:b/>
          <w:sz w:val="24"/>
          <w:szCs w:val="24"/>
        </w:rPr>
        <w:t>5:00</w:t>
      </w:r>
      <w:r w:rsidR="00F73BC1" w:rsidRPr="00617A61">
        <w:rPr>
          <w:rFonts w:ascii="Arial" w:eastAsia="Times New Roman" w:hAnsi="Arial" w:cs="Arial"/>
          <w:b/>
          <w:sz w:val="24"/>
          <w:szCs w:val="24"/>
        </w:rPr>
        <w:t xml:space="preserve"> </w:t>
      </w:r>
      <w:r w:rsidR="00FE6D68">
        <w:rPr>
          <w:rFonts w:ascii="Arial" w:eastAsia="Times New Roman" w:hAnsi="Arial" w:cs="Arial"/>
          <w:b/>
          <w:sz w:val="24"/>
          <w:szCs w:val="24"/>
        </w:rPr>
        <w:t>p.m.</w:t>
      </w:r>
      <w:r w:rsidR="00F73BC1" w:rsidRPr="00617A61">
        <w:rPr>
          <w:rFonts w:ascii="Arial" w:eastAsia="Times New Roman" w:hAnsi="Arial" w:cs="Arial"/>
          <w:b/>
          <w:sz w:val="24"/>
          <w:szCs w:val="24"/>
        </w:rPr>
        <w:t xml:space="preserve"> Pacific</w:t>
      </w:r>
      <w:r w:rsidR="0002603F">
        <w:rPr>
          <w:rFonts w:ascii="Arial" w:eastAsia="Times New Roman" w:hAnsi="Arial" w:cs="Arial"/>
          <w:b/>
          <w:sz w:val="24"/>
          <w:szCs w:val="24"/>
        </w:rPr>
        <w:t xml:space="preserve"> </w:t>
      </w:r>
      <w:r w:rsidR="00150B0C">
        <w:rPr>
          <w:rFonts w:ascii="Arial" w:eastAsia="Times New Roman" w:hAnsi="Arial" w:cs="Arial"/>
          <w:b/>
          <w:sz w:val="24"/>
          <w:szCs w:val="24"/>
        </w:rPr>
        <w:t xml:space="preserve">Daylight </w:t>
      </w:r>
      <w:r w:rsidR="00F73BC1" w:rsidRPr="00617A61">
        <w:rPr>
          <w:rFonts w:ascii="Arial" w:eastAsia="Times New Roman" w:hAnsi="Arial" w:cs="Arial"/>
          <w:b/>
          <w:sz w:val="24"/>
          <w:szCs w:val="24"/>
        </w:rPr>
        <w:t>Time on</w:t>
      </w:r>
      <w:r w:rsidR="00F73BC1">
        <w:rPr>
          <w:rFonts w:ascii="Arial" w:eastAsia="Times New Roman" w:hAnsi="Arial" w:cs="Arial"/>
          <w:bCs/>
          <w:sz w:val="24"/>
          <w:szCs w:val="24"/>
        </w:rPr>
        <w:t xml:space="preserve"> </w:t>
      </w:r>
      <w:bookmarkStart w:id="13" w:name="_Hlk50617858"/>
      <w:r w:rsidR="00821F36" w:rsidRPr="0060586D">
        <w:rPr>
          <w:rFonts w:ascii="Arial" w:eastAsia="Times New Roman" w:hAnsi="Arial" w:cs="Arial"/>
          <w:b/>
          <w:sz w:val="24"/>
          <w:szCs w:val="24"/>
        </w:rPr>
        <w:t>Ju</w:t>
      </w:r>
      <w:r w:rsidR="004A1DE1" w:rsidRPr="0060586D">
        <w:rPr>
          <w:rFonts w:ascii="Arial" w:eastAsia="Times New Roman" w:hAnsi="Arial" w:cs="Arial"/>
          <w:b/>
          <w:sz w:val="24"/>
          <w:szCs w:val="24"/>
        </w:rPr>
        <w:t xml:space="preserve">ly </w:t>
      </w:r>
      <w:r w:rsidR="00FA1465">
        <w:rPr>
          <w:rFonts w:ascii="Arial" w:eastAsia="Times New Roman" w:hAnsi="Arial" w:cs="Arial"/>
          <w:b/>
          <w:sz w:val="24"/>
          <w:szCs w:val="24"/>
        </w:rPr>
        <w:t>12</w:t>
      </w:r>
      <w:r w:rsidR="005F2E94" w:rsidRPr="0060586D">
        <w:rPr>
          <w:rFonts w:ascii="Arial" w:eastAsia="Times New Roman" w:hAnsi="Arial" w:cs="Arial"/>
          <w:b/>
          <w:sz w:val="24"/>
          <w:szCs w:val="24"/>
        </w:rPr>
        <w:t>, 2021</w:t>
      </w:r>
      <w:bookmarkEnd w:id="13"/>
      <w:r w:rsidR="0024790B" w:rsidRPr="00356706">
        <w:rPr>
          <w:rFonts w:ascii="Arial" w:eastAsia="Times New Roman" w:hAnsi="Arial" w:cs="Arial"/>
          <w:b/>
          <w:sz w:val="24"/>
          <w:szCs w:val="24"/>
        </w:rPr>
        <w:t xml:space="preserve">. </w:t>
      </w:r>
      <w:r w:rsidR="00575343" w:rsidRPr="00313BC6">
        <w:rPr>
          <w:rFonts w:ascii="Arial" w:eastAsia="Times New Roman" w:hAnsi="Arial" w:cs="Arial"/>
          <w:bCs/>
          <w:sz w:val="24"/>
          <w:szCs w:val="24"/>
        </w:rPr>
        <w:t>HCD</w:t>
      </w:r>
      <w:r w:rsidR="0024790B" w:rsidRPr="002F6236">
        <w:rPr>
          <w:rFonts w:ascii="Arial" w:eastAsia="Times New Roman" w:hAnsi="Arial" w:cs="Arial"/>
          <w:bCs/>
          <w:sz w:val="24"/>
          <w:szCs w:val="24"/>
        </w:rPr>
        <w:t xml:space="preserve"> will</w:t>
      </w:r>
      <w:r w:rsidR="0024790B">
        <w:rPr>
          <w:rFonts w:ascii="Arial" w:eastAsia="Times New Roman" w:hAnsi="Arial" w:cs="Arial"/>
          <w:bCs/>
          <w:sz w:val="24"/>
          <w:szCs w:val="24"/>
        </w:rPr>
        <w:t xml:space="preserve"> no longer accept hardcopy submittals</w:t>
      </w:r>
      <w:r w:rsidR="0024790B" w:rsidRPr="00CB0ADD">
        <w:rPr>
          <w:rFonts w:ascii="Arial" w:eastAsia="Times New Roman" w:hAnsi="Arial" w:cs="Arial"/>
          <w:b/>
          <w:sz w:val="24"/>
          <w:szCs w:val="24"/>
        </w:rPr>
        <w:t>.</w:t>
      </w:r>
    </w:p>
    <w:p w14:paraId="53848B8D" w14:textId="6BF26D71" w:rsidR="005C498F" w:rsidRPr="00B40394" w:rsidRDefault="003E5002" w:rsidP="004C4756">
      <w:pPr>
        <w:widowControl w:val="0"/>
        <w:spacing w:after="200" w:line="240" w:lineRule="auto"/>
        <w:ind w:left="720" w:right="720"/>
        <w:rPr>
          <w:rFonts w:ascii="Arial" w:eastAsia="Times New Roman" w:hAnsi="Arial" w:cs="Arial"/>
          <w:sz w:val="24"/>
          <w:szCs w:val="24"/>
        </w:rPr>
      </w:pPr>
      <w:r w:rsidRPr="00A8660C">
        <w:rPr>
          <w:rFonts w:ascii="Arial" w:eastAsia="Times New Roman" w:hAnsi="Arial" w:cs="Arial"/>
          <w:sz w:val="24"/>
          <w:szCs w:val="24"/>
        </w:rPr>
        <w:t xml:space="preserve">The </w:t>
      </w:r>
      <w:r w:rsidR="004C4756" w:rsidRPr="00A8660C">
        <w:rPr>
          <w:rFonts w:ascii="Arial" w:eastAsia="Times New Roman" w:hAnsi="Arial" w:cs="Arial"/>
          <w:sz w:val="24"/>
          <w:szCs w:val="24"/>
        </w:rPr>
        <w:t>IIG</w:t>
      </w:r>
      <w:r w:rsidR="003D68F7" w:rsidRPr="00A8660C">
        <w:rPr>
          <w:rFonts w:ascii="Arial" w:eastAsia="Times New Roman" w:hAnsi="Arial" w:cs="Arial"/>
          <w:sz w:val="24"/>
          <w:szCs w:val="24"/>
        </w:rPr>
        <w:t xml:space="preserve"> </w:t>
      </w:r>
      <w:r w:rsidR="008F4789" w:rsidRPr="00A8660C">
        <w:rPr>
          <w:rFonts w:ascii="Arial" w:eastAsia="Times New Roman" w:hAnsi="Arial" w:cs="Arial"/>
          <w:sz w:val="24"/>
          <w:szCs w:val="24"/>
        </w:rPr>
        <w:t>Application</w:t>
      </w:r>
      <w:r w:rsidR="0040661A" w:rsidRPr="00A8660C">
        <w:rPr>
          <w:rFonts w:ascii="Arial" w:eastAsia="Times New Roman" w:hAnsi="Arial" w:cs="Arial"/>
          <w:sz w:val="24"/>
          <w:szCs w:val="24"/>
        </w:rPr>
        <w:t>, online workshop details,</w:t>
      </w:r>
      <w:r w:rsidR="0044050C" w:rsidRPr="00A8660C">
        <w:rPr>
          <w:rFonts w:ascii="Arial" w:eastAsia="Times New Roman" w:hAnsi="Arial" w:cs="Arial"/>
          <w:sz w:val="24"/>
          <w:szCs w:val="24"/>
        </w:rPr>
        <w:t xml:space="preserve"> and</w:t>
      </w:r>
      <w:r w:rsidR="0040661A" w:rsidRPr="00A8660C">
        <w:rPr>
          <w:rFonts w:ascii="Arial" w:eastAsia="Times New Roman" w:hAnsi="Arial" w:cs="Arial"/>
          <w:sz w:val="24"/>
          <w:szCs w:val="24"/>
        </w:rPr>
        <w:t xml:space="preserve"> guidelines </w:t>
      </w:r>
      <w:r w:rsidR="004B1899">
        <w:rPr>
          <w:rFonts w:ascii="Arial" w:eastAsia="Times New Roman" w:hAnsi="Arial" w:cs="Arial"/>
          <w:sz w:val="24"/>
          <w:szCs w:val="24"/>
        </w:rPr>
        <w:t>will be</w:t>
      </w:r>
      <w:r w:rsidR="0040661A" w:rsidRPr="00A8660C">
        <w:rPr>
          <w:rFonts w:ascii="Arial" w:eastAsia="Times New Roman" w:hAnsi="Arial" w:cs="Arial"/>
          <w:sz w:val="24"/>
          <w:szCs w:val="24"/>
        </w:rPr>
        <w:t xml:space="preserve"> posted </w:t>
      </w:r>
      <w:r w:rsidR="001B3FE4" w:rsidRPr="00A8660C">
        <w:rPr>
          <w:rFonts w:ascii="Arial" w:eastAsia="Times New Roman" w:hAnsi="Arial" w:cs="Arial"/>
          <w:sz w:val="24"/>
          <w:szCs w:val="24"/>
        </w:rPr>
        <w:t xml:space="preserve">on </w:t>
      </w:r>
      <w:r w:rsidR="00D30177">
        <w:rPr>
          <w:rFonts w:ascii="Arial" w:eastAsia="Times New Roman" w:hAnsi="Arial" w:cs="Arial"/>
          <w:sz w:val="24"/>
          <w:szCs w:val="24"/>
        </w:rPr>
        <w:t>HCD</w:t>
      </w:r>
      <w:r w:rsidR="001B3FE4" w:rsidRPr="00A8660C">
        <w:rPr>
          <w:rFonts w:ascii="Arial" w:eastAsia="Times New Roman" w:hAnsi="Arial" w:cs="Arial"/>
          <w:sz w:val="24"/>
          <w:szCs w:val="24"/>
        </w:rPr>
        <w:t>’s website</w:t>
      </w:r>
      <w:r w:rsidR="006B444D">
        <w:rPr>
          <w:rFonts w:ascii="Arial" w:eastAsia="Times New Roman" w:hAnsi="Arial" w:cs="Arial"/>
          <w:sz w:val="24"/>
          <w:szCs w:val="24"/>
        </w:rPr>
        <w:t xml:space="preserve"> </w:t>
      </w:r>
      <w:hyperlink r:id="rId14" w:history="1">
        <w:r w:rsidR="00CB57E1" w:rsidRPr="00902DA5">
          <w:rPr>
            <w:rStyle w:val="Hyperlink"/>
            <w:rFonts w:ascii="Arial" w:eastAsia="Times New Roman" w:hAnsi="Arial" w:cs="Arial"/>
            <w:sz w:val="24"/>
            <w:szCs w:val="24"/>
          </w:rPr>
          <w:t>https://www.hcd.ca.gov/grants-funding/active-funding/iigp.shtml</w:t>
        </w:r>
      </w:hyperlink>
      <w:r w:rsidR="00D53C16">
        <w:rPr>
          <w:rFonts w:ascii="Arial" w:eastAsia="Times New Roman" w:hAnsi="Arial" w:cs="Arial"/>
          <w:sz w:val="24"/>
          <w:szCs w:val="24"/>
        </w:rPr>
        <w:t>.</w:t>
      </w:r>
      <w:r w:rsidR="001B3FE4" w:rsidRPr="00A8660C">
        <w:rPr>
          <w:rFonts w:ascii="Arial" w:eastAsia="Times New Roman" w:hAnsi="Arial" w:cs="Arial"/>
          <w:sz w:val="24"/>
          <w:szCs w:val="24"/>
        </w:rPr>
        <w:t xml:space="preserve"> </w:t>
      </w:r>
      <w:r w:rsidR="00F43A53" w:rsidRPr="00217939">
        <w:rPr>
          <w:rFonts w:ascii="Arial" w:eastAsia="Times New Roman" w:hAnsi="Arial" w:cs="Arial"/>
          <w:sz w:val="24"/>
          <w:szCs w:val="24"/>
        </w:rPr>
        <w:t xml:space="preserve">To receive information regarding online workshops and other updates, please subscribe to </w:t>
      </w:r>
      <w:r w:rsidR="00617A61" w:rsidRPr="00217939">
        <w:rPr>
          <w:rFonts w:ascii="Arial" w:eastAsia="Times New Roman" w:hAnsi="Arial" w:cs="Arial"/>
          <w:sz w:val="24"/>
          <w:szCs w:val="24"/>
        </w:rPr>
        <w:t>the</w:t>
      </w:r>
      <w:r w:rsidR="004F6062" w:rsidRPr="00217939">
        <w:rPr>
          <w:rFonts w:ascii="Arial" w:eastAsia="Times New Roman" w:hAnsi="Arial" w:cs="Arial"/>
          <w:sz w:val="24"/>
          <w:szCs w:val="24"/>
        </w:rPr>
        <w:t xml:space="preserve"> </w:t>
      </w:r>
      <w:r w:rsidR="005D6286" w:rsidRPr="00217939">
        <w:rPr>
          <w:rFonts w:ascii="Arial" w:eastAsia="Times New Roman" w:hAnsi="Arial" w:cs="Arial"/>
          <w:sz w:val="24"/>
          <w:szCs w:val="24"/>
        </w:rPr>
        <w:t>IIG</w:t>
      </w:r>
      <w:r w:rsidR="005D6286">
        <w:rPr>
          <w:rFonts w:ascii="Arial" w:eastAsia="Times New Roman" w:hAnsi="Arial" w:cs="Arial"/>
          <w:sz w:val="24"/>
          <w:szCs w:val="24"/>
        </w:rPr>
        <w:t> </w:t>
      </w:r>
      <w:r w:rsidR="004F6062" w:rsidRPr="00B40394">
        <w:rPr>
          <w:rFonts w:ascii="Arial" w:eastAsia="Times New Roman" w:hAnsi="Arial" w:cs="Arial"/>
          <w:sz w:val="24"/>
          <w:szCs w:val="24"/>
        </w:rPr>
        <w:t xml:space="preserve">listserv </w:t>
      </w:r>
      <w:hyperlink r:id="rId15" w:history="1">
        <w:r w:rsidR="005C498F" w:rsidRPr="005D6286">
          <w:rPr>
            <w:rStyle w:val="Hyperlink"/>
            <w:rFonts w:ascii="Arial" w:eastAsia="Times New Roman" w:hAnsi="Arial" w:cs="Arial"/>
            <w:sz w:val="24"/>
            <w:szCs w:val="24"/>
          </w:rPr>
          <w:t>http://www.hcd.ca.gov/HCD_SSI/subscribe-form.html</w:t>
        </w:r>
      </w:hyperlink>
    </w:p>
    <w:p w14:paraId="2A3536C7" w14:textId="6C252560" w:rsidR="004C4756" w:rsidRPr="001E2491" w:rsidRDefault="003B63BA" w:rsidP="001E2491">
      <w:pPr>
        <w:widowControl w:val="0"/>
        <w:spacing w:after="200" w:line="240" w:lineRule="auto"/>
        <w:ind w:left="720" w:right="720"/>
        <w:rPr>
          <w:rFonts w:ascii="Arial" w:eastAsia="Times New Roman" w:hAnsi="Arial" w:cs="Arial"/>
          <w:sz w:val="24"/>
          <w:szCs w:val="24"/>
        </w:rPr>
      </w:pPr>
      <w:r w:rsidRPr="00B40394">
        <w:rPr>
          <w:rFonts w:ascii="Arial" w:eastAsia="Times New Roman" w:hAnsi="Arial" w:cs="Arial"/>
          <w:sz w:val="24"/>
          <w:szCs w:val="24"/>
        </w:rPr>
        <w:t xml:space="preserve">If you have further questions, please </w:t>
      </w:r>
      <w:r w:rsidR="001F7DCC" w:rsidRPr="005D6286">
        <w:rPr>
          <w:rFonts w:ascii="Arial" w:eastAsia="Times New Roman" w:hAnsi="Arial" w:cs="Arial"/>
          <w:sz w:val="24"/>
          <w:szCs w:val="24"/>
        </w:rPr>
        <w:t>contact</w:t>
      </w:r>
      <w:r w:rsidR="00440DC8" w:rsidRPr="005D6286">
        <w:rPr>
          <w:rFonts w:ascii="Arial" w:eastAsia="Times New Roman" w:hAnsi="Arial" w:cs="Arial"/>
          <w:sz w:val="24"/>
          <w:szCs w:val="24"/>
        </w:rPr>
        <w:t xml:space="preserve"> </w:t>
      </w:r>
      <w:hyperlink r:id="rId16" w:history="1">
        <w:r w:rsidR="0035317A" w:rsidRPr="005D6286">
          <w:rPr>
            <w:rStyle w:val="Hyperlink"/>
            <w:rFonts w:ascii="Arial" w:eastAsia="Times New Roman" w:hAnsi="Arial" w:cs="Arial"/>
            <w:sz w:val="24"/>
            <w:szCs w:val="24"/>
          </w:rPr>
          <w:t>infill@hcd.ca.gov</w:t>
        </w:r>
      </w:hyperlink>
      <w:r w:rsidR="001E3D0B" w:rsidRPr="00B40394">
        <w:rPr>
          <w:rFonts w:ascii="Arial" w:eastAsia="Times New Roman" w:hAnsi="Arial" w:cs="Arial"/>
          <w:sz w:val="24"/>
          <w:szCs w:val="24"/>
        </w:rPr>
        <w:t xml:space="preserve"> </w:t>
      </w:r>
      <w:r w:rsidR="001F7DCC" w:rsidRPr="005D6286">
        <w:rPr>
          <w:rFonts w:ascii="Arial" w:eastAsia="Times New Roman" w:hAnsi="Arial" w:cs="Arial"/>
          <w:sz w:val="24"/>
          <w:szCs w:val="24"/>
        </w:rPr>
        <w:t xml:space="preserve"> </w:t>
      </w:r>
    </w:p>
    <w:p w14:paraId="1FB25FDF" w14:textId="6817CF48" w:rsidR="00024400" w:rsidRPr="00024400" w:rsidRDefault="00024400" w:rsidP="001E2491">
      <w:pPr>
        <w:spacing w:after="200" w:line="240" w:lineRule="auto"/>
        <w:ind w:left="720" w:right="720"/>
        <w:rPr>
          <w:rFonts w:ascii="Arial" w:eastAsia="Times New Roman" w:hAnsi="Arial" w:cs="Arial"/>
          <w:sz w:val="24"/>
        </w:rPr>
        <w:sectPr w:rsidR="00024400" w:rsidRPr="00024400" w:rsidSect="00B63E95">
          <w:pgSz w:w="12240" w:h="15840"/>
          <w:pgMar w:top="720" w:right="720" w:bottom="1080" w:left="720" w:header="360" w:footer="245" w:gutter="0"/>
          <w:cols w:space="720"/>
          <w:docGrid w:linePitch="360"/>
        </w:sectPr>
      </w:pPr>
      <w:r w:rsidRPr="00024400">
        <w:rPr>
          <w:rFonts w:ascii="Arial" w:eastAsia="Times New Roman" w:hAnsi="Arial" w:cs="Arial"/>
          <w:sz w:val="24"/>
        </w:rPr>
        <w:br w:type="page"/>
      </w:r>
    </w:p>
    <w:p w14:paraId="6AE6C217" w14:textId="52263DFF" w:rsidR="004C4756" w:rsidRDefault="004C4756" w:rsidP="001E2491">
      <w:pPr>
        <w:pStyle w:val="Header"/>
        <w:tabs>
          <w:tab w:val="clear" w:pos="9360"/>
          <w:tab w:val="left" w:pos="1440"/>
        </w:tabs>
        <w:spacing w:before="360" w:after="360"/>
        <w:ind w:right="-90"/>
        <w:jc w:val="center"/>
        <w:rPr>
          <w:rFonts w:cs="Arial"/>
          <w:b/>
          <w:sz w:val="36"/>
          <w:szCs w:val="36"/>
        </w:rPr>
      </w:pPr>
      <w:r>
        <w:rPr>
          <w:rFonts w:cs="Arial"/>
          <w:b/>
          <w:sz w:val="36"/>
          <w:szCs w:val="36"/>
        </w:rPr>
        <w:t>I</w:t>
      </w:r>
      <w:r w:rsidRPr="00480592">
        <w:rPr>
          <w:rFonts w:cs="Arial"/>
          <w:b/>
          <w:sz w:val="36"/>
          <w:szCs w:val="36"/>
        </w:rPr>
        <w:t>nfill Infrastructure Grant Program</w:t>
      </w:r>
    </w:p>
    <w:p w14:paraId="27AF6EB6" w14:textId="7ACBA9FA" w:rsidR="00024400" w:rsidRDefault="00E21309" w:rsidP="001E2491">
      <w:pPr>
        <w:spacing w:after="360" w:line="240" w:lineRule="auto"/>
        <w:ind w:right="-90"/>
        <w:jc w:val="center"/>
        <w:rPr>
          <w:rFonts w:ascii="Arial" w:eastAsia="Times New Roman" w:hAnsi="Arial" w:cs="Arial"/>
          <w:b/>
          <w:bCs/>
          <w:iCs/>
          <w:sz w:val="36"/>
          <w:szCs w:val="36"/>
        </w:rPr>
      </w:pPr>
      <w:r>
        <w:rPr>
          <w:rFonts w:ascii="Arial" w:eastAsia="Times New Roman" w:hAnsi="Arial" w:cs="Arial"/>
          <w:b/>
          <w:bCs/>
          <w:iCs/>
          <w:sz w:val="36"/>
          <w:szCs w:val="36"/>
        </w:rPr>
        <w:t>Round 7</w:t>
      </w:r>
      <w:r w:rsidR="00A06803">
        <w:rPr>
          <w:rFonts w:ascii="Arial" w:eastAsia="Times New Roman" w:hAnsi="Arial" w:cs="Arial"/>
          <w:b/>
          <w:bCs/>
          <w:iCs/>
          <w:sz w:val="36"/>
          <w:szCs w:val="36"/>
        </w:rPr>
        <w:t xml:space="preserve"> </w:t>
      </w:r>
      <w:r w:rsidR="00024400" w:rsidRPr="00024400">
        <w:rPr>
          <w:rFonts w:ascii="Arial" w:eastAsia="Times New Roman" w:hAnsi="Arial" w:cs="Arial"/>
          <w:b/>
          <w:bCs/>
          <w:iCs/>
          <w:sz w:val="36"/>
          <w:szCs w:val="36"/>
        </w:rPr>
        <w:t>Notice of Funding Availability</w:t>
      </w:r>
    </w:p>
    <w:p w14:paraId="2AC57B86" w14:textId="63D3EA5F" w:rsidR="00024400" w:rsidRPr="00024400" w:rsidRDefault="00024400" w:rsidP="001E2491">
      <w:pPr>
        <w:spacing w:before="100" w:beforeAutospacing="1" w:after="120" w:line="240" w:lineRule="auto"/>
        <w:ind w:right="-90"/>
        <w:jc w:val="center"/>
        <w:rPr>
          <w:rFonts w:ascii="Arial" w:eastAsia="Times New Roman" w:hAnsi="Arial" w:cs="Arial"/>
          <w:sz w:val="24"/>
        </w:rPr>
      </w:pPr>
      <w:r>
        <w:rPr>
          <w:noProof/>
        </w:rPr>
        <w:drawing>
          <wp:inline distT="0" distB="0" distL="0" distR="0" wp14:anchorId="6DED2268" wp14:editId="432F6BD0">
            <wp:extent cx="3147060" cy="3012831"/>
            <wp:effectExtent l="0" t="0" r="0" b="0"/>
            <wp:docPr id="1" name="Picture 1" descr="California Department of Housing and Communit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3147060" cy="3012831"/>
                    </a:xfrm>
                    <a:prstGeom prst="rect">
                      <a:avLst/>
                    </a:prstGeom>
                  </pic:spPr>
                </pic:pic>
              </a:graphicData>
            </a:graphic>
          </wp:inline>
        </w:drawing>
      </w:r>
    </w:p>
    <w:p w14:paraId="69FE64CF" w14:textId="20F9AE1A" w:rsidR="009D228E" w:rsidRPr="00024400" w:rsidRDefault="009D228E" w:rsidP="001E2491">
      <w:pPr>
        <w:spacing w:before="480" w:after="0" w:line="240" w:lineRule="auto"/>
        <w:ind w:right="-90"/>
        <w:jc w:val="center"/>
        <w:rPr>
          <w:rFonts w:ascii="Arial" w:eastAsia="Times New Roman" w:hAnsi="Arial" w:cs="Arial"/>
          <w:b/>
          <w:sz w:val="32"/>
          <w:szCs w:val="32"/>
        </w:rPr>
      </w:pPr>
      <w:r>
        <w:rPr>
          <w:rFonts w:ascii="Arial" w:eastAsia="Times New Roman" w:hAnsi="Arial" w:cs="Arial"/>
          <w:b/>
          <w:sz w:val="32"/>
          <w:szCs w:val="32"/>
        </w:rPr>
        <w:t>Gavin Newsom, Governor</w:t>
      </w:r>
    </w:p>
    <w:p w14:paraId="5F6E397B" w14:textId="4AE8CF30" w:rsidR="009D228E" w:rsidRPr="00024400" w:rsidRDefault="009D228E" w:rsidP="00703CEF">
      <w:pPr>
        <w:spacing w:after="200" w:line="240" w:lineRule="auto"/>
        <w:ind w:right="-90"/>
        <w:jc w:val="center"/>
        <w:rPr>
          <w:rFonts w:ascii="Arial" w:eastAsia="Times New Roman" w:hAnsi="Arial" w:cs="Arial"/>
          <w:b/>
          <w:sz w:val="32"/>
          <w:szCs w:val="32"/>
        </w:rPr>
      </w:pPr>
      <w:r>
        <w:rPr>
          <w:rFonts w:ascii="Arial" w:eastAsia="Times New Roman" w:hAnsi="Arial" w:cs="Arial"/>
          <w:b/>
          <w:sz w:val="32"/>
          <w:szCs w:val="32"/>
        </w:rPr>
        <w:t>State of California</w:t>
      </w:r>
    </w:p>
    <w:p w14:paraId="6EE6E38C" w14:textId="441C099F" w:rsidR="00024400" w:rsidRPr="00024400" w:rsidRDefault="00D22057" w:rsidP="00703CEF">
      <w:pPr>
        <w:spacing w:after="0" w:line="240" w:lineRule="auto"/>
        <w:ind w:right="-90"/>
        <w:jc w:val="center"/>
        <w:rPr>
          <w:rFonts w:ascii="Arial" w:eastAsia="Times New Roman" w:hAnsi="Arial" w:cs="Arial"/>
          <w:b/>
          <w:sz w:val="32"/>
          <w:szCs w:val="32"/>
        </w:rPr>
      </w:pPr>
      <w:r>
        <w:rPr>
          <w:rFonts w:ascii="Arial" w:eastAsia="Times New Roman" w:hAnsi="Arial" w:cs="Arial"/>
          <w:b/>
          <w:sz w:val="32"/>
          <w:szCs w:val="32"/>
        </w:rPr>
        <w:t xml:space="preserve">Lourdes </w:t>
      </w:r>
      <w:r w:rsidR="00912FCD">
        <w:rPr>
          <w:rFonts w:ascii="Arial" w:eastAsia="Times New Roman" w:hAnsi="Arial" w:cs="Arial"/>
          <w:b/>
          <w:sz w:val="32"/>
          <w:szCs w:val="32"/>
        </w:rPr>
        <w:t xml:space="preserve">M. </w:t>
      </w:r>
      <w:r>
        <w:rPr>
          <w:rFonts w:ascii="Arial" w:eastAsia="Times New Roman" w:hAnsi="Arial" w:cs="Arial"/>
          <w:b/>
          <w:sz w:val="32"/>
          <w:szCs w:val="32"/>
        </w:rPr>
        <w:t>Castro Ramírez</w:t>
      </w:r>
      <w:r w:rsidR="00024400" w:rsidRPr="00024400">
        <w:rPr>
          <w:rFonts w:ascii="Arial" w:eastAsia="Times New Roman" w:hAnsi="Arial" w:cs="Arial"/>
          <w:b/>
          <w:sz w:val="32"/>
          <w:szCs w:val="32"/>
        </w:rPr>
        <w:t>, Secretary</w:t>
      </w:r>
    </w:p>
    <w:p w14:paraId="2AB45B83" w14:textId="77777777" w:rsidR="00024400" w:rsidRPr="00024400" w:rsidRDefault="00024400" w:rsidP="00703CEF">
      <w:pPr>
        <w:spacing w:after="200" w:line="240" w:lineRule="auto"/>
        <w:ind w:right="-90"/>
        <w:jc w:val="center"/>
        <w:rPr>
          <w:rFonts w:ascii="Arial" w:eastAsia="Times New Roman" w:hAnsi="Arial" w:cs="Arial"/>
          <w:b/>
          <w:sz w:val="32"/>
          <w:szCs w:val="32"/>
        </w:rPr>
      </w:pPr>
      <w:r w:rsidRPr="00024400">
        <w:rPr>
          <w:rFonts w:ascii="Arial" w:eastAsia="Times New Roman" w:hAnsi="Arial" w:cs="Arial"/>
          <w:b/>
          <w:sz w:val="32"/>
          <w:szCs w:val="32"/>
        </w:rPr>
        <w:t>Business, Consumer Services and Housing Agency</w:t>
      </w:r>
    </w:p>
    <w:p w14:paraId="6427688F" w14:textId="2ACAD6D2" w:rsidR="00024400" w:rsidRPr="00024400" w:rsidRDefault="001C4ED7" w:rsidP="00703CEF">
      <w:pPr>
        <w:spacing w:after="0" w:line="240" w:lineRule="auto"/>
        <w:ind w:right="-90"/>
        <w:jc w:val="center"/>
        <w:rPr>
          <w:rFonts w:ascii="Arial" w:eastAsia="Times New Roman" w:hAnsi="Arial" w:cs="Arial"/>
          <w:b/>
          <w:sz w:val="32"/>
          <w:szCs w:val="32"/>
        </w:rPr>
      </w:pPr>
      <w:r>
        <w:rPr>
          <w:rFonts w:ascii="Arial" w:eastAsia="Times New Roman" w:hAnsi="Arial" w:cs="Arial"/>
          <w:b/>
          <w:sz w:val="32"/>
          <w:szCs w:val="32"/>
        </w:rPr>
        <w:t>Gustavo Velasquez</w:t>
      </w:r>
      <w:r w:rsidR="00024400" w:rsidRPr="00024400">
        <w:rPr>
          <w:rFonts w:ascii="Arial" w:eastAsia="Times New Roman" w:hAnsi="Arial" w:cs="Arial"/>
          <w:b/>
          <w:sz w:val="32"/>
          <w:szCs w:val="32"/>
        </w:rPr>
        <w:t>, Director</w:t>
      </w:r>
    </w:p>
    <w:p w14:paraId="56E32A16" w14:textId="2DCD87AB" w:rsidR="00024400" w:rsidRPr="00024400" w:rsidRDefault="00703CEF" w:rsidP="00703CEF">
      <w:pPr>
        <w:spacing w:after="360" w:line="240" w:lineRule="auto"/>
        <w:ind w:left="-360" w:right="-540"/>
        <w:jc w:val="center"/>
        <w:rPr>
          <w:rFonts w:ascii="Arial" w:eastAsia="Times New Roman" w:hAnsi="Arial" w:cs="Arial"/>
          <w:b/>
          <w:sz w:val="32"/>
          <w:szCs w:val="32"/>
        </w:rPr>
      </w:pPr>
      <w:r>
        <w:rPr>
          <w:rFonts w:ascii="Arial" w:eastAsia="Times New Roman" w:hAnsi="Arial" w:cs="Arial"/>
          <w:b/>
          <w:sz w:val="32"/>
          <w:szCs w:val="32"/>
        </w:rPr>
        <w:t xml:space="preserve">California </w:t>
      </w:r>
      <w:r w:rsidR="00024400" w:rsidRPr="00024400">
        <w:rPr>
          <w:rFonts w:ascii="Arial" w:eastAsia="Times New Roman" w:hAnsi="Arial" w:cs="Arial"/>
          <w:b/>
          <w:sz w:val="32"/>
          <w:szCs w:val="32"/>
        </w:rPr>
        <w:t>Department of Housing and Community Development</w:t>
      </w:r>
    </w:p>
    <w:p w14:paraId="1D05441A" w14:textId="77777777" w:rsidR="00024400" w:rsidRPr="00024400" w:rsidRDefault="00024400" w:rsidP="00703CEF">
      <w:pPr>
        <w:widowControl w:val="0"/>
        <w:numPr>
          <w:ilvl w:val="12"/>
          <w:numId w:val="0"/>
        </w:numPr>
        <w:spacing w:after="0" w:line="240" w:lineRule="auto"/>
        <w:ind w:right="-90"/>
        <w:jc w:val="center"/>
        <w:rPr>
          <w:rFonts w:ascii="Arial" w:eastAsia="Times New Roman" w:hAnsi="Arial" w:cs="Arial"/>
          <w:sz w:val="24"/>
        </w:rPr>
      </w:pPr>
      <w:r w:rsidRPr="00024400">
        <w:rPr>
          <w:rFonts w:ascii="Arial" w:eastAsia="Times New Roman" w:hAnsi="Arial" w:cs="Arial"/>
          <w:sz w:val="24"/>
        </w:rPr>
        <w:t>2020 West El Camino Avenue, Suite 500, Sacramento, CA 95833</w:t>
      </w:r>
    </w:p>
    <w:p w14:paraId="6E1251B7" w14:textId="429FF514" w:rsidR="00024400" w:rsidRPr="00024400" w:rsidRDefault="00024400" w:rsidP="00703CEF">
      <w:pPr>
        <w:widowControl w:val="0"/>
        <w:numPr>
          <w:ilvl w:val="12"/>
          <w:numId w:val="0"/>
        </w:numPr>
        <w:spacing w:after="0" w:line="240" w:lineRule="auto"/>
        <w:ind w:right="-90"/>
        <w:jc w:val="center"/>
        <w:rPr>
          <w:rFonts w:ascii="Arial" w:eastAsia="Times New Roman" w:hAnsi="Arial" w:cs="Arial"/>
          <w:sz w:val="24"/>
        </w:rPr>
      </w:pPr>
      <w:r w:rsidRPr="00024400">
        <w:rPr>
          <w:rFonts w:ascii="Arial" w:eastAsia="Times New Roman" w:hAnsi="Arial" w:cs="Arial"/>
          <w:sz w:val="24"/>
        </w:rPr>
        <w:t xml:space="preserve">Telephone: </w:t>
      </w:r>
      <w:r w:rsidRPr="00024400">
        <w:rPr>
          <w:rFonts w:ascii="Arial" w:eastAsia="Times New Roman" w:hAnsi="Arial" w:cs="Arial"/>
          <w:sz w:val="24"/>
          <w:szCs w:val="24"/>
        </w:rPr>
        <w:t>(916) 263-2771</w:t>
      </w:r>
    </w:p>
    <w:p w14:paraId="3130B5B1" w14:textId="6FABD8D7" w:rsidR="007B00D4" w:rsidRPr="001E2491" w:rsidRDefault="00024400" w:rsidP="001E2491">
      <w:pPr>
        <w:pStyle w:val="Header"/>
        <w:tabs>
          <w:tab w:val="clear" w:pos="9360"/>
          <w:tab w:val="left" w:pos="1440"/>
        </w:tabs>
        <w:spacing w:after="240"/>
        <w:ind w:right="-90"/>
        <w:jc w:val="center"/>
        <w:rPr>
          <w:u w:val="single"/>
        </w:rPr>
      </w:pPr>
      <w:r w:rsidRPr="00024400">
        <w:rPr>
          <w:rFonts w:cs="Arial"/>
        </w:rPr>
        <w:t xml:space="preserve">Website: </w:t>
      </w:r>
      <w:hyperlink r:id="rId18" w:history="1">
        <w:r w:rsidR="00C25666" w:rsidRPr="00902DA5">
          <w:rPr>
            <w:rStyle w:val="Hyperlink"/>
          </w:rPr>
          <w:t>www.hcd.ca.gov/grants-funding/active-funding/iigp.shtml</w:t>
        </w:r>
      </w:hyperlink>
    </w:p>
    <w:p w14:paraId="7114AD06" w14:textId="77777777" w:rsidR="007B00D4" w:rsidRDefault="004C4756" w:rsidP="00703CEF">
      <w:pPr>
        <w:pStyle w:val="Header"/>
        <w:tabs>
          <w:tab w:val="clear" w:pos="9360"/>
          <w:tab w:val="left" w:pos="1440"/>
        </w:tabs>
        <w:ind w:right="-90"/>
        <w:jc w:val="center"/>
        <w:rPr>
          <w:rFonts w:cs="Arial"/>
          <w:szCs w:val="24"/>
        </w:rPr>
      </w:pPr>
      <w:r>
        <w:rPr>
          <w:rFonts w:cs="Arial"/>
          <w:szCs w:val="24"/>
        </w:rPr>
        <w:t>Infill Infrastructure Grant</w:t>
      </w:r>
      <w:r w:rsidRPr="00E06599">
        <w:rPr>
          <w:rFonts w:cs="Arial"/>
          <w:szCs w:val="24"/>
        </w:rPr>
        <w:t xml:space="preserve"> Program </w:t>
      </w:r>
    </w:p>
    <w:p w14:paraId="123EE8EE" w14:textId="2EAA9FC0" w:rsidR="00024400" w:rsidRPr="001E2491" w:rsidRDefault="007B00D4" w:rsidP="001E2491">
      <w:pPr>
        <w:pStyle w:val="Header"/>
        <w:tabs>
          <w:tab w:val="clear" w:pos="9360"/>
          <w:tab w:val="left" w:pos="1440"/>
        </w:tabs>
        <w:spacing w:after="240"/>
        <w:ind w:right="-90"/>
        <w:jc w:val="center"/>
        <w:rPr>
          <w:rFonts w:cs="Arial"/>
          <w:b/>
          <w:bCs/>
          <w:szCs w:val="24"/>
        </w:rPr>
      </w:pPr>
      <w:r>
        <w:rPr>
          <w:rFonts w:cs="Arial"/>
          <w:szCs w:val="24"/>
        </w:rPr>
        <w:t>E</w:t>
      </w:r>
      <w:r w:rsidR="004C4756" w:rsidRPr="00E06599">
        <w:rPr>
          <w:rFonts w:cs="Arial"/>
          <w:szCs w:val="24"/>
        </w:rPr>
        <w:t xml:space="preserve">mail: </w:t>
      </w:r>
      <w:hyperlink r:id="rId19" w:history="1">
        <w:r w:rsidR="00C25666">
          <w:rPr>
            <w:rStyle w:val="Hyperlink"/>
            <w:rFonts w:cs="Arial"/>
            <w:szCs w:val="24"/>
          </w:rPr>
          <w:t>infill@hcd.ca.gov</w:t>
        </w:r>
      </w:hyperlink>
    </w:p>
    <w:p w14:paraId="1110C1F1" w14:textId="77777777" w:rsidR="00003784" w:rsidRDefault="00003784" w:rsidP="1F29C3BF">
      <w:pPr>
        <w:overflowPunct w:val="0"/>
        <w:autoSpaceDE w:val="0"/>
        <w:autoSpaceDN w:val="0"/>
        <w:adjustRightInd w:val="0"/>
        <w:spacing w:after="0" w:line="276" w:lineRule="auto"/>
        <w:ind w:right="-90"/>
        <w:contextualSpacing/>
        <w:jc w:val="center"/>
        <w:textAlignment w:val="baseline"/>
        <w:outlineLvl w:val="0"/>
        <w:rPr>
          <w:rFonts w:ascii="Arial" w:eastAsia="Calibri" w:hAnsi="Arial" w:cs="Arial"/>
          <w:b/>
          <w:bCs/>
          <w:color w:val="000000" w:themeColor="text1"/>
          <w:sz w:val="24"/>
          <w:szCs w:val="24"/>
        </w:rPr>
      </w:pPr>
      <w:bookmarkStart w:id="14" w:name="_Toc71194281"/>
      <w:bookmarkStart w:id="15" w:name="_Toc71200920"/>
      <w:bookmarkStart w:id="16" w:name="_Toc71201534"/>
    </w:p>
    <w:p w14:paraId="2B22AB9F" w14:textId="77777777" w:rsidR="00003784" w:rsidRDefault="00003784" w:rsidP="1F29C3BF">
      <w:pPr>
        <w:overflowPunct w:val="0"/>
        <w:autoSpaceDE w:val="0"/>
        <w:autoSpaceDN w:val="0"/>
        <w:adjustRightInd w:val="0"/>
        <w:spacing w:after="0" w:line="276" w:lineRule="auto"/>
        <w:ind w:right="-90"/>
        <w:contextualSpacing/>
        <w:jc w:val="center"/>
        <w:textAlignment w:val="baseline"/>
        <w:outlineLvl w:val="0"/>
        <w:rPr>
          <w:rFonts w:ascii="Arial" w:eastAsia="Calibri" w:hAnsi="Arial" w:cs="Arial"/>
          <w:b/>
          <w:bCs/>
          <w:color w:val="000000" w:themeColor="text1"/>
          <w:sz w:val="24"/>
          <w:szCs w:val="24"/>
        </w:rPr>
      </w:pPr>
    </w:p>
    <w:p w14:paraId="672E7473" w14:textId="77777777" w:rsidR="00003784" w:rsidRDefault="00003784" w:rsidP="1F29C3BF">
      <w:pPr>
        <w:overflowPunct w:val="0"/>
        <w:autoSpaceDE w:val="0"/>
        <w:autoSpaceDN w:val="0"/>
        <w:adjustRightInd w:val="0"/>
        <w:spacing w:after="0" w:line="276" w:lineRule="auto"/>
        <w:ind w:right="-90"/>
        <w:contextualSpacing/>
        <w:jc w:val="center"/>
        <w:textAlignment w:val="baseline"/>
        <w:outlineLvl w:val="0"/>
        <w:rPr>
          <w:rFonts w:ascii="Arial" w:eastAsia="Calibri" w:hAnsi="Arial" w:cs="Arial"/>
          <w:b/>
          <w:bCs/>
          <w:color w:val="000000" w:themeColor="text1"/>
          <w:sz w:val="24"/>
          <w:szCs w:val="24"/>
        </w:rPr>
      </w:pPr>
    </w:p>
    <w:p w14:paraId="796381C4" w14:textId="77777777" w:rsidR="00003784" w:rsidRDefault="00003784" w:rsidP="1F29C3BF">
      <w:pPr>
        <w:overflowPunct w:val="0"/>
        <w:autoSpaceDE w:val="0"/>
        <w:autoSpaceDN w:val="0"/>
        <w:adjustRightInd w:val="0"/>
        <w:spacing w:after="0" w:line="276" w:lineRule="auto"/>
        <w:ind w:right="-90"/>
        <w:contextualSpacing/>
        <w:jc w:val="center"/>
        <w:textAlignment w:val="baseline"/>
        <w:outlineLvl w:val="0"/>
        <w:rPr>
          <w:rFonts w:ascii="Arial" w:eastAsia="Calibri" w:hAnsi="Arial" w:cs="Arial"/>
          <w:b/>
          <w:bCs/>
          <w:color w:val="000000" w:themeColor="text1"/>
          <w:sz w:val="24"/>
          <w:szCs w:val="24"/>
        </w:rPr>
      </w:pPr>
    </w:p>
    <w:p w14:paraId="3B4F72E4" w14:textId="31505E37" w:rsidR="001E2491" w:rsidRDefault="53D80DA1" w:rsidP="1F29C3BF">
      <w:pPr>
        <w:overflowPunct w:val="0"/>
        <w:autoSpaceDE w:val="0"/>
        <w:autoSpaceDN w:val="0"/>
        <w:adjustRightInd w:val="0"/>
        <w:spacing w:after="0" w:line="276" w:lineRule="auto"/>
        <w:ind w:right="-90"/>
        <w:contextualSpacing/>
        <w:jc w:val="center"/>
        <w:textAlignment w:val="baseline"/>
        <w:outlineLvl w:val="0"/>
        <w:rPr>
          <w:rFonts w:ascii="Arial" w:eastAsia="Calibri" w:hAnsi="Arial" w:cs="Arial"/>
          <w:b/>
          <w:bCs/>
          <w:color w:val="000000" w:themeColor="text1"/>
          <w:sz w:val="24"/>
          <w:szCs w:val="24"/>
        </w:rPr>
      </w:pPr>
      <w:r w:rsidRPr="001C0FE6">
        <w:rPr>
          <w:rFonts w:ascii="Arial" w:eastAsia="Calibri" w:hAnsi="Arial" w:cs="Arial"/>
          <w:b/>
          <w:bCs/>
          <w:color w:val="000000" w:themeColor="text1"/>
          <w:sz w:val="24"/>
          <w:szCs w:val="24"/>
        </w:rPr>
        <w:t xml:space="preserve">May </w:t>
      </w:r>
      <w:r w:rsidR="00FA1465">
        <w:rPr>
          <w:rFonts w:ascii="Arial" w:eastAsia="Calibri" w:hAnsi="Arial" w:cs="Arial"/>
          <w:b/>
          <w:bCs/>
          <w:color w:val="000000" w:themeColor="text1"/>
          <w:sz w:val="24"/>
          <w:szCs w:val="24"/>
        </w:rPr>
        <w:t>12</w:t>
      </w:r>
      <w:r w:rsidRPr="001C0FE6">
        <w:rPr>
          <w:rFonts w:ascii="Arial" w:eastAsia="Calibri" w:hAnsi="Arial" w:cs="Arial"/>
          <w:b/>
          <w:bCs/>
          <w:color w:val="000000" w:themeColor="text1"/>
          <w:sz w:val="24"/>
          <w:szCs w:val="24"/>
        </w:rPr>
        <w:t>, 2021</w:t>
      </w:r>
      <w:bookmarkEnd w:id="14"/>
      <w:bookmarkEnd w:id="15"/>
      <w:bookmarkEnd w:id="16"/>
    </w:p>
    <w:p w14:paraId="6130A3CE" w14:textId="48DC6F49" w:rsidR="000B3808" w:rsidRPr="00AC4C04" w:rsidRDefault="001E2491" w:rsidP="00AC4C04">
      <w:pPr>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br w:type="page"/>
      </w:r>
    </w:p>
    <w:p w14:paraId="1DE511A9" w14:textId="291EDE6E" w:rsidR="00024400" w:rsidRDefault="00024400" w:rsidP="002D20A6">
      <w:pPr>
        <w:overflowPunct w:val="0"/>
        <w:autoSpaceDE w:val="0"/>
        <w:autoSpaceDN w:val="0"/>
        <w:adjustRightInd w:val="0"/>
        <w:spacing w:after="0"/>
        <w:ind w:left="720"/>
        <w:contextualSpacing/>
        <w:jc w:val="center"/>
        <w:textAlignment w:val="baseline"/>
        <w:rPr>
          <w:rFonts w:ascii="Arial" w:eastAsia="Times New Roman" w:hAnsi="Arial" w:cs="Arial"/>
          <w:b/>
          <w:sz w:val="24"/>
          <w:szCs w:val="20"/>
        </w:rPr>
      </w:pPr>
      <w:bookmarkStart w:id="17" w:name="_Hlk53747447"/>
      <w:bookmarkEnd w:id="3"/>
      <w:bookmarkEnd w:id="4"/>
      <w:bookmarkEnd w:id="5"/>
      <w:bookmarkEnd w:id="6"/>
      <w:bookmarkEnd w:id="7"/>
      <w:bookmarkEnd w:id="8"/>
    </w:p>
    <w:bookmarkEnd w:id="17" w:displacedByCustomXml="next"/>
    <w:sdt>
      <w:sdtPr>
        <w:id w:val="2056348277"/>
        <w:docPartObj>
          <w:docPartGallery w:val="Table of Contents"/>
          <w:docPartUnique/>
        </w:docPartObj>
      </w:sdtPr>
      <w:sdtEndPr>
        <w:rPr>
          <w:b/>
          <w:bCs/>
          <w:noProof/>
        </w:rPr>
      </w:sdtEndPr>
      <w:sdtContent>
        <w:p w14:paraId="7E16A437" w14:textId="4DCBFB94" w:rsidR="00AC4C04" w:rsidRPr="00AC4C04" w:rsidRDefault="00AC4C04" w:rsidP="00AC4C04">
          <w:pPr>
            <w:overflowPunct w:val="0"/>
            <w:autoSpaceDE w:val="0"/>
            <w:autoSpaceDN w:val="0"/>
            <w:adjustRightInd w:val="0"/>
            <w:spacing w:after="0"/>
            <w:ind w:left="720"/>
            <w:contextualSpacing/>
            <w:jc w:val="center"/>
            <w:textAlignment w:val="baseline"/>
            <w:rPr>
              <w:rFonts w:ascii="Arial" w:eastAsia="Times New Roman" w:hAnsi="Arial" w:cs="Arial"/>
              <w:b/>
              <w:noProof/>
              <w:sz w:val="24"/>
              <w:szCs w:val="20"/>
            </w:rPr>
          </w:pPr>
          <w:r w:rsidRPr="00024400">
            <w:rPr>
              <w:rFonts w:ascii="Arial" w:eastAsia="Times New Roman" w:hAnsi="Arial" w:cs="Arial"/>
              <w:b/>
              <w:sz w:val="24"/>
              <w:szCs w:val="20"/>
            </w:rPr>
            <w:t>Table of Contents</w:t>
          </w:r>
          <w:r>
            <w:rPr>
              <w:rFonts w:ascii="Arial" w:eastAsia="Times New Roman" w:hAnsi="Arial" w:cs="Arial"/>
              <w:noProof/>
              <w:sz w:val="24"/>
              <w:szCs w:val="24"/>
            </w:rPr>
            <w:fldChar w:fldCharType="begin"/>
          </w:r>
          <w:r>
            <w:rPr>
              <w:rFonts w:ascii="Arial" w:eastAsia="Times New Roman" w:hAnsi="Arial" w:cs="Arial"/>
              <w:noProof/>
              <w:sz w:val="24"/>
              <w:szCs w:val="24"/>
            </w:rPr>
            <w:instrText xml:space="preserve"> TOC \o "1-2" \h \z \u </w:instrText>
          </w:r>
          <w:r>
            <w:rPr>
              <w:rFonts w:ascii="Arial" w:eastAsia="Times New Roman" w:hAnsi="Arial" w:cs="Arial"/>
              <w:noProof/>
              <w:sz w:val="24"/>
              <w:szCs w:val="24"/>
            </w:rPr>
            <w:fldChar w:fldCharType="separate"/>
          </w:r>
        </w:p>
        <w:p w14:paraId="45A6D0E9" w14:textId="07AF98D3" w:rsidR="00AC4C04" w:rsidRPr="002412D3" w:rsidRDefault="003911CC">
          <w:pPr>
            <w:pStyle w:val="TOC1"/>
            <w:rPr>
              <w:rFonts w:eastAsiaTheme="minorEastAsia" w:cs="Arial"/>
              <w:b w:val="0"/>
              <w:bCs w:val="0"/>
            </w:rPr>
          </w:pPr>
          <w:hyperlink w:anchor="_Toc71201535" w:history="1">
            <w:r w:rsidR="00AC4C04" w:rsidRPr="002412D3">
              <w:rPr>
                <w:rStyle w:val="Hyperlink"/>
                <w:rFonts w:cs="Arial"/>
                <w:b w:val="0"/>
                <w:bCs w:val="0"/>
              </w:rPr>
              <w:t>I.</w:t>
            </w:r>
            <w:r w:rsidR="00AC4C04" w:rsidRPr="002412D3">
              <w:rPr>
                <w:rFonts w:eastAsiaTheme="minorEastAsia" w:cs="Arial"/>
                <w:b w:val="0"/>
                <w:bCs w:val="0"/>
              </w:rPr>
              <w:tab/>
            </w:r>
            <w:r w:rsidR="00AC4C04" w:rsidRPr="002412D3">
              <w:rPr>
                <w:rStyle w:val="Hyperlink"/>
                <w:rFonts w:cs="Arial"/>
                <w:b w:val="0"/>
                <w:bCs w:val="0"/>
              </w:rPr>
              <w:t>Overview</w:t>
            </w:r>
            <w:r w:rsidR="00AC4C04" w:rsidRPr="002412D3">
              <w:rPr>
                <w:rFonts w:cs="Arial"/>
                <w:b w:val="0"/>
                <w:bCs w:val="0"/>
                <w:webHidden/>
              </w:rPr>
              <w:tab/>
            </w:r>
            <w:r w:rsidR="00AC4C04" w:rsidRPr="002412D3">
              <w:rPr>
                <w:rFonts w:cs="Arial"/>
                <w:b w:val="0"/>
                <w:bCs w:val="0"/>
                <w:webHidden/>
              </w:rPr>
              <w:fldChar w:fldCharType="begin"/>
            </w:r>
            <w:r w:rsidR="00AC4C04" w:rsidRPr="002412D3">
              <w:rPr>
                <w:rFonts w:cs="Arial"/>
                <w:b w:val="0"/>
                <w:bCs w:val="0"/>
                <w:webHidden/>
              </w:rPr>
              <w:instrText xml:space="preserve"> PAGEREF _Toc71201535 \h </w:instrText>
            </w:r>
            <w:r w:rsidR="00AC4C04" w:rsidRPr="002412D3">
              <w:rPr>
                <w:rFonts w:cs="Arial"/>
                <w:b w:val="0"/>
                <w:bCs w:val="0"/>
                <w:webHidden/>
              </w:rPr>
            </w:r>
            <w:r w:rsidR="00AC4C04" w:rsidRPr="002412D3">
              <w:rPr>
                <w:rFonts w:cs="Arial"/>
                <w:b w:val="0"/>
                <w:bCs w:val="0"/>
                <w:webHidden/>
              </w:rPr>
              <w:fldChar w:fldCharType="separate"/>
            </w:r>
            <w:r w:rsidR="00AC4C04" w:rsidRPr="002412D3">
              <w:rPr>
                <w:rFonts w:cs="Arial"/>
                <w:b w:val="0"/>
                <w:bCs w:val="0"/>
                <w:webHidden/>
              </w:rPr>
              <w:t>1</w:t>
            </w:r>
            <w:r w:rsidR="00AC4C04" w:rsidRPr="002412D3">
              <w:rPr>
                <w:rFonts w:cs="Arial"/>
                <w:b w:val="0"/>
                <w:bCs w:val="0"/>
                <w:webHidden/>
              </w:rPr>
              <w:fldChar w:fldCharType="end"/>
            </w:r>
          </w:hyperlink>
        </w:p>
        <w:p w14:paraId="2BA94919" w14:textId="2265460D" w:rsidR="00AC4C04" w:rsidRPr="002412D3" w:rsidRDefault="003911CC">
          <w:pPr>
            <w:pStyle w:val="TOC2"/>
            <w:rPr>
              <w:rFonts w:ascii="Arial" w:eastAsiaTheme="minorEastAsia" w:hAnsi="Arial" w:cs="Arial"/>
              <w:b w:val="0"/>
              <w:bCs w:val="0"/>
              <w:noProof/>
              <w:sz w:val="24"/>
              <w:szCs w:val="24"/>
            </w:rPr>
          </w:pPr>
          <w:hyperlink w:anchor="_Toc71201536" w:history="1">
            <w:r w:rsidR="00AC4C04" w:rsidRPr="002412D3">
              <w:rPr>
                <w:rStyle w:val="Hyperlink"/>
                <w:rFonts w:ascii="Arial" w:hAnsi="Arial" w:cs="Arial"/>
                <w:b w:val="0"/>
                <w:bCs w:val="0"/>
                <w:noProof/>
                <w:sz w:val="24"/>
                <w:szCs w:val="24"/>
              </w:rPr>
              <w:t>A.</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Notice of Funding Availability (NOFA)</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_Toc71201536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1</w:t>
            </w:r>
            <w:r w:rsidR="00AC4C04" w:rsidRPr="002412D3">
              <w:rPr>
                <w:rFonts w:ascii="Arial" w:hAnsi="Arial" w:cs="Arial"/>
                <w:b w:val="0"/>
                <w:bCs w:val="0"/>
                <w:noProof/>
                <w:webHidden/>
                <w:sz w:val="24"/>
                <w:szCs w:val="24"/>
              </w:rPr>
              <w:fldChar w:fldCharType="end"/>
            </w:r>
          </w:hyperlink>
        </w:p>
        <w:p w14:paraId="1865FE61" w14:textId="1E08A582" w:rsidR="00AC4C04" w:rsidRPr="002412D3" w:rsidRDefault="003911CC">
          <w:pPr>
            <w:pStyle w:val="TOC2"/>
            <w:rPr>
              <w:rFonts w:ascii="Arial" w:eastAsiaTheme="minorEastAsia" w:hAnsi="Arial" w:cs="Arial"/>
              <w:b w:val="0"/>
              <w:bCs w:val="0"/>
              <w:noProof/>
              <w:sz w:val="24"/>
              <w:szCs w:val="24"/>
            </w:rPr>
          </w:pPr>
          <w:hyperlink w:anchor="_Toc71201537" w:history="1">
            <w:r w:rsidR="00AC4C04" w:rsidRPr="002412D3">
              <w:rPr>
                <w:rStyle w:val="Hyperlink"/>
                <w:rFonts w:ascii="Arial" w:hAnsi="Arial" w:cs="Arial"/>
                <w:b w:val="0"/>
                <w:bCs w:val="0"/>
                <w:noProof/>
                <w:sz w:val="24"/>
                <w:szCs w:val="24"/>
              </w:rPr>
              <w:t>B.</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Timeline</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_Toc71201537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1</w:t>
            </w:r>
            <w:r w:rsidR="00AC4C04" w:rsidRPr="002412D3">
              <w:rPr>
                <w:rFonts w:ascii="Arial" w:hAnsi="Arial" w:cs="Arial"/>
                <w:b w:val="0"/>
                <w:bCs w:val="0"/>
                <w:noProof/>
                <w:webHidden/>
                <w:sz w:val="24"/>
                <w:szCs w:val="24"/>
              </w:rPr>
              <w:fldChar w:fldCharType="end"/>
            </w:r>
          </w:hyperlink>
        </w:p>
        <w:p w14:paraId="1BDC8EDB" w14:textId="52E1990A" w:rsidR="00AC4C04" w:rsidRPr="002412D3" w:rsidRDefault="003911CC">
          <w:pPr>
            <w:pStyle w:val="TOC2"/>
            <w:rPr>
              <w:rFonts w:ascii="Arial" w:eastAsiaTheme="minorEastAsia" w:hAnsi="Arial" w:cs="Arial"/>
              <w:b w:val="0"/>
              <w:bCs w:val="0"/>
              <w:noProof/>
              <w:sz w:val="24"/>
              <w:szCs w:val="24"/>
            </w:rPr>
          </w:pPr>
          <w:hyperlink w:anchor="_Toc71201538" w:history="1">
            <w:r w:rsidR="00AC4C04" w:rsidRPr="002412D3">
              <w:rPr>
                <w:rStyle w:val="Hyperlink"/>
                <w:rFonts w:ascii="Arial" w:hAnsi="Arial" w:cs="Arial"/>
                <w:b w:val="0"/>
                <w:bCs w:val="0"/>
                <w:noProof/>
                <w:sz w:val="24"/>
                <w:szCs w:val="24"/>
              </w:rPr>
              <w:t>C.</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What’s new in this NOFA and Guidelines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_Toc71201538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1</w:t>
            </w:r>
            <w:r w:rsidR="00AC4C04" w:rsidRPr="002412D3">
              <w:rPr>
                <w:rFonts w:ascii="Arial" w:hAnsi="Arial" w:cs="Arial"/>
                <w:b w:val="0"/>
                <w:bCs w:val="0"/>
                <w:noProof/>
                <w:webHidden/>
                <w:sz w:val="24"/>
                <w:szCs w:val="24"/>
              </w:rPr>
              <w:fldChar w:fldCharType="end"/>
            </w:r>
          </w:hyperlink>
        </w:p>
        <w:p w14:paraId="77612333" w14:textId="5850ED40" w:rsidR="00AC4C04" w:rsidRPr="002412D3" w:rsidRDefault="003911CC">
          <w:pPr>
            <w:pStyle w:val="TOC2"/>
            <w:rPr>
              <w:rFonts w:ascii="Arial" w:eastAsiaTheme="minorEastAsia" w:hAnsi="Arial" w:cs="Arial"/>
              <w:b w:val="0"/>
              <w:bCs w:val="0"/>
              <w:noProof/>
              <w:sz w:val="24"/>
              <w:szCs w:val="24"/>
            </w:rPr>
          </w:pPr>
          <w:hyperlink w:anchor="_Toc71201539" w:history="1">
            <w:r w:rsidR="00AC4C04" w:rsidRPr="002412D3">
              <w:rPr>
                <w:rStyle w:val="Hyperlink"/>
                <w:rFonts w:ascii="Arial" w:hAnsi="Arial" w:cs="Arial"/>
                <w:b w:val="0"/>
                <w:bCs w:val="0"/>
                <w:noProof/>
                <w:sz w:val="24"/>
                <w:szCs w:val="24"/>
              </w:rPr>
              <w:t>D.</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Authorizing Legislation and Guidelines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_Toc71201539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3</w:t>
            </w:r>
            <w:r w:rsidR="00AC4C04" w:rsidRPr="002412D3">
              <w:rPr>
                <w:rFonts w:ascii="Arial" w:hAnsi="Arial" w:cs="Arial"/>
                <w:b w:val="0"/>
                <w:bCs w:val="0"/>
                <w:noProof/>
                <w:webHidden/>
                <w:sz w:val="24"/>
                <w:szCs w:val="24"/>
              </w:rPr>
              <w:fldChar w:fldCharType="end"/>
            </w:r>
          </w:hyperlink>
        </w:p>
        <w:p w14:paraId="64904BD8" w14:textId="307AA64A" w:rsidR="00AC4C04" w:rsidRPr="002412D3" w:rsidRDefault="003911CC">
          <w:pPr>
            <w:pStyle w:val="TOC1"/>
            <w:rPr>
              <w:rFonts w:eastAsiaTheme="minorEastAsia" w:cs="Arial"/>
              <w:b w:val="0"/>
              <w:bCs w:val="0"/>
            </w:rPr>
          </w:pPr>
          <w:hyperlink w:anchor="_Toc71201540" w:history="1">
            <w:r w:rsidR="00AC4C04" w:rsidRPr="002412D3">
              <w:rPr>
                <w:rStyle w:val="Hyperlink"/>
                <w:rFonts w:cs="Arial"/>
                <w:b w:val="0"/>
                <w:bCs w:val="0"/>
              </w:rPr>
              <w:t>II.</w:t>
            </w:r>
            <w:r w:rsidR="00AC4C04" w:rsidRPr="002412D3">
              <w:rPr>
                <w:rFonts w:eastAsiaTheme="minorEastAsia" w:cs="Arial"/>
                <w:b w:val="0"/>
                <w:bCs w:val="0"/>
              </w:rPr>
              <w:tab/>
            </w:r>
            <w:r w:rsidR="00AC4C04" w:rsidRPr="002412D3">
              <w:rPr>
                <w:rStyle w:val="Hyperlink"/>
                <w:rFonts w:cs="Arial"/>
                <w:b w:val="0"/>
                <w:bCs w:val="0"/>
              </w:rPr>
              <w:t>Program requirements</w:t>
            </w:r>
            <w:r w:rsidR="00AC4C04" w:rsidRPr="002412D3">
              <w:rPr>
                <w:rFonts w:cs="Arial"/>
                <w:b w:val="0"/>
                <w:bCs w:val="0"/>
                <w:webHidden/>
              </w:rPr>
              <w:tab/>
            </w:r>
            <w:r w:rsidR="00AC4C04" w:rsidRPr="002412D3">
              <w:rPr>
                <w:rFonts w:cs="Arial"/>
                <w:b w:val="0"/>
                <w:bCs w:val="0"/>
                <w:webHidden/>
              </w:rPr>
              <w:fldChar w:fldCharType="begin"/>
            </w:r>
            <w:r w:rsidR="00AC4C04" w:rsidRPr="002412D3">
              <w:rPr>
                <w:rFonts w:cs="Arial"/>
                <w:b w:val="0"/>
                <w:bCs w:val="0"/>
                <w:webHidden/>
              </w:rPr>
              <w:instrText xml:space="preserve"> PAGEREF _Toc71201540 \h </w:instrText>
            </w:r>
            <w:r w:rsidR="00AC4C04" w:rsidRPr="002412D3">
              <w:rPr>
                <w:rFonts w:cs="Arial"/>
                <w:b w:val="0"/>
                <w:bCs w:val="0"/>
                <w:webHidden/>
              </w:rPr>
            </w:r>
            <w:r w:rsidR="00AC4C04" w:rsidRPr="002412D3">
              <w:rPr>
                <w:rFonts w:cs="Arial"/>
                <w:b w:val="0"/>
                <w:bCs w:val="0"/>
                <w:webHidden/>
              </w:rPr>
              <w:fldChar w:fldCharType="separate"/>
            </w:r>
            <w:r w:rsidR="00AC4C04" w:rsidRPr="002412D3">
              <w:rPr>
                <w:rFonts w:cs="Arial"/>
                <w:b w:val="0"/>
                <w:bCs w:val="0"/>
                <w:webHidden/>
              </w:rPr>
              <w:t>4</w:t>
            </w:r>
            <w:r w:rsidR="00AC4C04" w:rsidRPr="002412D3">
              <w:rPr>
                <w:rFonts w:cs="Arial"/>
                <w:b w:val="0"/>
                <w:bCs w:val="0"/>
                <w:webHidden/>
              </w:rPr>
              <w:fldChar w:fldCharType="end"/>
            </w:r>
          </w:hyperlink>
        </w:p>
        <w:p w14:paraId="0EBA821A" w14:textId="72C045A4" w:rsidR="00AC4C04" w:rsidRPr="002412D3" w:rsidRDefault="003911CC">
          <w:pPr>
            <w:pStyle w:val="TOC2"/>
            <w:rPr>
              <w:rFonts w:ascii="Arial" w:eastAsiaTheme="minorEastAsia" w:hAnsi="Arial" w:cs="Arial"/>
              <w:b w:val="0"/>
              <w:bCs w:val="0"/>
              <w:noProof/>
              <w:sz w:val="24"/>
              <w:szCs w:val="24"/>
            </w:rPr>
          </w:pPr>
          <w:hyperlink w:anchor="_Toc71201541" w:history="1">
            <w:r w:rsidR="00AC4C04" w:rsidRPr="002412D3">
              <w:rPr>
                <w:rStyle w:val="Hyperlink"/>
                <w:rFonts w:ascii="Arial" w:hAnsi="Arial" w:cs="Arial"/>
                <w:b w:val="0"/>
                <w:bCs w:val="0"/>
                <w:noProof/>
                <w:sz w:val="24"/>
                <w:szCs w:val="24"/>
              </w:rPr>
              <w:t>A.</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Eligible Applicants are defined in Section 302 of the Guidelines.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_Toc71201541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4</w:t>
            </w:r>
            <w:r w:rsidR="00AC4C04" w:rsidRPr="002412D3">
              <w:rPr>
                <w:rFonts w:ascii="Arial" w:hAnsi="Arial" w:cs="Arial"/>
                <w:b w:val="0"/>
                <w:bCs w:val="0"/>
                <w:noProof/>
                <w:webHidden/>
                <w:sz w:val="24"/>
                <w:szCs w:val="24"/>
              </w:rPr>
              <w:fldChar w:fldCharType="end"/>
            </w:r>
          </w:hyperlink>
        </w:p>
        <w:p w14:paraId="241DD0C0" w14:textId="1181EA4E" w:rsidR="00AC4C04" w:rsidRPr="002412D3" w:rsidRDefault="003911CC">
          <w:pPr>
            <w:pStyle w:val="TOC2"/>
            <w:rPr>
              <w:rFonts w:ascii="Arial" w:eastAsiaTheme="minorEastAsia" w:hAnsi="Arial" w:cs="Arial"/>
              <w:b w:val="0"/>
              <w:bCs w:val="0"/>
              <w:noProof/>
              <w:sz w:val="24"/>
              <w:szCs w:val="24"/>
            </w:rPr>
          </w:pPr>
          <w:hyperlink w:anchor="_Toc71201542" w:history="1">
            <w:r w:rsidR="00AC4C04" w:rsidRPr="002412D3">
              <w:rPr>
                <w:rStyle w:val="Hyperlink"/>
                <w:rFonts w:ascii="Arial" w:hAnsi="Arial" w:cs="Arial"/>
                <w:b w:val="0"/>
                <w:bCs w:val="0"/>
                <w:noProof/>
                <w:sz w:val="24"/>
                <w:szCs w:val="24"/>
              </w:rPr>
              <w:t>B.</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Eligible Projects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_Toc71201542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4</w:t>
            </w:r>
            <w:r w:rsidR="00AC4C04" w:rsidRPr="002412D3">
              <w:rPr>
                <w:rFonts w:ascii="Arial" w:hAnsi="Arial" w:cs="Arial"/>
                <w:b w:val="0"/>
                <w:bCs w:val="0"/>
                <w:noProof/>
                <w:webHidden/>
                <w:sz w:val="24"/>
                <w:szCs w:val="24"/>
              </w:rPr>
              <w:fldChar w:fldCharType="end"/>
            </w:r>
          </w:hyperlink>
        </w:p>
        <w:p w14:paraId="26DE1D29" w14:textId="50CA4ABE" w:rsidR="00AC4C04" w:rsidRPr="002412D3" w:rsidRDefault="003911CC">
          <w:pPr>
            <w:pStyle w:val="TOC2"/>
            <w:rPr>
              <w:rFonts w:ascii="Arial" w:eastAsiaTheme="minorEastAsia" w:hAnsi="Arial" w:cs="Arial"/>
              <w:b w:val="0"/>
              <w:bCs w:val="0"/>
              <w:noProof/>
              <w:sz w:val="24"/>
              <w:szCs w:val="24"/>
            </w:rPr>
          </w:pPr>
          <w:hyperlink w:anchor="_Toc71201543" w:history="1">
            <w:r w:rsidR="00AC4C04" w:rsidRPr="002412D3">
              <w:rPr>
                <w:rStyle w:val="Hyperlink"/>
                <w:rFonts w:ascii="Arial" w:hAnsi="Arial" w:cs="Arial"/>
                <w:b w:val="0"/>
                <w:bCs w:val="0"/>
                <w:noProof/>
                <w:sz w:val="24"/>
                <w:szCs w:val="24"/>
              </w:rPr>
              <w:t>C.</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Eligible Costs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_Toc71201543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4</w:t>
            </w:r>
            <w:r w:rsidR="00AC4C04" w:rsidRPr="002412D3">
              <w:rPr>
                <w:rFonts w:ascii="Arial" w:hAnsi="Arial" w:cs="Arial"/>
                <w:b w:val="0"/>
                <w:bCs w:val="0"/>
                <w:noProof/>
                <w:webHidden/>
                <w:sz w:val="24"/>
                <w:szCs w:val="24"/>
              </w:rPr>
              <w:fldChar w:fldCharType="end"/>
            </w:r>
          </w:hyperlink>
        </w:p>
        <w:p w14:paraId="32116558" w14:textId="19542E24" w:rsidR="00AC4C04" w:rsidRPr="002412D3" w:rsidRDefault="003911CC">
          <w:pPr>
            <w:pStyle w:val="TOC2"/>
            <w:rPr>
              <w:rFonts w:ascii="Arial" w:eastAsiaTheme="minorEastAsia" w:hAnsi="Arial" w:cs="Arial"/>
              <w:b w:val="0"/>
              <w:bCs w:val="0"/>
              <w:noProof/>
              <w:sz w:val="24"/>
              <w:szCs w:val="24"/>
            </w:rPr>
          </w:pPr>
          <w:hyperlink w:anchor="_Toc71201544" w:history="1">
            <w:r w:rsidR="00AC4C04" w:rsidRPr="002412D3">
              <w:rPr>
                <w:rStyle w:val="Hyperlink"/>
                <w:rFonts w:ascii="Arial" w:hAnsi="Arial" w:cs="Arial"/>
                <w:b w:val="0"/>
                <w:bCs w:val="0"/>
                <w:noProof/>
                <w:sz w:val="24"/>
                <w:szCs w:val="24"/>
              </w:rPr>
              <w:t>D.</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Program funding amounts and terms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_Toc71201544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4</w:t>
            </w:r>
            <w:r w:rsidR="00AC4C04" w:rsidRPr="002412D3">
              <w:rPr>
                <w:rFonts w:ascii="Arial" w:hAnsi="Arial" w:cs="Arial"/>
                <w:b w:val="0"/>
                <w:bCs w:val="0"/>
                <w:noProof/>
                <w:webHidden/>
                <w:sz w:val="24"/>
                <w:szCs w:val="24"/>
              </w:rPr>
              <w:fldChar w:fldCharType="end"/>
            </w:r>
          </w:hyperlink>
        </w:p>
        <w:p w14:paraId="6069A454" w14:textId="7C38E4E9" w:rsidR="00AC4C04" w:rsidRPr="002412D3" w:rsidRDefault="003911CC">
          <w:pPr>
            <w:pStyle w:val="TOC2"/>
            <w:rPr>
              <w:rFonts w:ascii="Arial" w:eastAsiaTheme="minorEastAsia" w:hAnsi="Arial" w:cs="Arial"/>
              <w:b w:val="0"/>
              <w:bCs w:val="0"/>
              <w:noProof/>
              <w:sz w:val="24"/>
              <w:szCs w:val="24"/>
            </w:rPr>
          </w:pPr>
          <w:hyperlink w:anchor="_Toc71201545" w:history="1">
            <w:r w:rsidR="00AC4C04" w:rsidRPr="002412D3">
              <w:rPr>
                <w:rStyle w:val="Hyperlink"/>
                <w:rFonts w:ascii="Arial" w:hAnsi="Arial" w:cs="Arial"/>
                <w:b w:val="0"/>
                <w:bCs w:val="0"/>
                <w:noProof/>
                <w:sz w:val="24"/>
                <w:szCs w:val="24"/>
              </w:rPr>
              <w:t>E.</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Threshold</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_Toc71201545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6</w:t>
            </w:r>
            <w:r w:rsidR="00AC4C04" w:rsidRPr="002412D3">
              <w:rPr>
                <w:rFonts w:ascii="Arial" w:hAnsi="Arial" w:cs="Arial"/>
                <w:b w:val="0"/>
                <w:bCs w:val="0"/>
                <w:noProof/>
                <w:webHidden/>
                <w:sz w:val="24"/>
                <w:szCs w:val="24"/>
              </w:rPr>
              <w:fldChar w:fldCharType="end"/>
            </w:r>
          </w:hyperlink>
        </w:p>
        <w:p w14:paraId="4FD20FAB" w14:textId="39D544AC" w:rsidR="00AC4C04" w:rsidRPr="002412D3" w:rsidRDefault="003911CC">
          <w:pPr>
            <w:pStyle w:val="TOC2"/>
            <w:rPr>
              <w:rFonts w:ascii="Arial" w:eastAsiaTheme="minorEastAsia" w:hAnsi="Arial" w:cs="Arial"/>
              <w:b w:val="0"/>
              <w:bCs w:val="0"/>
              <w:noProof/>
              <w:sz w:val="24"/>
              <w:szCs w:val="24"/>
            </w:rPr>
          </w:pPr>
          <w:hyperlink w:anchor="_Toc71201546" w:history="1">
            <w:r w:rsidR="00AC4C04" w:rsidRPr="002412D3">
              <w:rPr>
                <w:rStyle w:val="Hyperlink"/>
                <w:rFonts w:ascii="Arial" w:hAnsi="Arial" w:cs="Arial"/>
                <w:b w:val="0"/>
                <w:bCs w:val="0"/>
                <w:noProof/>
                <w:sz w:val="24"/>
                <w:szCs w:val="24"/>
              </w:rPr>
              <w:t>F.</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Selection criteria (rating and ranking)</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_Toc71201546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6</w:t>
            </w:r>
            <w:r w:rsidR="00AC4C04" w:rsidRPr="002412D3">
              <w:rPr>
                <w:rFonts w:ascii="Arial" w:hAnsi="Arial" w:cs="Arial"/>
                <w:b w:val="0"/>
                <w:bCs w:val="0"/>
                <w:noProof/>
                <w:webHidden/>
                <w:sz w:val="24"/>
                <w:szCs w:val="24"/>
              </w:rPr>
              <w:fldChar w:fldCharType="end"/>
            </w:r>
          </w:hyperlink>
        </w:p>
        <w:p w14:paraId="48AFF534" w14:textId="487CC8DF" w:rsidR="00AC4C04" w:rsidRPr="002412D3" w:rsidRDefault="003911CC">
          <w:pPr>
            <w:pStyle w:val="TOC2"/>
            <w:rPr>
              <w:rFonts w:ascii="Arial" w:eastAsiaTheme="minorEastAsia" w:hAnsi="Arial" w:cs="Arial"/>
              <w:b w:val="0"/>
              <w:bCs w:val="0"/>
              <w:noProof/>
              <w:sz w:val="24"/>
              <w:szCs w:val="24"/>
            </w:rPr>
          </w:pPr>
          <w:hyperlink w:anchor="_Toc71201547" w:history="1">
            <w:r w:rsidR="00AC4C04" w:rsidRPr="002412D3">
              <w:rPr>
                <w:rStyle w:val="Hyperlink"/>
                <w:rFonts w:ascii="Arial" w:hAnsi="Arial" w:cs="Arial"/>
                <w:b w:val="0"/>
                <w:bCs w:val="0"/>
                <w:noProof/>
                <w:sz w:val="24"/>
                <w:szCs w:val="24"/>
              </w:rPr>
              <w:t>G.</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State requirements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_Toc71201547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8</w:t>
            </w:r>
            <w:r w:rsidR="00AC4C04" w:rsidRPr="002412D3">
              <w:rPr>
                <w:rFonts w:ascii="Arial" w:hAnsi="Arial" w:cs="Arial"/>
                <w:b w:val="0"/>
                <w:bCs w:val="0"/>
                <w:noProof/>
                <w:webHidden/>
                <w:sz w:val="24"/>
                <w:szCs w:val="24"/>
              </w:rPr>
              <w:fldChar w:fldCharType="end"/>
            </w:r>
          </w:hyperlink>
        </w:p>
        <w:p w14:paraId="215E9CD1" w14:textId="1B47D246" w:rsidR="00AC4C04" w:rsidRPr="002412D3" w:rsidRDefault="003911CC">
          <w:pPr>
            <w:pStyle w:val="TOC1"/>
            <w:rPr>
              <w:rFonts w:eastAsiaTheme="minorEastAsia" w:cs="Arial"/>
              <w:b w:val="0"/>
              <w:bCs w:val="0"/>
            </w:rPr>
          </w:pPr>
          <w:hyperlink w:anchor="_Toc71201548" w:history="1">
            <w:r w:rsidR="00AC4C04" w:rsidRPr="002412D3">
              <w:rPr>
                <w:rStyle w:val="Hyperlink"/>
                <w:rFonts w:cs="Arial"/>
                <w:b w:val="0"/>
                <w:bCs w:val="0"/>
              </w:rPr>
              <w:t>III.</w:t>
            </w:r>
            <w:r w:rsidR="00AC4C04" w:rsidRPr="002412D3">
              <w:rPr>
                <w:rFonts w:eastAsiaTheme="minorEastAsia" w:cs="Arial"/>
                <w:b w:val="0"/>
                <w:bCs w:val="0"/>
              </w:rPr>
              <w:tab/>
            </w:r>
            <w:r w:rsidR="00AC4C04" w:rsidRPr="002412D3">
              <w:rPr>
                <w:rStyle w:val="Hyperlink"/>
                <w:rFonts w:cs="Arial"/>
                <w:b w:val="0"/>
                <w:bCs w:val="0"/>
              </w:rPr>
              <w:t>Application submission and review procedures</w:t>
            </w:r>
            <w:r w:rsidR="00AC4C04" w:rsidRPr="002412D3">
              <w:rPr>
                <w:rFonts w:cs="Arial"/>
                <w:b w:val="0"/>
                <w:bCs w:val="0"/>
                <w:webHidden/>
              </w:rPr>
              <w:tab/>
            </w:r>
            <w:r w:rsidR="00AC4C04" w:rsidRPr="002412D3">
              <w:rPr>
                <w:rFonts w:cs="Arial"/>
                <w:b w:val="0"/>
                <w:bCs w:val="0"/>
                <w:webHidden/>
              </w:rPr>
              <w:fldChar w:fldCharType="begin"/>
            </w:r>
            <w:r w:rsidR="00AC4C04" w:rsidRPr="002412D3">
              <w:rPr>
                <w:rFonts w:cs="Arial"/>
                <w:b w:val="0"/>
                <w:bCs w:val="0"/>
                <w:webHidden/>
              </w:rPr>
              <w:instrText xml:space="preserve"> PAGEREF _Toc71201548 \h </w:instrText>
            </w:r>
            <w:r w:rsidR="00AC4C04" w:rsidRPr="002412D3">
              <w:rPr>
                <w:rFonts w:cs="Arial"/>
                <w:b w:val="0"/>
                <w:bCs w:val="0"/>
                <w:webHidden/>
              </w:rPr>
            </w:r>
            <w:r w:rsidR="00AC4C04" w:rsidRPr="002412D3">
              <w:rPr>
                <w:rFonts w:cs="Arial"/>
                <w:b w:val="0"/>
                <w:bCs w:val="0"/>
                <w:webHidden/>
              </w:rPr>
              <w:fldChar w:fldCharType="separate"/>
            </w:r>
            <w:r w:rsidR="00AC4C04" w:rsidRPr="002412D3">
              <w:rPr>
                <w:rFonts w:cs="Arial"/>
                <w:b w:val="0"/>
                <w:bCs w:val="0"/>
                <w:webHidden/>
              </w:rPr>
              <w:t>8</w:t>
            </w:r>
            <w:r w:rsidR="00AC4C04" w:rsidRPr="002412D3">
              <w:rPr>
                <w:rFonts w:cs="Arial"/>
                <w:b w:val="0"/>
                <w:bCs w:val="0"/>
                <w:webHidden/>
              </w:rPr>
              <w:fldChar w:fldCharType="end"/>
            </w:r>
          </w:hyperlink>
        </w:p>
        <w:p w14:paraId="45B2B7FF" w14:textId="061B0613" w:rsidR="00AC4C04" w:rsidRPr="002412D3" w:rsidRDefault="003911CC">
          <w:pPr>
            <w:pStyle w:val="TOC2"/>
            <w:rPr>
              <w:rFonts w:ascii="Arial" w:eastAsiaTheme="minorEastAsia" w:hAnsi="Arial" w:cs="Arial"/>
              <w:b w:val="0"/>
              <w:bCs w:val="0"/>
              <w:noProof/>
              <w:sz w:val="24"/>
              <w:szCs w:val="24"/>
            </w:rPr>
          </w:pPr>
          <w:hyperlink w:anchor="_Toc71201549" w:history="1">
            <w:r w:rsidR="00AC4C04" w:rsidRPr="002412D3">
              <w:rPr>
                <w:rStyle w:val="Hyperlink"/>
                <w:rFonts w:ascii="Arial" w:hAnsi="Arial" w:cs="Arial"/>
                <w:b w:val="0"/>
                <w:bCs w:val="0"/>
                <w:noProof/>
                <w:sz w:val="24"/>
                <w:szCs w:val="24"/>
              </w:rPr>
              <w:t>A.</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Application submission process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_Toc71201549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8</w:t>
            </w:r>
            <w:r w:rsidR="00AC4C04" w:rsidRPr="002412D3">
              <w:rPr>
                <w:rFonts w:ascii="Arial" w:hAnsi="Arial" w:cs="Arial"/>
                <w:b w:val="0"/>
                <w:bCs w:val="0"/>
                <w:noProof/>
                <w:webHidden/>
                <w:sz w:val="24"/>
                <w:szCs w:val="24"/>
              </w:rPr>
              <w:fldChar w:fldCharType="end"/>
            </w:r>
          </w:hyperlink>
        </w:p>
        <w:p w14:paraId="744982B5" w14:textId="7648F741" w:rsidR="00AC4C04" w:rsidRPr="002412D3" w:rsidRDefault="003911CC">
          <w:pPr>
            <w:pStyle w:val="TOC2"/>
            <w:rPr>
              <w:rFonts w:ascii="Arial" w:eastAsiaTheme="minorEastAsia" w:hAnsi="Arial" w:cs="Arial"/>
              <w:b w:val="0"/>
              <w:bCs w:val="0"/>
              <w:noProof/>
              <w:sz w:val="24"/>
              <w:szCs w:val="24"/>
            </w:rPr>
          </w:pPr>
          <w:hyperlink w:anchor="_Toc71201550" w:history="1">
            <w:r w:rsidR="00AC4C04" w:rsidRPr="002412D3">
              <w:rPr>
                <w:rStyle w:val="Hyperlink"/>
                <w:rFonts w:ascii="Arial" w:hAnsi="Arial" w:cs="Arial"/>
                <w:b w:val="0"/>
                <w:bCs w:val="0"/>
                <w:noProof/>
                <w:sz w:val="24"/>
                <w:szCs w:val="24"/>
              </w:rPr>
              <w:t>B.</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Application workshops/webinar</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_Toc71201550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8</w:t>
            </w:r>
            <w:r w:rsidR="00AC4C04" w:rsidRPr="002412D3">
              <w:rPr>
                <w:rFonts w:ascii="Arial" w:hAnsi="Arial" w:cs="Arial"/>
                <w:b w:val="0"/>
                <w:bCs w:val="0"/>
                <w:noProof/>
                <w:webHidden/>
                <w:sz w:val="24"/>
                <w:szCs w:val="24"/>
              </w:rPr>
              <w:fldChar w:fldCharType="end"/>
            </w:r>
          </w:hyperlink>
        </w:p>
        <w:p w14:paraId="43284820" w14:textId="56BA9759" w:rsidR="00AC4C04" w:rsidRPr="002412D3" w:rsidRDefault="003911CC">
          <w:pPr>
            <w:pStyle w:val="TOC2"/>
            <w:rPr>
              <w:rFonts w:ascii="Arial" w:eastAsiaTheme="minorEastAsia" w:hAnsi="Arial" w:cs="Arial"/>
              <w:b w:val="0"/>
              <w:bCs w:val="0"/>
              <w:noProof/>
              <w:sz w:val="24"/>
              <w:szCs w:val="24"/>
            </w:rPr>
          </w:pPr>
          <w:hyperlink w:anchor="_Toc71201551" w:history="1">
            <w:r w:rsidR="00AC4C04" w:rsidRPr="002412D3">
              <w:rPr>
                <w:rStyle w:val="Hyperlink"/>
                <w:rFonts w:ascii="Arial" w:hAnsi="Arial" w:cs="Arial"/>
                <w:b w:val="0"/>
                <w:bCs w:val="0"/>
                <w:noProof/>
                <w:sz w:val="24"/>
                <w:szCs w:val="24"/>
              </w:rPr>
              <w:t>C.</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Disclosure of Application</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_Toc71201551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9</w:t>
            </w:r>
            <w:r w:rsidR="00AC4C04" w:rsidRPr="002412D3">
              <w:rPr>
                <w:rFonts w:ascii="Arial" w:hAnsi="Arial" w:cs="Arial"/>
                <w:b w:val="0"/>
                <w:bCs w:val="0"/>
                <w:noProof/>
                <w:webHidden/>
                <w:sz w:val="24"/>
                <w:szCs w:val="24"/>
              </w:rPr>
              <w:fldChar w:fldCharType="end"/>
            </w:r>
          </w:hyperlink>
        </w:p>
        <w:p w14:paraId="7B63BC87" w14:textId="5A9B3E2E" w:rsidR="00AC4C04" w:rsidRPr="002412D3" w:rsidRDefault="003911CC">
          <w:pPr>
            <w:pStyle w:val="TOC1"/>
            <w:rPr>
              <w:rFonts w:eastAsiaTheme="minorEastAsia" w:cs="Arial"/>
              <w:b w:val="0"/>
              <w:bCs w:val="0"/>
            </w:rPr>
          </w:pPr>
          <w:hyperlink w:anchor="_Toc71201552" w:history="1">
            <w:r w:rsidR="00AC4C04" w:rsidRPr="002412D3">
              <w:rPr>
                <w:rStyle w:val="Hyperlink"/>
                <w:rFonts w:cs="Arial"/>
                <w:b w:val="0"/>
                <w:bCs w:val="0"/>
              </w:rPr>
              <w:t>IV.</w:t>
            </w:r>
            <w:r w:rsidR="00AC4C04" w:rsidRPr="002412D3">
              <w:rPr>
                <w:rFonts w:eastAsiaTheme="minorEastAsia" w:cs="Arial"/>
                <w:b w:val="0"/>
                <w:bCs w:val="0"/>
              </w:rPr>
              <w:tab/>
            </w:r>
            <w:r w:rsidR="00AC4C04" w:rsidRPr="002412D3">
              <w:rPr>
                <w:rStyle w:val="Hyperlink"/>
                <w:rFonts w:cs="Arial"/>
                <w:b w:val="0"/>
                <w:bCs w:val="0"/>
              </w:rPr>
              <w:t>Appeals</w:t>
            </w:r>
            <w:r w:rsidR="00AC4C04" w:rsidRPr="002412D3">
              <w:rPr>
                <w:rFonts w:cs="Arial"/>
                <w:b w:val="0"/>
                <w:bCs w:val="0"/>
                <w:webHidden/>
              </w:rPr>
              <w:tab/>
            </w:r>
            <w:r w:rsidR="00AC4C04" w:rsidRPr="002412D3">
              <w:rPr>
                <w:rFonts w:cs="Arial"/>
                <w:b w:val="0"/>
                <w:bCs w:val="0"/>
                <w:webHidden/>
              </w:rPr>
              <w:fldChar w:fldCharType="begin"/>
            </w:r>
            <w:r w:rsidR="00AC4C04" w:rsidRPr="002412D3">
              <w:rPr>
                <w:rFonts w:cs="Arial"/>
                <w:b w:val="0"/>
                <w:bCs w:val="0"/>
                <w:webHidden/>
              </w:rPr>
              <w:instrText xml:space="preserve"> PAGEREF _Toc71201552 \h </w:instrText>
            </w:r>
            <w:r w:rsidR="00AC4C04" w:rsidRPr="002412D3">
              <w:rPr>
                <w:rFonts w:cs="Arial"/>
                <w:b w:val="0"/>
                <w:bCs w:val="0"/>
                <w:webHidden/>
              </w:rPr>
            </w:r>
            <w:r w:rsidR="00AC4C04" w:rsidRPr="002412D3">
              <w:rPr>
                <w:rFonts w:cs="Arial"/>
                <w:b w:val="0"/>
                <w:bCs w:val="0"/>
                <w:webHidden/>
              </w:rPr>
              <w:fldChar w:fldCharType="separate"/>
            </w:r>
            <w:r w:rsidR="00AC4C04" w:rsidRPr="002412D3">
              <w:rPr>
                <w:rFonts w:cs="Arial"/>
                <w:b w:val="0"/>
                <w:bCs w:val="0"/>
                <w:webHidden/>
              </w:rPr>
              <w:t>9</w:t>
            </w:r>
            <w:r w:rsidR="00AC4C04" w:rsidRPr="002412D3">
              <w:rPr>
                <w:rFonts w:cs="Arial"/>
                <w:b w:val="0"/>
                <w:bCs w:val="0"/>
                <w:webHidden/>
              </w:rPr>
              <w:fldChar w:fldCharType="end"/>
            </w:r>
          </w:hyperlink>
        </w:p>
        <w:p w14:paraId="3C447D21" w14:textId="63D233E2" w:rsidR="00AC4C04" w:rsidRPr="002412D3" w:rsidRDefault="003911CC">
          <w:pPr>
            <w:pStyle w:val="TOC2"/>
            <w:rPr>
              <w:rFonts w:ascii="Arial" w:eastAsiaTheme="minorEastAsia" w:hAnsi="Arial" w:cs="Arial"/>
              <w:b w:val="0"/>
              <w:bCs w:val="0"/>
              <w:noProof/>
              <w:sz w:val="24"/>
              <w:szCs w:val="24"/>
            </w:rPr>
          </w:pPr>
          <w:hyperlink w:anchor="_Toc71201553" w:history="1">
            <w:r w:rsidR="00AC4C04" w:rsidRPr="002412D3">
              <w:rPr>
                <w:rStyle w:val="Hyperlink"/>
                <w:rFonts w:ascii="Arial" w:hAnsi="Arial" w:cs="Arial"/>
                <w:b w:val="0"/>
                <w:bCs w:val="0"/>
                <w:noProof/>
                <w:sz w:val="24"/>
                <w:szCs w:val="24"/>
              </w:rPr>
              <w:t>A.</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Basis of appeals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_Toc71201553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9</w:t>
            </w:r>
            <w:r w:rsidR="00AC4C04" w:rsidRPr="002412D3">
              <w:rPr>
                <w:rFonts w:ascii="Arial" w:hAnsi="Arial" w:cs="Arial"/>
                <w:b w:val="0"/>
                <w:bCs w:val="0"/>
                <w:noProof/>
                <w:webHidden/>
                <w:sz w:val="24"/>
                <w:szCs w:val="24"/>
              </w:rPr>
              <w:fldChar w:fldCharType="end"/>
            </w:r>
          </w:hyperlink>
        </w:p>
        <w:p w14:paraId="2A813F05" w14:textId="0826C82A" w:rsidR="00AC4C04" w:rsidRPr="002412D3" w:rsidRDefault="003911CC">
          <w:pPr>
            <w:pStyle w:val="TOC2"/>
            <w:rPr>
              <w:rFonts w:ascii="Arial" w:eastAsiaTheme="minorEastAsia" w:hAnsi="Arial" w:cs="Arial"/>
              <w:b w:val="0"/>
              <w:bCs w:val="0"/>
              <w:noProof/>
              <w:sz w:val="24"/>
              <w:szCs w:val="24"/>
            </w:rPr>
          </w:pPr>
          <w:hyperlink w:anchor="_Toc71201554" w:history="1">
            <w:r w:rsidR="00AC4C04" w:rsidRPr="002412D3">
              <w:rPr>
                <w:rStyle w:val="Hyperlink"/>
                <w:rFonts w:ascii="Arial" w:hAnsi="Arial" w:cs="Arial"/>
                <w:b w:val="0"/>
                <w:bCs w:val="0"/>
                <w:noProof/>
                <w:sz w:val="24"/>
                <w:szCs w:val="24"/>
              </w:rPr>
              <w:t>B.</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Appeal process and deadlines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_Toc71201554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9</w:t>
            </w:r>
            <w:r w:rsidR="00AC4C04" w:rsidRPr="002412D3">
              <w:rPr>
                <w:rFonts w:ascii="Arial" w:hAnsi="Arial" w:cs="Arial"/>
                <w:b w:val="0"/>
                <w:bCs w:val="0"/>
                <w:noProof/>
                <w:webHidden/>
                <w:sz w:val="24"/>
                <w:szCs w:val="24"/>
              </w:rPr>
              <w:fldChar w:fldCharType="end"/>
            </w:r>
          </w:hyperlink>
        </w:p>
        <w:p w14:paraId="3B5B691A" w14:textId="03AA62CA" w:rsidR="00AC4C04" w:rsidRPr="002412D3" w:rsidRDefault="003911CC">
          <w:pPr>
            <w:pStyle w:val="TOC2"/>
            <w:rPr>
              <w:rFonts w:ascii="Arial" w:eastAsiaTheme="minorEastAsia" w:hAnsi="Arial" w:cs="Arial"/>
              <w:b w:val="0"/>
              <w:bCs w:val="0"/>
              <w:noProof/>
              <w:sz w:val="24"/>
              <w:szCs w:val="24"/>
            </w:rPr>
          </w:pPr>
          <w:hyperlink w:anchor="_Toc71201555" w:history="1">
            <w:r w:rsidR="00AC4C04" w:rsidRPr="002412D3">
              <w:rPr>
                <w:rStyle w:val="Hyperlink"/>
                <w:rFonts w:ascii="Arial" w:hAnsi="Arial" w:cs="Arial"/>
                <w:b w:val="0"/>
                <w:bCs w:val="0"/>
                <w:noProof/>
                <w:sz w:val="24"/>
                <w:szCs w:val="24"/>
              </w:rPr>
              <w:t>C.</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Decision</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_Toc71201555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10</w:t>
            </w:r>
            <w:r w:rsidR="00AC4C04" w:rsidRPr="002412D3">
              <w:rPr>
                <w:rFonts w:ascii="Arial" w:hAnsi="Arial" w:cs="Arial"/>
                <w:b w:val="0"/>
                <w:bCs w:val="0"/>
                <w:noProof/>
                <w:webHidden/>
                <w:sz w:val="24"/>
                <w:szCs w:val="24"/>
              </w:rPr>
              <w:fldChar w:fldCharType="end"/>
            </w:r>
          </w:hyperlink>
        </w:p>
        <w:p w14:paraId="3CDBCC75" w14:textId="25CE9BAC" w:rsidR="00AC4C04" w:rsidRPr="002412D3" w:rsidRDefault="003911CC">
          <w:pPr>
            <w:pStyle w:val="TOC1"/>
            <w:rPr>
              <w:rFonts w:eastAsiaTheme="minorEastAsia" w:cs="Arial"/>
              <w:b w:val="0"/>
              <w:bCs w:val="0"/>
            </w:rPr>
          </w:pPr>
          <w:hyperlink w:anchor="_Toc71201556" w:history="1">
            <w:r w:rsidR="00AC4C04" w:rsidRPr="002412D3">
              <w:rPr>
                <w:rStyle w:val="Hyperlink"/>
                <w:rFonts w:cs="Arial"/>
                <w:b w:val="0"/>
                <w:bCs w:val="0"/>
              </w:rPr>
              <w:t>V.</w:t>
            </w:r>
            <w:r w:rsidR="00AC4C04" w:rsidRPr="002412D3">
              <w:rPr>
                <w:rFonts w:eastAsiaTheme="minorEastAsia" w:cs="Arial"/>
                <w:b w:val="0"/>
                <w:bCs w:val="0"/>
              </w:rPr>
              <w:tab/>
            </w:r>
            <w:r w:rsidR="00AC4C04" w:rsidRPr="002412D3">
              <w:rPr>
                <w:rStyle w:val="Hyperlink"/>
                <w:rFonts w:cs="Arial"/>
                <w:b w:val="0"/>
                <w:bCs w:val="0"/>
              </w:rPr>
              <w:t>Award announcements and contracts</w:t>
            </w:r>
            <w:r w:rsidR="00AC4C04" w:rsidRPr="002412D3">
              <w:rPr>
                <w:rFonts w:cs="Arial"/>
                <w:b w:val="0"/>
                <w:bCs w:val="0"/>
                <w:webHidden/>
              </w:rPr>
              <w:tab/>
            </w:r>
            <w:r w:rsidR="00AC4C04" w:rsidRPr="002412D3">
              <w:rPr>
                <w:rFonts w:cs="Arial"/>
                <w:b w:val="0"/>
                <w:bCs w:val="0"/>
                <w:webHidden/>
              </w:rPr>
              <w:fldChar w:fldCharType="begin"/>
            </w:r>
            <w:r w:rsidR="00AC4C04" w:rsidRPr="002412D3">
              <w:rPr>
                <w:rFonts w:cs="Arial"/>
                <w:b w:val="0"/>
                <w:bCs w:val="0"/>
                <w:webHidden/>
              </w:rPr>
              <w:instrText xml:space="preserve"> PAGEREF _Toc71201556 \h </w:instrText>
            </w:r>
            <w:r w:rsidR="00AC4C04" w:rsidRPr="002412D3">
              <w:rPr>
                <w:rFonts w:cs="Arial"/>
                <w:b w:val="0"/>
                <w:bCs w:val="0"/>
                <w:webHidden/>
              </w:rPr>
            </w:r>
            <w:r w:rsidR="00AC4C04" w:rsidRPr="002412D3">
              <w:rPr>
                <w:rFonts w:cs="Arial"/>
                <w:b w:val="0"/>
                <w:bCs w:val="0"/>
                <w:webHidden/>
              </w:rPr>
              <w:fldChar w:fldCharType="separate"/>
            </w:r>
            <w:r w:rsidR="00AC4C04" w:rsidRPr="002412D3">
              <w:rPr>
                <w:rFonts w:cs="Arial"/>
                <w:b w:val="0"/>
                <w:bCs w:val="0"/>
                <w:webHidden/>
              </w:rPr>
              <w:t>10</w:t>
            </w:r>
            <w:r w:rsidR="00AC4C04" w:rsidRPr="002412D3">
              <w:rPr>
                <w:rFonts w:cs="Arial"/>
                <w:b w:val="0"/>
                <w:bCs w:val="0"/>
                <w:webHidden/>
              </w:rPr>
              <w:fldChar w:fldCharType="end"/>
            </w:r>
          </w:hyperlink>
        </w:p>
        <w:p w14:paraId="573F7F51" w14:textId="0B71EF6A" w:rsidR="00AC4C04" w:rsidRPr="002412D3" w:rsidRDefault="003911CC">
          <w:pPr>
            <w:pStyle w:val="TOC2"/>
            <w:rPr>
              <w:rFonts w:ascii="Arial" w:eastAsiaTheme="minorEastAsia" w:hAnsi="Arial" w:cs="Arial"/>
              <w:b w:val="0"/>
              <w:bCs w:val="0"/>
              <w:noProof/>
              <w:sz w:val="24"/>
              <w:szCs w:val="24"/>
            </w:rPr>
          </w:pPr>
          <w:hyperlink w:anchor="_Toc71201557" w:history="1">
            <w:r w:rsidR="00AC4C04" w:rsidRPr="002412D3">
              <w:rPr>
                <w:rStyle w:val="Hyperlink"/>
                <w:rFonts w:ascii="Arial" w:hAnsi="Arial" w:cs="Arial"/>
                <w:b w:val="0"/>
                <w:bCs w:val="0"/>
                <w:noProof/>
                <w:sz w:val="24"/>
                <w:szCs w:val="24"/>
              </w:rPr>
              <w:t>A.</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Award announcements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_Toc71201557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10</w:t>
            </w:r>
            <w:r w:rsidR="00AC4C04" w:rsidRPr="002412D3">
              <w:rPr>
                <w:rFonts w:ascii="Arial" w:hAnsi="Arial" w:cs="Arial"/>
                <w:b w:val="0"/>
                <w:bCs w:val="0"/>
                <w:noProof/>
                <w:webHidden/>
                <w:sz w:val="24"/>
                <w:szCs w:val="24"/>
              </w:rPr>
              <w:fldChar w:fldCharType="end"/>
            </w:r>
          </w:hyperlink>
        </w:p>
        <w:p w14:paraId="3A0425F6" w14:textId="1B97EB5D" w:rsidR="00AC4C04" w:rsidRPr="002412D3" w:rsidRDefault="003911CC">
          <w:pPr>
            <w:pStyle w:val="TOC2"/>
            <w:rPr>
              <w:rFonts w:ascii="Arial" w:eastAsiaTheme="minorEastAsia" w:hAnsi="Arial" w:cs="Arial"/>
              <w:b w:val="0"/>
              <w:bCs w:val="0"/>
              <w:noProof/>
              <w:sz w:val="24"/>
              <w:szCs w:val="24"/>
            </w:rPr>
          </w:pPr>
          <w:hyperlink w:anchor="_Toc71201558" w:history="1">
            <w:r w:rsidR="00AC4C04" w:rsidRPr="002412D3">
              <w:rPr>
                <w:rStyle w:val="Hyperlink"/>
                <w:rFonts w:ascii="Arial" w:hAnsi="Arial" w:cs="Arial"/>
                <w:b w:val="0"/>
                <w:bCs w:val="0"/>
                <w:noProof/>
                <w:sz w:val="24"/>
                <w:szCs w:val="24"/>
              </w:rPr>
              <w:t>B.</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Contracts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_Toc71201558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10</w:t>
            </w:r>
            <w:r w:rsidR="00AC4C04" w:rsidRPr="002412D3">
              <w:rPr>
                <w:rFonts w:ascii="Arial" w:hAnsi="Arial" w:cs="Arial"/>
                <w:b w:val="0"/>
                <w:bCs w:val="0"/>
                <w:noProof/>
                <w:webHidden/>
                <w:sz w:val="24"/>
                <w:szCs w:val="24"/>
              </w:rPr>
              <w:fldChar w:fldCharType="end"/>
            </w:r>
          </w:hyperlink>
        </w:p>
        <w:p w14:paraId="4C31188C" w14:textId="13169F69" w:rsidR="00AC4C04" w:rsidRPr="002412D3" w:rsidRDefault="003911CC">
          <w:pPr>
            <w:pStyle w:val="TOC1"/>
            <w:rPr>
              <w:rFonts w:eastAsiaTheme="minorEastAsia" w:cs="Arial"/>
              <w:b w:val="0"/>
              <w:bCs w:val="0"/>
            </w:rPr>
          </w:pPr>
          <w:hyperlink w:anchor="_Toc71201559" w:history="1">
            <w:r w:rsidR="00AC4C04" w:rsidRPr="002412D3">
              <w:rPr>
                <w:rStyle w:val="Hyperlink"/>
                <w:rFonts w:cs="Arial"/>
                <w:b w:val="0"/>
                <w:bCs w:val="0"/>
              </w:rPr>
              <w:t>VI.</w:t>
            </w:r>
            <w:r w:rsidR="00AC4C04" w:rsidRPr="002412D3">
              <w:rPr>
                <w:rFonts w:eastAsiaTheme="minorEastAsia" w:cs="Arial"/>
                <w:b w:val="0"/>
                <w:bCs w:val="0"/>
              </w:rPr>
              <w:tab/>
            </w:r>
            <w:r w:rsidR="00AC4C04" w:rsidRPr="002412D3">
              <w:rPr>
                <w:rStyle w:val="Hyperlink"/>
                <w:rFonts w:cs="Arial"/>
                <w:b w:val="0"/>
                <w:bCs w:val="0"/>
              </w:rPr>
              <w:t>Other state requirements</w:t>
            </w:r>
            <w:r w:rsidR="00AC4C04" w:rsidRPr="002412D3">
              <w:rPr>
                <w:rFonts w:cs="Arial"/>
                <w:b w:val="0"/>
                <w:bCs w:val="0"/>
                <w:webHidden/>
              </w:rPr>
              <w:tab/>
            </w:r>
            <w:r w:rsidR="00AC4C04" w:rsidRPr="002412D3">
              <w:rPr>
                <w:rFonts w:cs="Arial"/>
                <w:b w:val="0"/>
                <w:bCs w:val="0"/>
                <w:webHidden/>
              </w:rPr>
              <w:fldChar w:fldCharType="begin"/>
            </w:r>
            <w:r w:rsidR="00AC4C04" w:rsidRPr="002412D3">
              <w:rPr>
                <w:rFonts w:cs="Arial"/>
                <w:b w:val="0"/>
                <w:bCs w:val="0"/>
                <w:webHidden/>
              </w:rPr>
              <w:instrText xml:space="preserve"> PAGEREF _Toc71201559 \h </w:instrText>
            </w:r>
            <w:r w:rsidR="00AC4C04" w:rsidRPr="002412D3">
              <w:rPr>
                <w:rFonts w:cs="Arial"/>
                <w:b w:val="0"/>
                <w:bCs w:val="0"/>
                <w:webHidden/>
              </w:rPr>
            </w:r>
            <w:r w:rsidR="00AC4C04" w:rsidRPr="002412D3">
              <w:rPr>
                <w:rFonts w:cs="Arial"/>
                <w:b w:val="0"/>
                <w:bCs w:val="0"/>
                <w:webHidden/>
              </w:rPr>
              <w:fldChar w:fldCharType="separate"/>
            </w:r>
            <w:r w:rsidR="00AC4C04" w:rsidRPr="002412D3">
              <w:rPr>
                <w:rFonts w:cs="Arial"/>
                <w:b w:val="0"/>
                <w:bCs w:val="0"/>
                <w:webHidden/>
              </w:rPr>
              <w:t>10</w:t>
            </w:r>
            <w:r w:rsidR="00AC4C04" w:rsidRPr="002412D3">
              <w:rPr>
                <w:rFonts w:cs="Arial"/>
                <w:b w:val="0"/>
                <w:bCs w:val="0"/>
                <w:webHidden/>
              </w:rPr>
              <w:fldChar w:fldCharType="end"/>
            </w:r>
          </w:hyperlink>
        </w:p>
        <w:p w14:paraId="128785F5" w14:textId="00872370" w:rsidR="00AC4C04" w:rsidRPr="002412D3" w:rsidRDefault="003911CC">
          <w:pPr>
            <w:pStyle w:val="TOC2"/>
            <w:rPr>
              <w:rFonts w:ascii="Arial" w:eastAsiaTheme="minorEastAsia" w:hAnsi="Arial" w:cs="Arial"/>
              <w:b w:val="0"/>
              <w:bCs w:val="0"/>
              <w:noProof/>
              <w:sz w:val="24"/>
              <w:szCs w:val="24"/>
            </w:rPr>
          </w:pPr>
          <w:hyperlink w:anchor="_Toc71201560" w:history="1">
            <w:r w:rsidR="00AC4C04" w:rsidRPr="002412D3">
              <w:rPr>
                <w:rStyle w:val="Hyperlink"/>
                <w:rFonts w:ascii="Arial" w:hAnsi="Arial" w:cs="Arial"/>
                <w:b w:val="0"/>
                <w:bCs w:val="0"/>
                <w:noProof/>
                <w:sz w:val="24"/>
                <w:szCs w:val="24"/>
              </w:rPr>
              <w:t>A.</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Relocation</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_Toc71201560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10</w:t>
            </w:r>
            <w:r w:rsidR="00AC4C04" w:rsidRPr="002412D3">
              <w:rPr>
                <w:rFonts w:ascii="Arial" w:hAnsi="Arial" w:cs="Arial"/>
                <w:b w:val="0"/>
                <w:bCs w:val="0"/>
                <w:noProof/>
                <w:webHidden/>
                <w:sz w:val="24"/>
                <w:szCs w:val="24"/>
              </w:rPr>
              <w:fldChar w:fldCharType="end"/>
            </w:r>
          </w:hyperlink>
        </w:p>
        <w:p w14:paraId="742ACC56" w14:textId="2278B48B" w:rsidR="00AC4C04" w:rsidRPr="002412D3" w:rsidRDefault="003911CC">
          <w:pPr>
            <w:pStyle w:val="TOC2"/>
            <w:rPr>
              <w:rFonts w:ascii="Arial" w:eastAsiaTheme="minorEastAsia" w:hAnsi="Arial" w:cs="Arial"/>
              <w:b w:val="0"/>
              <w:bCs w:val="0"/>
              <w:noProof/>
              <w:sz w:val="24"/>
              <w:szCs w:val="24"/>
            </w:rPr>
          </w:pPr>
          <w:hyperlink w:anchor="_Toc71201561" w:history="1">
            <w:r w:rsidR="00AC4C04" w:rsidRPr="002412D3">
              <w:rPr>
                <w:rStyle w:val="Hyperlink"/>
                <w:rFonts w:ascii="Arial" w:hAnsi="Arial" w:cs="Arial"/>
                <w:b w:val="0"/>
                <w:bCs w:val="0"/>
                <w:iCs/>
                <w:noProof/>
                <w:sz w:val="24"/>
                <w:szCs w:val="24"/>
              </w:rPr>
              <w:t>B.</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State prevailing wages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_Toc71201561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11</w:t>
            </w:r>
            <w:r w:rsidR="00AC4C04" w:rsidRPr="002412D3">
              <w:rPr>
                <w:rFonts w:ascii="Arial" w:hAnsi="Arial" w:cs="Arial"/>
                <w:b w:val="0"/>
                <w:bCs w:val="0"/>
                <w:noProof/>
                <w:webHidden/>
                <w:sz w:val="24"/>
                <w:szCs w:val="24"/>
              </w:rPr>
              <w:fldChar w:fldCharType="end"/>
            </w:r>
          </w:hyperlink>
        </w:p>
        <w:p w14:paraId="28EDF242" w14:textId="6CF91FC3" w:rsidR="00AC4C04" w:rsidRPr="002412D3" w:rsidRDefault="003911CC">
          <w:pPr>
            <w:pStyle w:val="TOC2"/>
            <w:rPr>
              <w:rFonts w:ascii="Arial" w:eastAsiaTheme="minorEastAsia" w:hAnsi="Arial" w:cs="Arial"/>
              <w:b w:val="0"/>
              <w:bCs w:val="0"/>
              <w:noProof/>
              <w:sz w:val="24"/>
              <w:szCs w:val="24"/>
            </w:rPr>
          </w:pPr>
          <w:hyperlink w:anchor="_Toc71201562" w:history="1">
            <w:r w:rsidR="00AC4C04" w:rsidRPr="002412D3">
              <w:rPr>
                <w:rStyle w:val="Hyperlink"/>
                <w:rFonts w:ascii="Arial" w:hAnsi="Arial" w:cs="Arial"/>
                <w:b w:val="0"/>
                <w:bCs w:val="0"/>
                <w:noProof/>
                <w:sz w:val="24"/>
                <w:szCs w:val="24"/>
              </w:rPr>
              <w:t>C.</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Article XXXIV</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_Toc71201562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11</w:t>
            </w:r>
            <w:r w:rsidR="00AC4C04" w:rsidRPr="002412D3">
              <w:rPr>
                <w:rFonts w:ascii="Arial" w:hAnsi="Arial" w:cs="Arial"/>
                <w:b w:val="0"/>
                <w:bCs w:val="0"/>
                <w:noProof/>
                <w:webHidden/>
                <w:sz w:val="24"/>
                <w:szCs w:val="24"/>
              </w:rPr>
              <w:fldChar w:fldCharType="end"/>
            </w:r>
          </w:hyperlink>
        </w:p>
        <w:p w14:paraId="4B73A0EC" w14:textId="562A33DA" w:rsidR="00AC4C04" w:rsidRPr="002412D3" w:rsidRDefault="003911CC">
          <w:pPr>
            <w:pStyle w:val="TOC1"/>
            <w:rPr>
              <w:rFonts w:eastAsiaTheme="minorEastAsia" w:cs="Arial"/>
              <w:b w:val="0"/>
              <w:bCs w:val="0"/>
            </w:rPr>
          </w:pPr>
          <w:hyperlink w:anchor="_Toc71201563" w:history="1">
            <w:r w:rsidR="00AC4C04" w:rsidRPr="002412D3">
              <w:rPr>
                <w:rStyle w:val="Hyperlink"/>
                <w:rFonts w:cs="Arial"/>
                <w:b w:val="0"/>
                <w:bCs w:val="0"/>
              </w:rPr>
              <w:t>VII.</w:t>
            </w:r>
            <w:r w:rsidR="00AC4C04" w:rsidRPr="002412D3">
              <w:rPr>
                <w:rFonts w:eastAsiaTheme="minorEastAsia" w:cs="Arial"/>
                <w:b w:val="0"/>
                <w:bCs w:val="0"/>
              </w:rPr>
              <w:tab/>
            </w:r>
            <w:r w:rsidR="00AC4C04" w:rsidRPr="002412D3">
              <w:rPr>
                <w:rStyle w:val="Hyperlink"/>
                <w:rFonts w:cs="Arial"/>
                <w:b w:val="0"/>
                <w:bCs w:val="0"/>
              </w:rPr>
              <w:t>Other terms and conditions</w:t>
            </w:r>
            <w:r w:rsidR="00AC4C04" w:rsidRPr="002412D3">
              <w:rPr>
                <w:rFonts w:cs="Arial"/>
                <w:b w:val="0"/>
                <w:bCs w:val="0"/>
                <w:webHidden/>
              </w:rPr>
              <w:tab/>
            </w:r>
            <w:r w:rsidR="00AC4C04" w:rsidRPr="002412D3">
              <w:rPr>
                <w:rFonts w:cs="Arial"/>
                <w:b w:val="0"/>
                <w:bCs w:val="0"/>
                <w:webHidden/>
              </w:rPr>
              <w:fldChar w:fldCharType="begin"/>
            </w:r>
            <w:r w:rsidR="00AC4C04" w:rsidRPr="002412D3">
              <w:rPr>
                <w:rFonts w:cs="Arial"/>
                <w:b w:val="0"/>
                <w:bCs w:val="0"/>
                <w:webHidden/>
              </w:rPr>
              <w:instrText xml:space="preserve"> PAGEREF _Toc71201563 \h </w:instrText>
            </w:r>
            <w:r w:rsidR="00AC4C04" w:rsidRPr="002412D3">
              <w:rPr>
                <w:rFonts w:cs="Arial"/>
                <w:b w:val="0"/>
                <w:bCs w:val="0"/>
                <w:webHidden/>
              </w:rPr>
            </w:r>
            <w:r w:rsidR="00AC4C04" w:rsidRPr="002412D3">
              <w:rPr>
                <w:rFonts w:cs="Arial"/>
                <w:b w:val="0"/>
                <w:bCs w:val="0"/>
                <w:webHidden/>
              </w:rPr>
              <w:fldChar w:fldCharType="separate"/>
            </w:r>
            <w:r w:rsidR="00AC4C04" w:rsidRPr="002412D3">
              <w:rPr>
                <w:rFonts w:cs="Arial"/>
                <w:b w:val="0"/>
                <w:bCs w:val="0"/>
                <w:webHidden/>
              </w:rPr>
              <w:t>11</w:t>
            </w:r>
            <w:r w:rsidR="00AC4C04" w:rsidRPr="002412D3">
              <w:rPr>
                <w:rFonts w:cs="Arial"/>
                <w:b w:val="0"/>
                <w:bCs w:val="0"/>
                <w:webHidden/>
              </w:rPr>
              <w:fldChar w:fldCharType="end"/>
            </w:r>
          </w:hyperlink>
        </w:p>
        <w:p w14:paraId="2DF15A7F" w14:textId="18DF1E47" w:rsidR="00AC4C04" w:rsidRPr="002412D3" w:rsidRDefault="003911CC">
          <w:pPr>
            <w:pStyle w:val="TOC2"/>
            <w:rPr>
              <w:rFonts w:ascii="Arial" w:eastAsiaTheme="minorEastAsia" w:hAnsi="Arial" w:cs="Arial"/>
              <w:b w:val="0"/>
              <w:bCs w:val="0"/>
              <w:noProof/>
              <w:sz w:val="24"/>
              <w:szCs w:val="24"/>
            </w:rPr>
          </w:pPr>
          <w:hyperlink w:anchor="_Toc71201564" w:history="1">
            <w:r w:rsidR="00AC4C04" w:rsidRPr="002412D3">
              <w:rPr>
                <w:rStyle w:val="Hyperlink"/>
                <w:rFonts w:ascii="Arial" w:hAnsi="Arial" w:cs="Arial"/>
                <w:b w:val="0"/>
                <w:bCs w:val="0"/>
                <w:noProof/>
                <w:sz w:val="24"/>
                <w:szCs w:val="24"/>
              </w:rPr>
              <w:t>A.</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Right to modify or suspend</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_Toc71201564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11</w:t>
            </w:r>
            <w:r w:rsidR="00AC4C04" w:rsidRPr="002412D3">
              <w:rPr>
                <w:rFonts w:ascii="Arial" w:hAnsi="Arial" w:cs="Arial"/>
                <w:b w:val="0"/>
                <w:bCs w:val="0"/>
                <w:noProof/>
                <w:webHidden/>
                <w:sz w:val="24"/>
                <w:szCs w:val="24"/>
              </w:rPr>
              <w:fldChar w:fldCharType="end"/>
            </w:r>
          </w:hyperlink>
        </w:p>
        <w:p w14:paraId="1F298F08" w14:textId="105C7D5D" w:rsidR="00AC4C04" w:rsidRPr="002412D3" w:rsidRDefault="003911CC">
          <w:pPr>
            <w:pStyle w:val="TOC2"/>
            <w:rPr>
              <w:rFonts w:ascii="Arial" w:eastAsiaTheme="minorEastAsia" w:hAnsi="Arial" w:cs="Arial"/>
              <w:b w:val="0"/>
              <w:bCs w:val="0"/>
              <w:noProof/>
              <w:sz w:val="24"/>
              <w:szCs w:val="24"/>
            </w:rPr>
          </w:pPr>
          <w:hyperlink w:anchor="_Toc71201565" w:history="1">
            <w:r w:rsidR="00AC4C04" w:rsidRPr="002412D3">
              <w:rPr>
                <w:rStyle w:val="Hyperlink"/>
                <w:rFonts w:ascii="Arial" w:hAnsi="Arial" w:cs="Arial"/>
                <w:b w:val="0"/>
                <w:bCs w:val="0"/>
                <w:noProof/>
                <w:sz w:val="24"/>
                <w:szCs w:val="24"/>
              </w:rPr>
              <w:t>B.</w:t>
            </w:r>
            <w:r w:rsidR="00AC4C04" w:rsidRPr="002412D3">
              <w:rPr>
                <w:rFonts w:ascii="Arial" w:eastAsiaTheme="minorEastAsia" w:hAnsi="Arial" w:cs="Arial"/>
                <w:b w:val="0"/>
                <w:bCs w:val="0"/>
                <w:noProof/>
                <w:sz w:val="24"/>
                <w:szCs w:val="24"/>
              </w:rPr>
              <w:tab/>
            </w:r>
            <w:r w:rsidR="00AC4C04" w:rsidRPr="002412D3">
              <w:rPr>
                <w:rStyle w:val="Hyperlink"/>
                <w:rFonts w:ascii="Arial" w:hAnsi="Arial" w:cs="Arial"/>
                <w:b w:val="0"/>
                <w:bCs w:val="0"/>
                <w:noProof/>
                <w:sz w:val="24"/>
                <w:szCs w:val="24"/>
              </w:rPr>
              <w:t>Conflicts</w:t>
            </w:r>
            <w:r w:rsidR="00AC4C04" w:rsidRPr="002412D3">
              <w:rPr>
                <w:rFonts w:ascii="Arial" w:hAnsi="Arial" w:cs="Arial"/>
                <w:b w:val="0"/>
                <w:bCs w:val="0"/>
                <w:noProof/>
                <w:webHidden/>
                <w:sz w:val="24"/>
                <w:szCs w:val="24"/>
              </w:rPr>
              <w:tab/>
            </w:r>
            <w:r w:rsidR="00AC4C04" w:rsidRPr="002412D3">
              <w:rPr>
                <w:rFonts w:ascii="Arial" w:hAnsi="Arial" w:cs="Arial"/>
                <w:b w:val="0"/>
                <w:bCs w:val="0"/>
                <w:noProof/>
                <w:webHidden/>
                <w:sz w:val="24"/>
                <w:szCs w:val="24"/>
              </w:rPr>
              <w:fldChar w:fldCharType="begin"/>
            </w:r>
            <w:r w:rsidR="00AC4C04" w:rsidRPr="002412D3">
              <w:rPr>
                <w:rFonts w:ascii="Arial" w:hAnsi="Arial" w:cs="Arial"/>
                <w:b w:val="0"/>
                <w:bCs w:val="0"/>
                <w:noProof/>
                <w:webHidden/>
                <w:sz w:val="24"/>
                <w:szCs w:val="24"/>
              </w:rPr>
              <w:instrText xml:space="preserve"> PAGEREF _Toc71201565 \h </w:instrText>
            </w:r>
            <w:r w:rsidR="00AC4C04" w:rsidRPr="002412D3">
              <w:rPr>
                <w:rFonts w:ascii="Arial" w:hAnsi="Arial" w:cs="Arial"/>
                <w:b w:val="0"/>
                <w:bCs w:val="0"/>
                <w:noProof/>
                <w:webHidden/>
                <w:sz w:val="24"/>
                <w:szCs w:val="24"/>
              </w:rPr>
            </w:r>
            <w:r w:rsidR="00AC4C04" w:rsidRPr="002412D3">
              <w:rPr>
                <w:rFonts w:ascii="Arial" w:hAnsi="Arial" w:cs="Arial"/>
                <w:b w:val="0"/>
                <w:bCs w:val="0"/>
                <w:noProof/>
                <w:webHidden/>
                <w:sz w:val="24"/>
                <w:szCs w:val="24"/>
              </w:rPr>
              <w:fldChar w:fldCharType="separate"/>
            </w:r>
            <w:r w:rsidR="00AC4C04" w:rsidRPr="002412D3">
              <w:rPr>
                <w:rFonts w:ascii="Arial" w:hAnsi="Arial" w:cs="Arial"/>
                <w:b w:val="0"/>
                <w:bCs w:val="0"/>
                <w:noProof/>
                <w:webHidden/>
                <w:sz w:val="24"/>
                <w:szCs w:val="24"/>
              </w:rPr>
              <w:t>11</w:t>
            </w:r>
            <w:r w:rsidR="00AC4C04" w:rsidRPr="002412D3">
              <w:rPr>
                <w:rFonts w:ascii="Arial" w:hAnsi="Arial" w:cs="Arial"/>
                <w:b w:val="0"/>
                <w:bCs w:val="0"/>
                <w:noProof/>
                <w:webHidden/>
                <w:sz w:val="24"/>
                <w:szCs w:val="24"/>
              </w:rPr>
              <w:fldChar w:fldCharType="end"/>
            </w:r>
          </w:hyperlink>
        </w:p>
        <w:p w14:paraId="69D6E3F2" w14:textId="1860F808" w:rsidR="00471486" w:rsidRDefault="00AC4C04">
          <w:r>
            <w:rPr>
              <w:rFonts w:ascii="Arial" w:eastAsia="Times New Roman" w:hAnsi="Arial" w:cs="Arial"/>
              <w:noProof/>
              <w:sz w:val="24"/>
              <w:szCs w:val="24"/>
            </w:rPr>
            <w:fldChar w:fldCharType="end"/>
          </w:r>
        </w:p>
      </w:sdtContent>
    </w:sdt>
    <w:p w14:paraId="5393B939" w14:textId="001CEA1A" w:rsidR="00721517" w:rsidRDefault="00721517">
      <w:pPr>
        <w:rPr>
          <w:rFonts w:ascii="Arial" w:eastAsia="Times New Roman" w:hAnsi="Arial" w:cs="Arial"/>
          <w:b/>
          <w:sz w:val="24"/>
        </w:rPr>
      </w:pPr>
      <w:r>
        <w:rPr>
          <w:rFonts w:ascii="Arial" w:eastAsia="Times New Roman" w:hAnsi="Arial" w:cs="Arial"/>
          <w:b/>
          <w:sz w:val="24"/>
        </w:rPr>
        <w:br w:type="page"/>
      </w:r>
    </w:p>
    <w:p w14:paraId="704DA4A9" w14:textId="77777777" w:rsidR="00024400" w:rsidRPr="00024400" w:rsidRDefault="00024400" w:rsidP="00024400">
      <w:pPr>
        <w:tabs>
          <w:tab w:val="left" w:pos="3765"/>
        </w:tabs>
        <w:spacing w:after="0" w:line="240" w:lineRule="auto"/>
        <w:jc w:val="center"/>
        <w:rPr>
          <w:rFonts w:ascii="Arial" w:eastAsia="Times New Roman" w:hAnsi="Arial" w:cs="Arial"/>
          <w:b/>
          <w:sz w:val="24"/>
        </w:rPr>
        <w:sectPr w:rsidR="00024400" w:rsidRPr="00024400" w:rsidSect="007034B3">
          <w:pgSz w:w="12240" w:h="15840"/>
          <w:pgMar w:top="1080" w:right="1440" w:bottom="1080" w:left="1440" w:header="720" w:footer="251" w:gutter="0"/>
          <w:pgNumType w:start="1"/>
          <w:cols w:space="720"/>
          <w:titlePg/>
          <w:docGrid w:linePitch="360"/>
        </w:sectPr>
      </w:pPr>
    </w:p>
    <w:p w14:paraId="489A32D6" w14:textId="1220BA99" w:rsidR="00024400" w:rsidRPr="000F5765" w:rsidRDefault="00024400" w:rsidP="00D2631D">
      <w:pPr>
        <w:pStyle w:val="Heading1"/>
        <w:numPr>
          <w:ilvl w:val="0"/>
          <w:numId w:val="4"/>
        </w:numPr>
        <w:ind w:left="360" w:hanging="360"/>
        <w:jc w:val="left"/>
        <w:rPr>
          <w:rFonts w:cs="Times New Roman"/>
        </w:rPr>
      </w:pPr>
      <w:bookmarkStart w:id="18" w:name="_Toc47528491"/>
      <w:bookmarkStart w:id="19" w:name="_Toc71201535"/>
      <w:r w:rsidRPr="000F5765">
        <w:t>Overview</w:t>
      </w:r>
      <w:bookmarkEnd w:id="18"/>
      <w:bookmarkEnd w:id="19"/>
    </w:p>
    <w:p w14:paraId="29EB067D" w14:textId="0D95C64E" w:rsidR="00024400" w:rsidRPr="00AD1F8D" w:rsidRDefault="00024400" w:rsidP="001C6E69">
      <w:pPr>
        <w:pStyle w:val="Heading2"/>
        <w:rPr>
          <w:rFonts w:cs="Times New Roman"/>
        </w:rPr>
      </w:pPr>
      <w:bookmarkStart w:id="20" w:name="_Toc47528492"/>
      <w:bookmarkStart w:id="21" w:name="_Toc71201536"/>
      <w:r w:rsidRPr="00024400">
        <w:t>Notice of Funding Availability</w:t>
      </w:r>
      <w:bookmarkEnd w:id="20"/>
      <w:r w:rsidR="00E63697">
        <w:t xml:space="preserve"> (NOFA)</w:t>
      </w:r>
      <w:bookmarkEnd w:id="21"/>
    </w:p>
    <w:p w14:paraId="7C943E3D" w14:textId="5B7DA9B1" w:rsidR="00575291" w:rsidRPr="00804788" w:rsidRDefault="00411B10" w:rsidP="00681122">
      <w:pPr>
        <w:spacing w:after="240" w:line="240" w:lineRule="auto"/>
        <w:ind w:left="720"/>
        <w:rPr>
          <w:rFonts w:cs="Times New Roman"/>
        </w:rPr>
      </w:pPr>
      <w:r w:rsidRPr="00804788">
        <w:rPr>
          <w:rFonts w:ascii="Arial" w:eastAsia="Times New Roman" w:hAnsi="Arial" w:cs="Times New Roman"/>
          <w:sz w:val="24"/>
        </w:rPr>
        <w:t xml:space="preserve">The California Department of Housing and Community Development (HCD) is pleased to announce the initial release of Veterans and Affordable Housing Bond Act of 2018 (Proposition 1) Infill Infrastructure Grant program (IIG) funding for approximately $160 million. This Notice of Funding Availability (NOFA) </w:t>
      </w:r>
      <w:r w:rsidR="0089643B">
        <w:rPr>
          <w:rFonts w:ascii="Arial" w:eastAsia="Times New Roman" w:hAnsi="Arial" w:cs="Times New Roman"/>
          <w:sz w:val="24"/>
        </w:rPr>
        <w:t xml:space="preserve">will </w:t>
      </w:r>
      <w:r w:rsidRPr="00804788">
        <w:rPr>
          <w:rFonts w:ascii="Arial" w:eastAsia="Times New Roman" w:hAnsi="Arial" w:cs="Times New Roman"/>
          <w:sz w:val="24"/>
        </w:rPr>
        <w:t>provide grants to for-profit or nonprofit developers, localities, or public agencies for Capital Improvement Projects in support of Qualifying Infill Projects</w:t>
      </w:r>
      <w:r w:rsidR="00256483">
        <w:rPr>
          <w:rFonts w:ascii="Arial" w:eastAsia="Times New Roman" w:hAnsi="Arial" w:cs="Times New Roman"/>
          <w:sz w:val="24"/>
        </w:rPr>
        <w:t xml:space="preserve"> (QIP</w:t>
      </w:r>
      <w:r w:rsidR="008D35B8">
        <w:rPr>
          <w:rFonts w:ascii="Arial" w:eastAsia="Times New Roman" w:hAnsi="Arial" w:cs="Times New Roman"/>
          <w:sz w:val="24"/>
        </w:rPr>
        <w:t>s</w:t>
      </w:r>
      <w:r w:rsidR="00256483">
        <w:rPr>
          <w:rFonts w:ascii="Arial" w:eastAsia="Times New Roman" w:hAnsi="Arial" w:cs="Times New Roman"/>
          <w:sz w:val="24"/>
        </w:rPr>
        <w:t>)</w:t>
      </w:r>
      <w:r w:rsidRPr="00804788">
        <w:rPr>
          <w:rFonts w:ascii="Arial" w:eastAsia="Times New Roman" w:hAnsi="Arial" w:cs="Times New Roman"/>
          <w:sz w:val="24"/>
        </w:rPr>
        <w:t xml:space="preserve"> or Qualifying Infill Areas</w:t>
      </w:r>
      <w:r w:rsidR="008D35B8">
        <w:rPr>
          <w:rFonts w:ascii="Arial" w:eastAsia="Times New Roman" w:hAnsi="Arial" w:cs="Times New Roman"/>
          <w:sz w:val="24"/>
        </w:rPr>
        <w:t xml:space="preserve"> (QIAs)</w:t>
      </w:r>
      <w:r w:rsidRPr="00804788">
        <w:rPr>
          <w:rFonts w:ascii="Arial" w:eastAsia="Times New Roman" w:hAnsi="Arial" w:cs="Times New Roman"/>
          <w:sz w:val="24"/>
        </w:rPr>
        <w:t>.</w:t>
      </w:r>
    </w:p>
    <w:p w14:paraId="5199324A" w14:textId="2C7D0DD4" w:rsidR="00142759" w:rsidRPr="00804788" w:rsidRDefault="00142759" w:rsidP="00681122">
      <w:pPr>
        <w:spacing w:after="240" w:line="240" w:lineRule="auto"/>
        <w:ind w:left="720"/>
        <w:rPr>
          <w:rFonts w:ascii="Arial" w:eastAsia="Times New Roman" w:hAnsi="Arial" w:cs="Times New Roman"/>
          <w:sz w:val="24"/>
        </w:rPr>
      </w:pPr>
      <w:r w:rsidRPr="00804788">
        <w:rPr>
          <w:rFonts w:ascii="Arial" w:eastAsia="Times New Roman" w:hAnsi="Arial" w:cs="Times New Roman"/>
          <w:sz w:val="24"/>
        </w:rPr>
        <w:t>The primary objective</w:t>
      </w:r>
      <w:r w:rsidR="00CB0A83" w:rsidRPr="00804788">
        <w:rPr>
          <w:rFonts w:ascii="Arial" w:eastAsia="Times New Roman" w:hAnsi="Arial" w:cs="Times New Roman"/>
          <w:sz w:val="24"/>
        </w:rPr>
        <w:t xml:space="preserve"> of the IIG program</w:t>
      </w:r>
      <w:r w:rsidRPr="00804788">
        <w:rPr>
          <w:rFonts w:ascii="Arial" w:eastAsia="Times New Roman" w:hAnsi="Arial" w:cs="Times New Roman"/>
          <w:sz w:val="24"/>
        </w:rPr>
        <w:t xml:space="preserve"> is to promote infill housing development by providing financial assistance for Capital Improvement Projects that are an integral part of or necessary to facilitate the development of infill housing.</w:t>
      </w:r>
    </w:p>
    <w:p w14:paraId="421F2A24" w14:textId="56F2C07A" w:rsidR="00B611D3" w:rsidRPr="00CB0ADD" w:rsidRDefault="00024400" w:rsidP="001C6E69">
      <w:pPr>
        <w:pStyle w:val="Heading2"/>
        <w:rPr>
          <w:b w:val="0"/>
          <w:szCs w:val="24"/>
        </w:rPr>
      </w:pPr>
      <w:bookmarkStart w:id="22" w:name="_Toc47528493"/>
      <w:bookmarkStart w:id="23" w:name="_Toc71201537"/>
      <w:r w:rsidRPr="00024400">
        <w:t>Timeline</w:t>
      </w:r>
      <w:bookmarkEnd w:id="22"/>
      <w:bookmarkEnd w:id="23"/>
    </w:p>
    <w:tbl>
      <w:tblPr>
        <w:tblStyle w:val="TableGrid"/>
        <w:tblW w:w="0" w:type="auto"/>
        <w:jc w:val="center"/>
        <w:shd w:val="clear" w:color="auto" w:fill="E2EFD9" w:themeFill="accent6" w:themeFillTint="33"/>
        <w:tblLook w:val="04A0" w:firstRow="1" w:lastRow="0" w:firstColumn="1" w:lastColumn="0" w:noHBand="0" w:noVBand="1"/>
        <w:tblDescription w:val="Table with information on the timeline for the NOFA procress"/>
      </w:tblPr>
      <w:tblGrid>
        <w:gridCol w:w="3145"/>
        <w:gridCol w:w="2880"/>
      </w:tblGrid>
      <w:tr w:rsidR="00891D68" w:rsidRPr="00024400" w14:paraId="712E669E" w14:textId="77777777" w:rsidTr="46EC65D1">
        <w:trPr>
          <w:trHeight w:hRule="exact" w:val="432"/>
          <w:jc w:val="center"/>
        </w:trPr>
        <w:tc>
          <w:tcPr>
            <w:tcW w:w="3145" w:type="dxa"/>
            <w:shd w:val="clear" w:color="auto" w:fill="E2EFD9" w:themeFill="accent6" w:themeFillTint="33"/>
            <w:tcMar>
              <w:top w:w="86" w:type="dxa"/>
              <w:left w:w="115" w:type="dxa"/>
              <w:right w:w="115" w:type="dxa"/>
            </w:tcMar>
            <w:vAlign w:val="center"/>
          </w:tcPr>
          <w:p w14:paraId="387E2A22" w14:textId="2B418BBD" w:rsidR="00891D68" w:rsidRPr="00C13E4E" w:rsidRDefault="00891D68" w:rsidP="2DCAF3F4">
            <w:pPr>
              <w:spacing w:after="240"/>
              <w:rPr>
                <w:b/>
                <w:bCs/>
              </w:rPr>
            </w:pPr>
            <w:r w:rsidRPr="2DCAF3F4">
              <w:rPr>
                <w:b/>
                <w:bCs/>
              </w:rPr>
              <w:t>Description</w:t>
            </w:r>
          </w:p>
        </w:tc>
        <w:tc>
          <w:tcPr>
            <w:tcW w:w="2880" w:type="dxa"/>
            <w:shd w:val="clear" w:color="auto" w:fill="E2EFD9" w:themeFill="accent6" w:themeFillTint="33"/>
            <w:tcMar>
              <w:top w:w="86" w:type="dxa"/>
              <w:left w:w="115" w:type="dxa"/>
              <w:right w:w="115" w:type="dxa"/>
            </w:tcMar>
            <w:vAlign w:val="center"/>
          </w:tcPr>
          <w:p w14:paraId="5B233829" w14:textId="6EB136A6" w:rsidR="00891D68" w:rsidRPr="00C13E4E" w:rsidRDefault="00891D68" w:rsidP="2DCAF3F4">
            <w:pPr>
              <w:spacing w:after="240"/>
              <w:rPr>
                <w:b/>
                <w:bCs/>
              </w:rPr>
            </w:pPr>
            <w:r w:rsidRPr="2DCAF3F4">
              <w:rPr>
                <w:b/>
                <w:bCs/>
              </w:rPr>
              <w:t>Date</w:t>
            </w:r>
          </w:p>
        </w:tc>
      </w:tr>
      <w:tr w:rsidR="00024400" w:rsidRPr="00024400" w14:paraId="2D5149A1" w14:textId="77777777" w:rsidTr="46EC65D1">
        <w:trPr>
          <w:trHeight w:hRule="exact" w:val="432"/>
          <w:jc w:val="center"/>
        </w:trPr>
        <w:tc>
          <w:tcPr>
            <w:tcW w:w="3145" w:type="dxa"/>
            <w:shd w:val="clear" w:color="auto" w:fill="E2EFD9" w:themeFill="accent6" w:themeFillTint="33"/>
            <w:tcMar>
              <w:top w:w="86" w:type="dxa"/>
              <w:left w:w="115" w:type="dxa"/>
              <w:right w:w="115" w:type="dxa"/>
            </w:tcMar>
            <w:vAlign w:val="center"/>
          </w:tcPr>
          <w:p w14:paraId="214AA5B2" w14:textId="77777777" w:rsidR="00024400" w:rsidRPr="007B00D4" w:rsidRDefault="00024400" w:rsidP="001C6E69">
            <w:pPr>
              <w:spacing w:after="240"/>
              <w:rPr>
                <w:bCs/>
              </w:rPr>
            </w:pPr>
            <w:r w:rsidRPr="007B00D4">
              <w:rPr>
                <w:bCs/>
              </w:rPr>
              <w:t>NOFA Release</w:t>
            </w:r>
          </w:p>
        </w:tc>
        <w:tc>
          <w:tcPr>
            <w:tcW w:w="2880" w:type="dxa"/>
            <w:shd w:val="clear" w:color="auto" w:fill="E2EFD9" w:themeFill="accent6" w:themeFillTint="33"/>
            <w:tcMar>
              <w:top w:w="86" w:type="dxa"/>
              <w:left w:w="115" w:type="dxa"/>
              <w:right w:w="115" w:type="dxa"/>
            </w:tcMar>
            <w:vAlign w:val="center"/>
          </w:tcPr>
          <w:p w14:paraId="47C36046" w14:textId="14E6B818" w:rsidR="00024400" w:rsidRPr="00FB7C69" w:rsidRDefault="76F6F418" w:rsidP="001C6E69">
            <w:pPr>
              <w:spacing w:after="240"/>
            </w:pPr>
            <w:r w:rsidRPr="000B2A88">
              <w:t xml:space="preserve">May </w:t>
            </w:r>
            <w:r w:rsidR="00FA1465">
              <w:t>12</w:t>
            </w:r>
            <w:r w:rsidRPr="000B2A88">
              <w:t>, 2021</w:t>
            </w:r>
          </w:p>
        </w:tc>
      </w:tr>
      <w:tr w:rsidR="00891D68" w:rsidRPr="00024400" w14:paraId="5804599F" w14:textId="77777777" w:rsidTr="46EC65D1">
        <w:trPr>
          <w:trHeight w:hRule="exact" w:val="432"/>
          <w:jc w:val="center"/>
        </w:trPr>
        <w:tc>
          <w:tcPr>
            <w:tcW w:w="3145" w:type="dxa"/>
            <w:shd w:val="clear" w:color="auto" w:fill="E2EFD9" w:themeFill="accent6" w:themeFillTint="33"/>
            <w:tcMar>
              <w:top w:w="86" w:type="dxa"/>
              <w:left w:w="115" w:type="dxa"/>
              <w:right w:w="115" w:type="dxa"/>
            </w:tcMar>
            <w:vAlign w:val="center"/>
          </w:tcPr>
          <w:p w14:paraId="4803F800" w14:textId="475D5550" w:rsidR="00891D68" w:rsidRPr="007B00D4" w:rsidRDefault="00891D68" w:rsidP="001C6E69">
            <w:pPr>
              <w:spacing w:after="240"/>
              <w:rPr>
                <w:bCs/>
              </w:rPr>
            </w:pPr>
            <w:r>
              <w:rPr>
                <w:bCs/>
              </w:rPr>
              <w:t>Application Due Date</w:t>
            </w:r>
          </w:p>
        </w:tc>
        <w:tc>
          <w:tcPr>
            <w:tcW w:w="2880" w:type="dxa"/>
            <w:shd w:val="clear" w:color="auto" w:fill="E2EFD9" w:themeFill="accent6" w:themeFillTint="33"/>
            <w:tcMar>
              <w:top w:w="86" w:type="dxa"/>
              <w:left w:w="115" w:type="dxa"/>
              <w:right w:w="115" w:type="dxa"/>
            </w:tcMar>
            <w:vAlign w:val="center"/>
          </w:tcPr>
          <w:p w14:paraId="5B4DF030" w14:textId="1D504F8E" w:rsidR="00891D68" w:rsidRPr="00FB7C69" w:rsidRDefault="005F0C3E" w:rsidP="001C6E69">
            <w:pPr>
              <w:spacing w:after="240"/>
              <w:rPr>
                <w:bCs/>
              </w:rPr>
            </w:pPr>
            <w:r w:rsidRPr="00FB7C69">
              <w:rPr>
                <w:bCs/>
              </w:rPr>
              <w:t>Ju</w:t>
            </w:r>
            <w:r w:rsidR="00336DD4" w:rsidRPr="00FB7C69">
              <w:rPr>
                <w:bCs/>
              </w:rPr>
              <w:t>ly</w:t>
            </w:r>
            <w:r w:rsidR="00FA1465">
              <w:rPr>
                <w:bCs/>
              </w:rPr>
              <w:t xml:space="preserve"> 12</w:t>
            </w:r>
            <w:r w:rsidR="00510EB3" w:rsidRPr="00FB7C69">
              <w:rPr>
                <w:bCs/>
              </w:rPr>
              <w:t>, 2021</w:t>
            </w:r>
          </w:p>
        </w:tc>
      </w:tr>
      <w:tr w:rsidR="00891D68" w:rsidRPr="00024400" w14:paraId="4FD8D2D8" w14:textId="77777777" w:rsidTr="46EC65D1">
        <w:trPr>
          <w:trHeight w:hRule="exact" w:val="432"/>
          <w:jc w:val="center"/>
        </w:trPr>
        <w:tc>
          <w:tcPr>
            <w:tcW w:w="3145" w:type="dxa"/>
            <w:shd w:val="clear" w:color="auto" w:fill="E2EFD9" w:themeFill="accent6" w:themeFillTint="33"/>
            <w:tcMar>
              <w:top w:w="86" w:type="dxa"/>
              <w:left w:w="115" w:type="dxa"/>
              <w:right w:w="115" w:type="dxa"/>
            </w:tcMar>
            <w:vAlign w:val="center"/>
          </w:tcPr>
          <w:p w14:paraId="43D1BE1B" w14:textId="101058C1" w:rsidR="00891D68" w:rsidRPr="007B00D4" w:rsidRDefault="00891D68" w:rsidP="00703CEF">
            <w:pPr>
              <w:spacing w:after="240"/>
              <w:rPr>
                <w:bCs/>
              </w:rPr>
            </w:pPr>
            <w:r>
              <w:rPr>
                <w:bCs/>
              </w:rPr>
              <w:t>Award Announcements</w:t>
            </w:r>
          </w:p>
        </w:tc>
        <w:tc>
          <w:tcPr>
            <w:tcW w:w="2880" w:type="dxa"/>
            <w:shd w:val="clear" w:color="auto" w:fill="E2EFD9" w:themeFill="accent6" w:themeFillTint="33"/>
            <w:tcMar>
              <w:top w:w="86" w:type="dxa"/>
              <w:left w:w="115" w:type="dxa"/>
              <w:right w:w="115" w:type="dxa"/>
            </w:tcMar>
            <w:vAlign w:val="center"/>
          </w:tcPr>
          <w:p w14:paraId="6076FD1B" w14:textId="01C1E007" w:rsidR="00891D68" w:rsidRPr="00FB7C69" w:rsidRDefault="00FA1465" w:rsidP="46EC65D1">
            <w:pPr>
              <w:spacing w:after="240" w:line="259" w:lineRule="auto"/>
            </w:pPr>
            <w:r>
              <w:t>Early October</w:t>
            </w:r>
            <w:r w:rsidR="00B05901">
              <w:t xml:space="preserve"> </w:t>
            </w:r>
            <w:r w:rsidR="0D8D3FDC">
              <w:t>2021</w:t>
            </w:r>
          </w:p>
        </w:tc>
      </w:tr>
    </w:tbl>
    <w:p w14:paraId="73116596" w14:textId="110F57C9" w:rsidR="00BB7977" w:rsidRPr="00AD1F8D" w:rsidRDefault="00024400" w:rsidP="001C6E69">
      <w:pPr>
        <w:pStyle w:val="Heading2"/>
        <w:spacing w:before="240"/>
        <w:contextualSpacing w:val="0"/>
        <w:rPr>
          <w:rFonts w:cs="Times New Roman"/>
        </w:rPr>
      </w:pPr>
      <w:bookmarkStart w:id="24" w:name="_Toc47528494"/>
      <w:bookmarkStart w:id="25" w:name="_Toc71201538"/>
      <w:r w:rsidRPr="00024400">
        <w:t>What</w:t>
      </w:r>
      <w:r w:rsidR="006D4E61" w:rsidRPr="00C76370">
        <w:t>’</w:t>
      </w:r>
      <w:r w:rsidR="006D4E61" w:rsidRPr="00833D56">
        <w:t xml:space="preserve">s </w:t>
      </w:r>
      <w:r w:rsidR="00927F25">
        <w:t>n</w:t>
      </w:r>
      <w:r w:rsidRPr="00024400">
        <w:t xml:space="preserve">ew in </w:t>
      </w:r>
      <w:r w:rsidR="006D4E61" w:rsidRPr="00C76370">
        <w:t xml:space="preserve">this </w:t>
      </w:r>
      <w:r w:rsidRPr="00024400">
        <w:t>NOFA</w:t>
      </w:r>
      <w:bookmarkEnd w:id="24"/>
      <w:r w:rsidR="00F72ECC">
        <w:t xml:space="preserve"> and Guidelines</w:t>
      </w:r>
      <w:bookmarkEnd w:id="25"/>
    </w:p>
    <w:p w14:paraId="4AB6200F" w14:textId="0F019F80" w:rsidR="0089618F" w:rsidRDefault="00142759">
      <w:pPr>
        <w:spacing w:after="240" w:line="240" w:lineRule="auto"/>
        <w:ind w:left="720"/>
        <w:rPr>
          <w:rFonts w:ascii="Arial" w:eastAsia="Times New Roman" w:hAnsi="Arial" w:cs="Times New Roman"/>
          <w:sz w:val="24"/>
        </w:rPr>
      </w:pPr>
      <w:r w:rsidRPr="00C30A7C">
        <w:rPr>
          <w:rFonts w:ascii="Arial" w:eastAsia="Times New Roman" w:hAnsi="Arial" w:cs="Times New Roman"/>
          <w:sz w:val="24"/>
        </w:rPr>
        <w:t xml:space="preserve">Applications submitted under this NOFA are subject to the </w:t>
      </w:r>
      <w:r w:rsidR="00050636" w:rsidRPr="000B2A88">
        <w:rPr>
          <w:rFonts w:ascii="Arial" w:eastAsia="Times New Roman" w:hAnsi="Arial" w:cs="Times New Roman"/>
          <w:sz w:val="24"/>
        </w:rPr>
        <w:t xml:space="preserve">May </w:t>
      </w:r>
      <w:r w:rsidR="00FA1465">
        <w:rPr>
          <w:rFonts w:ascii="Arial" w:eastAsia="Times New Roman" w:hAnsi="Arial" w:cs="Times New Roman"/>
          <w:sz w:val="24"/>
        </w:rPr>
        <w:t>12</w:t>
      </w:r>
      <w:r w:rsidR="00050636" w:rsidRPr="000B2A88">
        <w:rPr>
          <w:rFonts w:ascii="Arial" w:eastAsia="Times New Roman" w:hAnsi="Arial" w:cs="Times New Roman"/>
          <w:sz w:val="24"/>
        </w:rPr>
        <w:t>, 2021</w:t>
      </w:r>
      <w:r w:rsidR="00364393" w:rsidRPr="002C79E6">
        <w:rPr>
          <w:rFonts w:ascii="Arial" w:eastAsia="Times New Roman" w:hAnsi="Arial" w:cs="Times New Roman"/>
          <w:sz w:val="24"/>
        </w:rPr>
        <w:t xml:space="preserve"> </w:t>
      </w:r>
      <w:r w:rsidR="00BE7DA5" w:rsidRPr="002C79E6">
        <w:rPr>
          <w:rFonts w:ascii="Arial" w:eastAsia="Times New Roman" w:hAnsi="Arial" w:cs="Times New Roman"/>
          <w:sz w:val="24"/>
        </w:rPr>
        <w:t>IIG</w:t>
      </w:r>
      <w:r w:rsidR="00BE7DA5">
        <w:rPr>
          <w:rFonts w:ascii="Arial" w:eastAsia="Times New Roman" w:hAnsi="Arial" w:cs="Times New Roman"/>
          <w:sz w:val="24"/>
        </w:rPr>
        <w:t> </w:t>
      </w:r>
      <w:r w:rsidR="00A2611F">
        <w:rPr>
          <w:rFonts w:ascii="Arial" w:eastAsia="Times New Roman" w:hAnsi="Arial" w:cs="Times New Roman"/>
          <w:sz w:val="24"/>
        </w:rPr>
        <w:t>p</w:t>
      </w:r>
      <w:r w:rsidRPr="00C30A7C">
        <w:rPr>
          <w:rFonts w:ascii="Arial" w:eastAsia="Times New Roman" w:hAnsi="Arial" w:cs="Times New Roman"/>
          <w:sz w:val="24"/>
        </w:rPr>
        <w:t xml:space="preserve">rogram Guidelines (Guidelines). </w:t>
      </w:r>
      <w:r w:rsidR="00ED4DF0">
        <w:rPr>
          <w:rFonts w:ascii="Arial" w:eastAsia="Times New Roman" w:hAnsi="Arial" w:cs="Times New Roman"/>
          <w:sz w:val="24"/>
        </w:rPr>
        <w:t>In this NOFA</w:t>
      </w:r>
      <w:r w:rsidR="00BE7DA5">
        <w:rPr>
          <w:rFonts w:ascii="Arial" w:eastAsia="Times New Roman" w:hAnsi="Arial" w:cs="Times New Roman"/>
          <w:sz w:val="24"/>
        </w:rPr>
        <w:t>,</w:t>
      </w:r>
      <w:r w:rsidR="00ED4DF0">
        <w:rPr>
          <w:rFonts w:ascii="Arial" w:eastAsia="Times New Roman" w:hAnsi="Arial" w:cs="Times New Roman"/>
          <w:sz w:val="24"/>
        </w:rPr>
        <w:t xml:space="preserve"> p</w:t>
      </w:r>
      <w:r w:rsidR="00E06DD6" w:rsidRPr="00E06DD6">
        <w:rPr>
          <w:rFonts w:ascii="Arial" w:eastAsia="Times New Roman" w:hAnsi="Arial" w:cs="Times New Roman"/>
          <w:sz w:val="24"/>
        </w:rPr>
        <w:t>olicies and definitions are clarified to better align with legislative updates to the Health and Safety Code</w:t>
      </w:r>
      <w:r w:rsidR="007A22B2">
        <w:rPr>
          <w:rFonts w:ascii="Arial" w:eastAsia="Times New Roman" w:hAnsi="Arial" w:cs="Times New Roman"/>
          <w:sz w:val="24"/>
        </w:rPr>
        <w:t xml:space="preserve"> (HSC)</w:t>
      </w:r>
      <w:r w:rsidR="00D9574A">
        <w:rPr>
          <w:rFonts w:ascii="Arial" w:eastAsia="Times New Roman" w:hAnsi="Arial" w:cs="Times New Roman"/>
          <w:sz w:val="24"/>
        </w:rPr>
        <w:t xml:space="preserve"> and </w:t>
      </w:r>
      <w:r w:rsidR="0029370D" w:rsidRPr="0029370D">
        <w:rPr>
          <w:rFonts w:ascii="Arial" w:eastAsia="Times New Roman" w:hAnsi="Arial" w:cs="Times New Roman"/>
          <w:sz w:val="24"/>
        </w:rPr>
        <w:t>clarify programmatic goals</w:t>
      </w:r>
      <w:r w:rsidR="008A2865">
        <w:rPr>
          <w:rFonts w:ascii="Arial" w:eastAsia="Times New Roman" w:hAnsi="Arial" w:cs="Times New Roman"/>
          <w:sz w:val="24"/>
        </w:rPr>
        <w:t>,</w:t>
      </w:r>
      <w:r w:rsidR="0029370D" w:rsidRPr="0029370D">
        <w:rPr>
          <w:rFonts w:ascii="Arial" w:eastAsia="Times New Roman" w:hAnsi="Arial" w:cs="Times New Roman"/>
          <w:sz w:val="24"/>
        </w:rPr>
        <w:t xml:space="preserve"> </w:t>
      </w:r>
      <w:r w:rsidR="00084397">
        <w:rPr>
          <w:rFonts w:ascii="Arial" w:eastAsia="Times New Roman" w:hAnsi="Arial" w:cs="Times New Roman"/>
          <w:sz w:val="24"/>
        </w:rPr>
        <w:t>improve alignment</w:t>
      </w:r>
      <w:r w:rsidR="0029370D" w:rsidRPr="0029370D">
        <w:rPr>
          <w:rFonts w:ascii="Arial" w:eastAsia="Times New Roman" w:hAnsi="Arial" w:cs="Times New Roman"/>
          <w:sz w:val="24"/>
        </w:rPr>
        <w:t xml:space="preserve"> with other state affordable housing and infrastructure funding programs</w:t>
      </w:r>
      <w:r w:rsidR="008A2865">
        <w:rPr>
          <w:rFonts w:ascii="Arial" w:eastAsia="Times New Roman" w:hAnsi="Arial" w:cs="Times New Roman"/>
          <w:sz w:val="24"/>
        </w:rPr>
        <w:t>, and respond to stakeholder feedback</w:t>
      </w:r>
      <w:r w:rsidR="00084397">
        <w:rPr>
          <w:rFonts w:ascii="Arial" w:eastAsia="Times New Roman" w:hAnsi="Arial" w:cs="Times New Roman"/>
          <w:sz w:val="24"/>
        </w:rPr>
        <w:t xml:space="preserve">. </w:t>
      </w:r>
    </w:p>
    <w:p w14:paraId="036CC858" w14:textId="1950C584" w:rsidR="00142759" w:rsidRDefault="00861BA1">
      <w:pPr>
        <w:spacing w:after="240" w:line="240" w:lineRule="auto"/>
        <w:ind w:left="720"/>
        <w:rPr>
          <w:rFonts w:ascii="Arial" w:eastAsia="Times New Roman" w:hAnsi="Arial" w:cs="Times New Roman"/>
          <w:sz w:val="24"/>
        </w:rPr>
      </w:pPr>
      <w:r w:rsidRPr="00C30A7C">
        <w:rPr>
          <w:rFonts w:ascii="Arial" w:eastAsia="Times New Roman" w:hAnsi="Arial" w:cs="Times New Roman"/>
          <w:sz w:val="24"/>
        </w:rPr>
        <w:t>Noteworthy</w:t>
      </w:r>
      <w:r w:rsidR="00142759" w:rsidRPr="00C30A7C">
        <w:rPr>
          <w:rFonts w:ascii="Arial" w:eastAsia="Times New Roman" w:hAnsi="Arial" w:cs="Times New Roman"/>
          <w:sz w:val="24"/>
        </w:rPr>
        <w:t xml:space="preserve"> changes include: </w:t>
      </w:r>
    </w:p>
    <w:p w14:paraId="2A4C47BF" w14:textId="7B71B1B1" w:rsidR="00D6428A" w:rsidRPr="00CB2DA7" w:rsidRDefault="00D0035B" w:rsidP="00CB2DA7">
      <w:pPr>
        <w:pStyle w:val="ListParagraph"/>
        <w:numPr>
          <w:ilvl w:val="0"/>
          <w:numId w:val="14"/>
        </w:numPr>
        <w:spacing w:after="240" w:line="240" w:lineRule="auto"/>
        <w:contextualSpacing w:val="0"/>
        <w:rPr>
          <w:b/>
          <w:bCs/>
        </w:rPr>
      </w:pPr>
      <w:r w:rsidRPr="00BA03F7">
        <w:rPr>
          <w:b/>
          <w:bCs/>
        </w:rPr>
        <w:t>NOFA</w:t>
      </w:r>
    </w:p>
    <w:p w14:paraId="2E6B7D58" w14:textId="56C27BC0" w:rsidR="000A1634" w:rsidRDefault="002F4FE6" w:rsidP="001E2491">
      <w:pPr>
        <w:pStyle w:val="ListParagraph"/>
        <w:numPr>
          <w:ilvl w:val="0"/>
          <w:numId w:val="15"/>
        </w:numPr>
        <w:spacing w:after="240" w:line="240" w:lineRule="auto"/>
        <w:contextualSpacing w:val="0"/>
      </w:pPr>
      <w:r w:rsidRPr="00FB7C69">
        <w:t xml:space="preserve">To ensure the equitable use of </w:t>
      </w:r>
      <w:r w:rsidR="00FA2D69" w:rsidRPr="00FB7C69">
        <w:t>P</w:t>
      </w:r>
      <w:r w:rsidRPr="00FB7C69">
        <w:t>rogram funds, applicants seeking to s</w:t>
      </w:r>
      <w:r w:rsidR="004F486E">
        <w:t>ubstitute</w:t>
      </w:r>
      <w:r w:rsidRPr="00FB7C69">
        <w:t xml:space="preserve"> previously awarded funds must forfeit their prior award, in writing, prior to the </w:t>
      </w:r>
      <w:r w:rsidR="00115144">
        <w:t>Application</w:t>
      </w:r>
      <w:r w:rsidRPr="00FB7C69">
        <w:t xml:space="preserve"> due date without assurance of </w:t>
      </w:r>
      <w:r w:rsidR="00C22095">
        <w:t xml:space="preserve">receiving a </w:t>
      </w:r>
      <w:r w:rsidRPr="00FB7C69">
        <w:t>new award. This prohibition applies to funds awarded under any</w:t>
      </w:r>
      <w:r w:rsidR="00BC7642">
        <w:t xml:space="preserve"> HCD</w:t>
      </w:r>
      <w:r w:rsidRPr="00FB7C69">
        <w:t xml:space="preserve"> program, including a prior IIG award.</w:t>
      </w:r>
    </w:p>
    <w:p w14:paraId="4397C6FA" w14:textId="2B9CF322" w:rsidR="00CB2DA7" w:rsidRDefault="000D73EE" w:rsidP="00D2631D">
      <w:pPr>
        <w:pStyle w:val="ListParagraph"/>
        <w:numPr>
          <w:ilvl w:val="0"/>
          <w:numId w:val="15"/>
        </w:numPr>
        <w:spacing w:after="240" w:line="240" w:lineRule="auto"/>
        <w:contextualSpacing w:val="0"/>
      </w:pPr>
      <w:r w:rsidRPr="000D73EE">
        <w:t xml:space="preserve">Geographic Targets </w:t>
      </w:r>
      <w:r w:rsidR="0089618F">
        <w:t xml:space="preserve">have been </w:t>
      </w:r>
      <w:r w:rsidR="003F638F">
        <w:t>updated</w:t>
      </w:r>
      <w:r w:rsidRPr="000D73EE">
        <w:t xml:space="preserve"> to </w:t>
      </w:r>
      <w:r w:rsidR="00D70519">
        <w:t>identify</w:t>
      </w:r>
      <w:r w:rsidRPr="000D73EE">
        <w:t xml:space="preserve"> a percentage of program funds from this NOFA </w:t>
      </w:r>
      <w:r w:rsidR="00B403B2">
        <w:t>for</w:t>
      </w:r>
      <w:r w:rsidRPr="000D73EE">
        <w:t xml:space="preserve"> communities in counties with a population of less than 250,000.</w:t>
      </w:r>
    </w:p>
    <w:p w14:paraId="3F281AD8" w14:textId="77777777" w:rsidR="00CB2DA7" w:rsidRDefault="00CB2DA7">
      <w:pPr>
        <w:rPr>
          <w:rFonts w:ascii="Arial" w:eastAsia="Times New Roman" w:hAnsi="Arial" w:cs="Times New Roman"/>
          <w:sz w:val="24"/>
        </w:rPr>
      </w:pPr>
      <w:r>
        <w:br w:type="page"/>
      </w:r>
    </w:p>
    <w:p w14:paraId="0C0BFA76" w14:textId="42A18479" w:rsidR="00244A4F" w:rsidRPr="001B5E4D" w:rsidRDefault="00895860" w:rsidP="00CB2DA7">
      <w:pPr>
        <w:pStyle w:val="ListParagraph"/>
        <w:numPr>
          <w:ilvl w:val="0"/>
          <w:numId w:val="15"/>
        </w:numPr>
        <w:spacing w:after="240" w:line="240" w:lineRule="auto"/>
        <w:contextualSpacing w:val="0"/>
      </w:pPr>
      <w:r w:rsidRPr="001B5E4D">
        <w:rPr>
          <w:rFonts w:cs="Arial"/>
          <w:szCs w:val="24"/>
        </w:rPr>
        <w:t>Qualifying Infill Project</w:t>
      </w:r>
      <w:r w:rsidR="00766B3A" w:rsidRPr="001B5E4D">
        <w:rPr>
          <w:rFonts w:cs="Arial"/>
          <w:szCs w:val="24"/>
        </w:rPr>
        <w:t xml:space="preserve">s </w:t>
      </w:r>
      <w:r w:rsidRPr="001B5E4D">
        <w:rPr>
          <w:rFonts w:cs="Arial"/>
          <w:szCs w:val="24"/>
        </w:rPr>
        <w:t xml:space="preserve">located in </w:t>
      </w:r>
      <w:r w:rsidR="00B81F2B" w:rsidRPr="001B5E4D">
        <w:rPr>
          <w:rFonts w:cs="Arial"/>
          <w:szCs w:val="24"/>
        </w:rPr>
        <w:t xml:space="preserve">High or Highest Resource Areas (as specified </w:t>
      </w:r>
      <w:r w:rsidR="00B27553" w:rsidRPr="001B5E4D">
        <w:rPr>
          <w:rFonts w:cs="Arial"/>
          <w:szCs w:val="24"/>
        </w:rPr>
        <w:t>on the TCAC/HCD Opportunity Area Maps</w:t>
      </w:r>
      <w:r w:rsidR="00DD4D98" w:rsidRPr="001B5E4D">
        <w:rPr>
          <w:rFonts w:cs="Arial"/>
          <w:szCs w:val="24"/>
        </w:rPr>
        <w:t xml:space="preserve"> </w:t>
      </w:r>
      <w:hyperlink r:id="rId20" w:history="1">
        <w:r w:rsidR="00DD4D98" w:rsidRPr="001B5E4D">
          <w:rPr>
            <w:rStyle w:val="Hyperlink"/>
            <w:rFonts w:cs="Arial"/>
            <w:szCs w:val="24"/>
          </w:rPr>
          <w:t>https://belonging.berkeley.edu/tcac-opportunity-map-2020</w:t>
        </w:r>
      </w:hyperlink>
      <w:r w:rsidR="00DD4D98" w:rsidRPr="001B5E4D">
        <w:rPr>
          <w:rFonts w:cs="Arial"/>
          <w:szCs w:val="24"/>
        </w:rPr>
        <w:t xml:space="preserve"> </w:t>
      </w:r>
      <w:r w:rsidR="00B27553" w:rsidRPr="001B5E4D">
        <w:rPr>
          <w:rFonts w:cs="Arial"/>
          <w:szCs w:val="24"/>
        </w:rPr>
        <w:t xml:space="preserve">) </w:t>
      </w:r>
      <w:r w:rsidR="00766B3A" w:rsidRPr="001B5E4D">
        <w:rPr>
          <w:rFonts w:cs="Arial"/>
          <w:szCs w:val="24"/>
        </w:rPr>
        <w:t xml:space="preserve">will receive the maximum allowable </w:t>
      </w:r>
      <w:r w:rsidR="00B27553" w:rsidRPr="001B5E4D">
        <w:rPr>
          <w:rFonts w:cs="Arial"/>
          <w:szCs w:val="24"/>
        </w:rPr>
        <w:t>20 points</w:t>
      </w:r>
      <w:r w:rsidR="00D30E5D" w:rsidRPr="001B5E4D">
        <w:rPr>
          <w:rFonts w:cs="Arial"/>
          <w:szCs w:val="24"/>
        </w:rPr>
        <w:t xml:space="preserve"> </w:t>
      </w:r>
      <w:r w:rsidR="00BA2145" w:rsidRPr="001B5E4D">
        <w:rPr>
          <w:rFonts w:cs="Arial"/>
          <w:szCs w:val="24"/>
        </w:rPr>
        <w:t xml:space="preserve">(Access to Opportunity and </w:t>
      </w:r>
      <w:r w:rsidR="001B5E4D" w:rsidRPr="001B5E4D">
        <w:rPr>
          <w:rFonts w:cs="Arial"/>
          <w:szCs w:val="24"/>
        </w:rPr>
        <w:t>Proximity to Amenities)</w:t>
      </w:r>
      <w:r w:rsidR="003D7D9F" w:rsidRPr="001B5E4D">
        <w:t>.</w:t>
      </w:r>
    </w:p>
    <w:p w14:paraId="0C230CE6" w14:textId="14691C7B" w:rsidR="00DA7C87" w:rsidRPr="00CB2DA7" w:rsidRDefault="00E06DD6" w:rsidP="005122A9">
      <w:pPr>
        <w:pStyle w:val="ListParagraph"/>
        <w:numPr>
          <w:ilvl w:val="0"/>
          <w:numId w:val="14"/>
        </w:numPr>
        <w:spacing w:after="240" w:line="240" w:lineRule="auto"/>
        <w:contextualSpacing w:val="0"/>
        <w:rPr>
          <w:rFonts w:cs="Arial"/>
          <w:b/>
          <w:bCs/>
          <w:szCs w:val="24"/>
          <w:u w:val="single"/>
        </w:rPr>
      </w:pPr>
      <w:r w:rsidRPr="00CB2DA7">
        <w:rPr>
          <w:rFonts w:cs="Arial"/>
          <w:b/>
          <w:bCs/>
          <w:szCs w:val="24"/>
        </w:rPr>
        <w:t xml:space="preserve">Section </w:t>
      </w:r>
      <w:r w:rsidR="001E2EFD" w:rsidRPr="00CB2DA7">
        <w:rPr>
          <w:rFonts w:cs="Arial"/>
          <w:b/>
          <w:bCs/>
          <w:szCs w:val="24"/>
        </w:rPr>
        <w:t>302</w:t>
      </w:r>
      <w:r w:rsidR="00F72ECC" w:rsidRPr="00CB2DA7">
        <w:rPr>
          <w:rFonts w:cs="Arial"/>
          <w:b/>
          <w:bCs/>
          <w:szCs w:val="24"/>
        </w:rPr>
        <w:t>. Definitions</w:t>
      </w:r>
    </w:p>
    <w:p w14:paraId="0F2B491E" w14:textId="7DFC9D7E" w:rsidR="00B93822" w:rsidRPr="00CB2DA7" w:rsidRDefault="00A93817" w:rsidP="00CB2DA7">
      <w:pPr>
        <w:pStyle w:val="ListParagraph"/>
        <w:numPr>
          <w:ilvl w:val="0"/>
          <w:numId w:val="16"/>
        </w:numPr>
        <w:spacing w:after="240" w:line="240" w:lineRule="auto"/>
        <w:contextualSpacing w:val="0"/>
        <w:rPr>
          <w:rFonts w:cs="Arial"/>
          <w:szCs w:val="24"/>
        </w:rPr>
      </w:pPr>
      <w:r w:rsidRPr="00B93822">
        <w:rPr>
          <w:rFonts w:cs="Arial"/>
          <w:szCs w:val="24"/>
        </w:rPr>
        <w:t>D</w:t>
      </w:r>
      <w:r w:rsidR="00EB12C2" w:rsidRPr="00B93822">
        <w:rPr>
          <w:rFonts w:cs="Arial"/>
          <w:szCs w:val="24"/>
        </w:rPr>
        <w:t>efinitions of Bus Hub and Major Transit Stop were modified to make allowances for temporary schedule changes in response to COVID-19</w:t>
      </w:r>
      <w:r w:rsidR="00D22DED" w:rsidRPr="00B93822">
        <w:rPr>
          <w:rFonts w:cs="Arial"/>
          <w:szCs w:val="24"/>
        </w:rPr>
        <w:t xml:space="preserve"> </w:t>
      </w:r>
      <w:r w:rsidR="006F07E3" w:rsidRPr="00B93822">
        <w:rPr>
          <w:rFonts w:cs="Arial"/>
          <w:szCs w:val="24"/>
        </w:rPr>
        <w:t xml:space="preserve">related </w:t>
      </w:r>
      <w:r w:rsidR="00D22DED" w:rsidRPr="00B93822">
        <w:rPr>
          <w:rFonts w:cs="Arial"/>
          <w:szCs w:val="24"/>
        </w:rPr>
        <w:t>ridership reductions</w:t>
      </w:r>
      <w:r w:rsidR="00EB12C2" w:rsidRPr="00B93822">
        <w:rPr>
          <w:rFonts w:cs="Arial"/>
          <w:szCs w:val="24"/>
        </w:rPr>
        <w:t>.</w:t>
      </w:r>
    </w:p>
    <w:p w14:paraId="48138D99" w14:textId="36034311" w:rsidR="00B93822" w:rsidRPr="00CB2DA7" w:rsidRDefault="00B93822" w:rsidP="00CB2DA7">
      <w:pPr>
        <w:pStyle w:val="ListParagraph"/>
        <w:numPr>
          <w:ilvl w:val="0"/>
          <w:numId w:val="16"/>
        </w:numPr>
        <w:spacing w:after="240" w:line="240" w:lineRule="auto"/>
        <w:contextualSpacing w:val="0"/>
        <w:rPr>
          <w:rFonts w:cs="Arial"/>
          <w:szCs w:val="24"/>
        </w:rPr>
      </w:pPr>
      <w:r w:rsidRPr="00B93822">
        <w:rPr>
          <w:rFonts w:cs="Arial"/>
          <w:szCs w:val="24"/>
        </w:rPr>
        <w:t>D</w:t>
      </w:r>
      <w:r w:rsidR="00C40980" w:rsidRPr="00B93822">
        <w:rPr>
          <w:rFonts w:cs="Arial"/>
          <w:szCs w:val="24"/>
        </w:rPr>
        <w:t xml:space="preserve">efinition of Eligible Applicant no longer requires an Application for a </w:t>
      </w:r>
      <w:r w:rsidR="0042495B" w:rsidRPr="00B93822">
        <w:rPr>
          <w:rFonts w:cs="Arial"/>
          <w:szCs w:val="24"/>
        </w:rPr>
        <w:t>QIP</w:t>
      </w:r>
      <w:r w:rsidR="00C40980" w:rsidRPr="00B93822">
        <w:rPr>
          <w:rFonts w:cs="Arial"/>
          <w:szCs w:val="24"/>
        </w:rPr>
        <w:t xml:space="preserve"> to include a Locality as an applicant.</w:t>
      </w:r>
    </w:p>
    <w:p w14:paraId="74BE87B1" w14:textId="66F1A34D" w:rsidR="00FE7B49" w:rsidRPr="00CB2DA7" w:rsidRDefault="00B93822" w:rsidP="00CB2DA7">
      <w:pPr>
        <w:pStyle w:val="ListParagraph"/>
        <w:numPr>
          <w:ilvl w:val="0"/>
          <w:numId w:val="16"/>
        </w:numPr>
        <w:spacing w:after="240" w:line="240" w:lineRule="auto"/>
        <w:contextualSpacing w:val="0"/>
        <w:rPr>
          <w:rFonts w:cs="Arial"/>
          <w:szCs w:val="24"/>
        </w:rPr>
      </w:pPr>
      <w:r w:rsidRPr="00AC0641">
        <w:rPr>
          <w:rFonts w:cs="Arial"/>
          <w:szCs w:val="24"/>
        </w:rPr>
        <w:t>D</w:t>
      </w:r>
      <w:r w:rsidR="00B47900" w:rsidRPr="00AC0641">
        <w:rPr>
          <w:rFonts w:cs="Arial"/>
          <w:szCs w:val="24"/>
        </w:rPr>
        <w:t xml:space="preserve">efinition </w:t>
      </w:r>
      <w:r w:rsidR="002B5FB4" w:rsidRPr="00AC0641">
        <w:rPr>
          <w:rFonts w:cs="Arial"/>
          <w:szCs w:val="24"/>
        </w:rPr>
        <w:t xml:space="preserve">of Enforceable Funding Commitment </w:t>
      </w:r>
      <w:r w:rsidR="00315CE7" w:rsidRPr="00AC0641">
        <w:rPr>
          <w:rFonts w:cs="Arial"/>
          <w:szCs w:val="24"/>
        </w:rPr>
        <w:t xml:space="preserve">now </w:t>
      </w:r>
      <w:r w:rsidR="00AC0641" w:rsidRPr="00AC0641">
        <w:rPr>
          <w:rFonts w:cs="Arial"/>
          <w:szCs w:val="24"/>
        </w:rPr>
        <w:t xml:space="preserve">allows for inclusion of both </w:t>
      </w:r>
      <w:r w:rsidR="00AF0DD2" w:rsidRPr="00AC0641">
        <w:rPr>
          <w:rFonts w:cs="Arial"/>
          <w:szCs w:val="24"/>
        </w:rPr>
        <w:t>4 and 9</w:t>
      </w:r>
      <w:r w:rsidR="004E1BF4" w:rsidRPr="00AC0641">
        <w:rPr>
          <w:rFonts w:cs="Arial"/>
          <w:szCs w:val="24"/>
        </w:rPr>
        <w:t> </w:t>
      </w:r>
      <w:r w:rsidR="002B5FB4" w:rsidRPr="00AC0641">
        <w:rPr>
          <w:rFonts w:cs="Arial"/>
          <w:szCs w:val="24"/>
        </w:rPr>
        <w:t>percent</w:t>
      </w:r>
      <w:r w:rsidR="00AF0DD2" w:rsidRPr="00AC0641">
        <w:rPr>
          <w:rFonts w:cs="Arial"/>
          <w:szCs w:val="24"/>
        </w:rPr>
        <w:t xml:space="preserve"> tax credits</w:t>
      </w:r>
      <w:r w:rsidR="00FE7B49" w:rsidRPr="00AC0641">
        <w:rPr>
          <w:rFonts w:cs="Arial"/>
          <w:szCs w:val="24"/>
        </w:rPr>
        <w:t xml:space="preserve">. </w:t>
      </w:r>
    </w:p>
    <w:p w14:paraId="11D5BDDE" w14:textId="71BD56E6" w:rsidR="00B93822" w:rsidRPr="00CB2DA7" w:rsidRDefault="00FE7B49" w:rsidP="00CB2DA7">
      <w:pPr>
        <w:pStyle w:val="ListParagraph"/>
        <w:numPr>
          <w:ilvl w:val="0"/>
          <w:numId w:val="16"/>
        </w:numPr>
        <w:spacing w:after="240" w:line="240" w:lineRule="auto"/>
        <w:contextualSpacing w:val="0"/>
        <w:rPr>
          <w:rFonts w:cs="Arial"/>
          <w:szCs w:val="24"/>
        </w:rPr>
      </w:pPr>
      <w:r w:rsidRPr="00AC0641">
        <w:rPr>
          <w:rFonts w:cs="Arial"/>
          <w:szCs w:val="24"/>
        </w:rPr>
        <w:t>O</w:t>
      </w:r>
      <w:r w:rsidR="00B47900" w:rsidRPr="00AC0641">
        <w:rPr>
          <w:rFonts w:cs="Arial"/>
          <w:szCs w:val="24"/>
        </w:rPr>
        <w:t xml:space="preserve">nly commitments for permanent financing are considered in the </w:t>
      </w:r>
      <w:r w:rsidR="00115144" w:rsidRPr="00AC0641">
        <w:rPr>
          <w:rFonts w:cs="Arial"/>
          <w:szCs w:val="24"/>
        </w:rPr>
        <w:t>Application</w:t>
      </w:r>
      <w:r w:rsidR="00B47900" w:rsidRPr="00AC0641">
        <w:rPr>
          <w:rFonts w:cs="Arial"/>
          <w:szCs w:val="24"/>
        </w:rPr>
        <w:t xml:space="preserve"> Selection Criteria.</w:t>
      </w:r>
    </w:p>
    <w:p w14:paraId="2A041E4A" w14:textId="1CEA7412" w:rsidR="004074A4" w:rsidRPr="00B93822" w:rsidRDefault="00B93822" w:rsidP="00CB2DA7">
      <w:pPr>
        <w:pStyle w:val="ListParagraph"/>
        <w:numPr>
          <w:ilvl w:val="0"/>
          <w:numId w:val="16"/>
        </w:numPr>
        <w:spacing w:after="240" w:line="240" w:lineRule="auto"/>
        <w:contextualSpacing w:val="0"/>
        <w:rPr>
          <w:rFonts w:cs="Arial"/>
          <w:szCs w:val="24"/>
        </w:rPr>
      </w:pPr>
      <w:r w:rsidRPr="00B93822">
        <w:rPr>
          <w:rFonts w:cs="Arial"/>
          <w:szCs w:val="24"/>
        </w:rPr>
        <w:t>D</w:t>
      </w:r>
      <w:r w:rsidR="00373ADB" w:rsidRPr="00B93822">
        <w:rPr>
          <w:rFonts w:cs="Arial"/>
          <w:szCs w:val="24"/>
        </w:rPr>
        <w:t xml:space="preserve">efinition of </w:t>
      </w:r>
      <w:r w:rsidR="00DA7C87" w:rsidRPr="00B93822">
        <w:rPr>
          <w:rFonts w:cs="Arial"/>
          <w:szCs w:val="24"/>
        </w:rPr>
        <w:t>Locality</w:t>
      </w:r>
      <w:r w:rsidR="00F92D34" w:rsidRPr="00B93822">
        <w:rPr>
          <w:rFonts w:cs="Arial"/>
          <w:szCs w:val="24"/>
        </w:rPr>
        <w:t xml:space="preserve"> </w:t>
      </w:r>
      <w:r w:rsidR="00AC4E0D" w:rsidRPr="00B93822">
        <w:rPr>
          <w:rFonts w:cs="Arial"/>
          <w:szCs w:val="24"/>
        </w:rPr>
        <w:t>is</w:t>
      </w:r>
      <w:r w:rsidR="00F92D34" w:rsidRPr="00B93822">
        <w:rPr>
          <w:rFonts w:cs="Arial"/>
          <w:szCs w:val="24"/>
        </w:rPr>
        <w:t xml:space="preserve"> updated to include </w:t>
      </w:r>
      <w:r w:rsidR="005108CA" w:rsidRPr="00B93822">
        <w:rPr>
          <w:rFonts w:cs="Arial"/>
          <w:szCs w:val="24"/>
        </w:rPr>
        <w:t xml:space="preserve">“the duly constituted governing body of an Indian reservation or rancheria that has jurisdiction over a </w:t>
      </w:r>
      <w:r w:rsidR="008D35B8" w:rsidRPr="00B93822">
        <w:rPr>
          <w:rFonts w:cs="Arial"/>
          <w:szCs w:val="24"/>
        </w:rPr>
        <w:t xml:space="preserve">QIA </w:t>
      </w:r>
      <w:r w:rsidR="005108CA" w:rsidRPr="00B93822">
        <w:rPr>
          <w:rFonts w:cs="Arial"/>
          <w:szCs w:val="24"/>
        </w:rPr>
        <w:t>or a Tribally Designated Housing Entity.</w:t>
      </w:r>
    </w:p>
    <w:p w14:paraId="1DF7FC96" w14:textId="080E22A0" w:rsidR="00FF4D11" w:rsidRPr="00003784" w:rsidRDefault="00FF4D11" w:rsidP="00CB2DA7">
      <w:pPr>
        <w:pStyle w:val="ListParagraph"/>
        <w:numPr>
          <w:ilvl w:val="0"/>
          <w:numId w:val="14"/>
        </w:numPr>
        <w:spacing w:after="240" w:line="240" w:lineRule="auto"/>
        <w:rPr>
          <w:rFonts w:cs="Arial"/>
          <w:b/>
          <w:bCs/>
          <w:szCs w:val="24"/>
          <w:u w:val="single"/>
        </w:rPr>
      </w:pPr>
      <w:r w:rsidRPr="00CB2DA7">
        <w:rPr>
          <w:rFonts w:cs="Arial"/>
          <w:b/>
          <w:bCs/>
          <w:szCs w:val="24"/>
        </w:rPr>
        <w:t xml:space="preserve">Section 303. </w:t>
      </w:r>
      <w:r w:rsidR="0066109B" w:rsidRPr="00CB2DA7">
        <w:rPr>
          <w:rFonts w:cs="Arial"/>
          <w:b/>
          <w:bCs/>
          <w:szCs w:val="24"/>
        </w:rPr>
        <w:t>Eligible projects</w:t>
      </w:r>
    </w:p>
    <w:p w14:paraId="21530581" w14:textId="77777777" w:rsidR="00003784" w:rsidRPr="00CB2DA7" w:rsidRDefault="00003784" w:rsidP="00003784">
      <w:pPr>
        <w:pStyle w:val="ListParagraph"/>
        <w:spacing w:after="240" w:line="240" w:lineRule="auto"/>
        <w:ind w:left="1080"/>
        <w:rPr>
          <w:rFonts w:cs="Arial"/>
          <w:b/>
          <w:bCs/>
          <w:szCs w:val="24"/>
          <w:u w:val="single"/>
        </w:rPr>
      </w:pPr>
    </w:p>
    <w:p w14:paraId="5FA22C5B" w14:textId="125AB2F6" w:rsidR="009E1E87" w:rsidRPr="00AC0641" w:rsidRDefault="00C50757" w:rsidP="00CB2DA7">
      <w:pPr>
        <w:pStyle w:val="ListParagraph"/>
        <w:numPr>
          <w:ilvl w:val="0"/>
          <w:numId w:val="17"/>
        </w:numPr>
        <w:spacing w:after="240" w:line="240" w:lineRule="auto"/>
        <w:contextualSpacing w:val="0"/>
        <w:rPr>
          <w:rFonts w:cs="Arial"/>
          <w:b/>
          <w:bCs/>
          <w:szCs w:val="24"/>
        </w:rPr>
      </w:pPr>
      <w:r w:rsidRPr="00AC0641">
        <w:rPr>
          <w:rFonts w:cs="Arial"/>
          <w:szCs w:val="24"/>
        </w:rPr>
        <w:t xml:space="preserve">All </w:t>
      </w:r>
      <w:r w:rsidR="00115144" w:rsidRPr="00AC0641">
        <w:rPr>
          <w:rFonts w:cs="Arial"/>
          <w:szCs w:val="24"/>
        </w:rPr>
        <w:t>Application</w:t>
      </w:r>
      <w:r w:rsidRPr="00AC0641">
        <w:rPr>
          <w:rFonts w:cs="Arial"/>
          <w:szCs w:val="24"/>
        </w:rPr>
        <w:t xml:space="preserve">s must include a </w:t>
      </w:r>
      <w:r w:rsidR="0042495B" w:rsidRPr="00AC0641">
        <w:rPr>
          <w:rFonts w:cs="Arial"/>
          <w:szCs w:val="24"/>
        </w:rPr>
        <w:t>QIP</w:t>
      </w:r>
      <w:r w:rsidRPr="00AC0641">
        <w:rPr>
          <w:rFonts w:cs="Arial"/>
          <w:szCs w:val="24"/>
        </w:rPr>
        <w:t>.</w:t>
      </w:r>
      <w:r w:rsidR="00DF0E91" w:rsidRPr="00AC0641">
        <w:rPr>
          <w:rFonts w:cs="Arial"/>
          <w:b/>
          <w:bCs/>
          <w:szCs w:val="24"/>
        </w:rPr>
        <w:t xml:space="preserve"> </w:t>
      </w:r>
    </w:p>
    <w:p w14:paraId="61644BCC" w14:textId="50421797" w:rsidR="008B1CBF" w:rsidRPr="00CB2DA7" w:rsidRDefault="009E1E87" w:rsidP="00CB2DA7">
      <w:pPr>
        <w:pStyle w:val="ListParagraph"/>
        <w:numPr>
          <w:ilvl w:val="0"/>
          <w:numId w:val="14"/>
        </w:numPr>
        <w:spacing w:after="240" w:line="240" w:lineRule="auto"/>
        <w:rPr>
          <w:rFonts w:cs="Arial"/>
          <w:b/>
          <w:bCs/>
          <w:szCs w:val="24"/>
        </w:rPr>
      </w:pPr>
      <w:r w:rsidRPr="00CB2DA7">
        <w:rPr>
          <w:rFonts w:cs="Arial"/>
          <w:b/>
          <w:bCs/>
          <w:szCs w:val="24"/>
        </w:rPr>
        <w:t>Section 303. Eligible costs</w:t>
      </w:r>
      <w:r w:rsidR="00C03FDF" w:rsidRPr="00CB2DA7">
        <w:rPr>
          <w:rFonts w:cs="Arial"/>
          <w:b/>
          <w:bCs/>
          <w:szCs w:val="24"/>
        </w:rPr>
        <w:t xml:space="preserve"> </w:t>
      </w:r>
    </w:p>
    <w:p w14:paraId="012D4020" w14:textId="11C8DA1D" w:rsidR="00170FD7" w:rsidRDefault="00C04A6D" w:rsidP="008036CD">
      <w:pPr>
        <w:spacing w:after="240" w:line="240" w:lineRule="auto"/>
        <w:ind w:left="1080" w:hanging="360"/>
        <w:rPr>
          <w:rFonts w:ascii="Arial" w:eastAsia="Times New Roman" w:hAnsi="Arial" w:cs="Arial"/>
          <w:bCs/>
          <w:sz w:val="24"/>
          <w:szCs w:val="24"/>
        </w:rPr>
      </w:pPr>
      <w:r>
        <w:rPr>
          <w:rFonts w:ascii="Arial" w:eastAsia="Times New Roman" w:hAnsi="Arial" w:cs="Arial"/>
          <w:sz w:val="24"/>
          <w:szCs w:val="24"/>
        </w:rPr>
        <w:t>In</w:t>
      </w:r>
      <w:r w:rsidR="00C021BF">
        <w:rPr>
          <w:rFonts w:ascii="Arial" w:eastAsia="Times New Roman" w:hAnsi="Arial" w:cs="Arial"/>
          <w:bCs/>
          <w:sz w:val="24"/>
          <w:szCs w:val="24"/>
        </w:rPr>
        <w:t xml:space="preserve">ternet infrastructure is </w:t>
      </w:r>
      <w:r>
        <w:rPr>
          <w:rFonts w:ascii="Arial" w:eastAsia="Times New Roman" w:hAnsi="Arial" w:cs="Arial"/>
          <w:bCs/>
          <w:sz w:val="24"/>
          <w:szCs w:val="24"/>
        </w:rPr>
        <w:t xml:space="preserve">identified as </w:t>
      </w:r>
      <w:r w:rsidR="00C021BF">
        <w:rPr>
          <w:rFonts w:ascii="Arial" w:eastAsia="Times New Roman" w:hAnsi="Arial" w:cs="Arial"/>
          <w:bCs/>
          <w:sz w:val="24"/>
          <w:szCs w:val="24"/>
        </w:rPr>
        <w:t xml:space="preserve">an </w:t>
      </w:r>
      <w:r w:rsidR="00486143">
        <w:rPr>
          <w:rFonts w:ascii="Arial" w:eastAsia="Times New Roman" w:hAnsi="Arial" w:cs="Arial"/>
          <w:bCs/>
          <w:sz w:val="24"/>
          <w:szCs w:val="24"/>
        </w:rPr>
        <w:t>E</w:t>
      </w:r>
      <w:r w:rsidR="00C021BF">
        <w:rPr>
          <w:rFonts w:ascii="Arial" w:eastAsia="Times New Roman" w:hAnsi="Arial" w:cs="Arial"/>
          <w:bCs/>
          <w:sz w:val="24"/>
          <w:szCs w:val="24"/>
        </w:rPr>
        <w:t xml:space="preserve">ligible </w:t>
      </w:r>
      <w:r w:rsidR="00486143">
        <w:rPr>
          <w:rFonts w:ascii="Arial" w:eastAsia="Times New Roman" w:hAnsi="Arial" w:cs="Arial"/>
          <w:bCs/>
          <w:sz w:val="24"/>
          <w:szCs w:val="24"/>
        </w:rPr>
        <w:t>C</w:t>
      </w:r>
      <w:r w:rsidR="00C021BF">
        <w:rPr>
          <w:rFonts w:ascii="Arial" w:eastAsia="Times New Roman" w:hAnsi="Arial" w:cs="Arial"/>
          <w:bCs/>
          <w:sz w:val="24"/>
          <w:szCs w:val="24"/>
        </w:rPr>
        <w:t>ost</w:t>
      </w:r>
      <w:r w:rsidR="00B6029D">
        <w:rPr>
          <w:rFonts w:ascii="Arial" w:eastAsia="Times New Roman" w:hAnsi="Arial" w:cs="Arial"/>
          <w:bCs/>
          <w:sz w:val="24"/>
          <w:szCs w:val="24"/>
        </w:rPr>
        <w:t>.</w:t>
      </w:r>
      <w:r w:rsidR="00C021BF">
        <w:rPr>
          <w:rFonts w:ascii="Arial" w:eastAsia="Times New Roman" w:hAnsi="Arial" w:cs="Arial"/>
          <w:bCs/>
          <w:sz w:val="24"/>
          <w:szCs w:val="24"/>
        </w:rPr>
        <w:t xml:space="preserve"> </w:t>
      </w:r>
    </w:p>
    <w:p w14:paraId="148550AF" w14:textId="771D38CA" w:rsidR="009877B7" w:rsidRPr="00BF15C7" w:rsidRDefault="00341BF6" w:rsidP="00CB2DA7">
      <w:pPr>
        <w:pStyle w:val="ListParagraph"/>
        <w:numPr>
          <w:ilvl w:val="0"/>
          <w:numId w:val="17"/>
        </w:numPr>
        <w:spacing w:after="240" w:line="240" w:lineRule="auto"/>
        <w:contextualSpacing w:val="0"/>
        <w:rPr>
          <w:rFonts w:cs="Arial"/>
          <w:bCs/>
          <w:szCs w:val="24"/>
        </w:rPr>
      </w:pPr>
      <w:r w:rsidRPr="00BF15C7">
        <w:rPr>
          <w:rFonts w:cs="Arial"/>
          <w:bCs/>
          <w:szCs w:val="24"/>
        </w:rPr>
        <w:t xml:space="preserve">Guidelines </w:t>
      </w:r>
      <w:r w:rsidR="000168C2" w:rsidRPr="00BF15C7">
        <w:rPr>
          <w:rFonts w:cs="Arial"/>
          <w:bCs/>
          <w:szCs w:val="24"/>
        </w:rPr>
        <w:t>clarify</w:t>
      </w:r>
      <w:r w:rsidR="00D61BB0" w:rsidRPr="00BF15C7">
        <w:rPr>
          <w:rFonts w:cs="Arial"/>
          <w:bCs/>
          <w:szCs w:val="24"/>
        </w:rPr>
        <w:t xml:space="preserve"> that Eligible Costs for parking must meet the requirements set forth in the definition of Structured Parking.</w:t>
      </w:r>
    </w:p>
    <w:p w14:paraId="5DE333BC" w14:textId="5E5CD6CB" w:rsidR="00E84B6A" w:rsidRPr="00CB2DA7" w:rsidRDefault="00E84B6A" w:rsidP="005122A9">
      <w:pPr>
        <w:pStyle w:val="ListParagraph"/>
        <w:numPr>
          <w:ilvl w:val="0"/>
          <w:numId w:val="14"/>
        </w:numPr>
        <w:spacing w:after="240" w:line="240" w:lineRule="auto"/>
        <w:contextualSpacing w:val="0"/>
        <w:rPr>
          <w:rFonts w:cs="Arial"/>
          <w:b/>
          <w:szCs w:val="24"/>
        </w:rPr>
      </w:pPr>
      <w:r w:rsidRPr="00CB2DA7">
        <w:rPr>
          <w:rFonts w:cs="Arial"/>
          <w:b/>
          <w:szCs w:val="24"/>
        </w:rPr>
        <w:t xml:space="preserve">Section 306. Performance </w:t>
      </w:r>
      <w:r w:rsidR="00D52BF4" w:rsidRPr="00CB2DA7">
        <w:rPr>
          <w:rFonts w:cs="Arial"/>
          <w:b/>
          <w:szCs w:val="24"/>
        </w:rPr>
        <w:t>r</w:t>
      </w:r>
      <w:r w:rsidRPr="00CB2DA7">
        <w:rPr>
          <w:rFonts w:cs="Arial"/>
          <w:b/>
          <w:szCs w:val="24"/>
        </w:rPr>
        <w:t>equirements</w:t>
      </w:r>
    </w:p>
    <w:p w14:paraId="00AD6440" w14:textId="0DA08F4A" w:rsidR="00BF15C7" w:rsidRPr="00CB2DA7" w:rsidRDefault="0022540E" w:rsidP="00CB2DA7">
      <w:pPr>
        <w:pStyle w:val="ListParagraph"/>
        <w:numPr>
          <w:ilvl w:val="0"/>
          <w:numId w:val="17"/>
        </w:numPr>
        <w:spacing w:after="240" w:line="240" w:lineRule="auto"/>
        <w:contextualSpacing w:val="0"/>
        <w:rPr>
          <w:rFonts w:cs="Arial"/>
          <w:bCs/>
          <w:szCs w:val="24"/>
        </w:rPr>
      </w:pPr>
      <w:r w:rsidRPr="00BF15C7">
        <w:rPr>
          <w:rFonts w:cs="Arial"/>
          <w:bCs/>
          <w:szCs w:val="24"/>
        </w:rPr>
        <w:t>Recipients shall begin construction of the housing units not more than two</w:t>
      </w:r>
      <w:r w:rsidR="00B40394" w:rsidRPr="00BF15C7">
        <w:rPr>
          <w:rFonts w:cs="Arial"/>
          <w:bCs/>
          <w:szCs w:val="24"/>
        </w:rPr>
        <w:t> </w:t>
      </w:r>
      <w:r w:rsidRPr="00BF15C7">
        <w:rPr>
          <w:rFonts w:cs="Arial"/>
          <w:bCs/>
          <w:szCs w:val="24"/>
        </w:rPr>
        <w:t xml:space="preserve">years from the date of the Program award. </w:t>
      </w:r>
    </w:p>
    <w:p w14:paraId="748AD476" w14:textId="795DB775" w:rsidR="00BF15C7" w:rsidRPr="00CB2DA7" w:rsidRDefault="0022540E" w:rsidP="00CB2DA7">
      <w:pPr>
        <w:pStyle w:val="ListParagraph"/>
        <w:numPr>
          <w:ilvl w:val="0"/>
          <w:numId w:val="17"/>
        </w:numPr>
        <w:spacing w:after="240" w:line="240" w:lineRule="auto"/>
        <w:contextualSpacing w:val="0"/>
        <w:rPr>
          <w:rFonts w:cs="Arial"/>
          <w:bCs/>
          <w:szCs w:val="24"/>
        </w:rPr>
      </w:pPr>
      <w:r w:rsidRPr="00BF15C7">
        <w:rPr>
          <w:rFonts w:cs="Arial"/>
          <w:bCs/>
          <w:szCs w:val="24"/>
        </w:rPr>
        <w:t xml:space="preserve">Recipients shall complete construction of the housing units not more than </w:t>
      </w:r>
      <w:r w:rsidR="00313BC6" w:rsidRPr="00BF15C7">
        <w:rPr>
          <w:rFonts w:cs="Arial"/>
          <w:bCs/>
          <w:szCs w:val="24"/>
        </w:rPr>
        <w:t xml:space="preserve">three </w:t>
      </w:r>
      <w:r w:rsidR="00F520B9" w:rsidRPr="00BF15C7">
        <w:rPr>
          <w:rFonts w:cs="Arial"/>
          <w:bCs/>
          <w:szCs w:val="24"/>
        </w:rPr>
        <w:t>y</w:t>
      </w:r>
      <w:r w:rsidRPr="00BF15C7">
        <w:rPr>
          <w:rFonts w:cs="Arial"/>
          <w:bCs/>
          <w:szCs w:val="24"/>
        </w:rPr>
        <w:t>ears from the date of the Program award.</w:t>
      </w:r>
    </w:p>
    <w:p w14:paraId="3C43EB8D" w14:textId="10044D52" w:rsidR="005122A9" w:rsidRDefault="0022540E" w:rsidP="00D2631D">
      <w:pPr>
        <w:pStyle w:val="ListParagraph"/>
        <w:numPr>
          <w:ilvl w:val="0"/>
          <w:numId w:val="17"/>
        </w:numPr>
        <w:spacing w:after="240" w:line="240" w:lineRule="auto"/>
        <w:rPr>
          <w:rFonts w:cs="Arial"/>
          <w:bCs/>
          <w:szCs w:val="24"/>
        </w:rPr>
      </w:pPr>
      <w:r w:rsidRPr="00BF15C7">
        <w:rPr>
          <w:rFonts w:cs="Arial"/>
          <w:bCs/>
          <w:szCs w:val="24"/>
        </w:rPr>
        <w:t>Program funds must be disbursed</w:t>
      </w:r>
      <w:r w:rsidR="006E1FAE" w:rsidRPr="00BF15C7">
        <w:rPr>
          <w:rFonts w:cs="Arial"/>
          <w:bCs/>
          <w:szCs w:val="24"/>
        </w:rPr>
        <w:t xml:space="preserve"> by the Program liquidation date of June 30, 2025</w:t>
      </w:r>
      <w:r w:rsidR="00E45922" w:rsidRPr="00BF15C7">
        <w:rPr>
          <w:rFonts w:cs="Arial"/>
          <w:bCs/>
          <w:szCs w:val="24"/>
        </w:rPr>
        <w:t>.</w:t>
      </w:r>
      <w:r w:rsidRPr="00BF15C7">
        <w:rPr>
          <w:rFonts w:cs="Arial"/>
          <w:bCs/>
          <w:szCs w:val="24"/>
        </w:rPr>
        <w:t xml:space="preserve"> The Recipient</w:t>
      </w:r>
      <w:r w:rsidR="00FA4F45" w:rsidRPr="00BF15C7">
        <w:rPr>
          <w:rFonts w:cs="Arial"/>
          <w:bCs/>
          <w:szCs w:val="24"/>
        </w:rPr>
        <w:t xml:space="preserve"> must</w:t>
      </w:r>
      <w:r w:rsidRPr="00BF15C7">
        <w:rPr>
          <w:rFonts w:cs="Arial"/>
          <w:bCs/>
          <w:szCs w:val="24"/>
        </w:rPr>
        <w:t xml:space="preserve"> </w:t>
      </w:r>
      <w:r w:rsidR="00F90B61" w:rsidRPr="00BF15C7">
        <w:rPr>
          <w:rFonts w:cs="Arial"/>
          <w:bCs/>
          <w:szCs w:val="24"/>
        </w:rPr>
        <w:t>submit</w:t>
      </w:r>
      <w:r w:rsidRPr="00BF15C7">
        <w:rPr>
          <w:rFonts w:cs="Arial"/>
          <w:bCs/>
          <w:szCs w:val="24"/>
        </w:rPr>
        <w:t xml:space="preserve"> final disbursement requests </w:t>
      </w:r>
      <w:r w:rsidR="00BC710F" w:rsidRPr="00BF15C7">
        <w:rPr>
          <w:rFonts w:cs="Arial"/>
          <w:bCs/>
          <w:szCs w:val="24"/>
        </w:rPr>
        <w:t xml:space="preserve">no later than </w:t>
      </w:r>
      <w:r w:rsidR="008310F7" w:rsidRPr="00BF15C7">
        <w:rPr>
          <w:rFonts w:cs="Arial"/>
          <w:bCs/>
          <w:szCs w:val="24"/>
        </w:rPr>
        <w:t>March 31, 2025.</w:t>
      </w:r>
      <w:r w:rsidRPr="00BF15C7">
        <w:rPr>
          <w:rFonts w:cs="Arial"/>
          <w:bCs/>
          <w:szCs w:val="24"/>
        </w:rPr>
        <w:t> </w:t>
      </w:r>
    </w:p>
    <w:p w14:paraId="01114EAF" w14:textId="48F46C57" w:rsidR="00605F52" w:rsidRPr="005122A9" w:rsidRDefault="005122A9" w:rsidP="005122A9">
      <w:pPr>
        <w:rPr>
          <w:rFonts w:ascii="Arial" w:eastAsia="Times New Roman" w:hAnsi="Arial" w:cs="Arial"/>
          <w:bCs/>
          <w:sz w:val="24"/>
          <w:szCs w:val="24"/>
        </w:rPr>
      </w:pPr>
      <w:r>
        <w:rPr>
          <w:rFonts w:cs="Arial"/>
          <w:bCs/>
          <w:szCs w:val="24"/>
        </w:rPr>
        <w:br w:type="page"/>
      </w:r>
    </w:p>
    <w:p w14:paraId="39D3D8D0" w14:textId="3DFB5B75" w:rsidR="00507F2E" w:rsidRPr="00030986" w:rsidRDefault="00605F52" w:rsidP="00030986">
      <w:pPr>
        <w:spacing w:after="240" w:line="240" w:lineRule="auto"/>
        <w:ind w:left="720"/>
        <w:rPr>
          <w:rFonts w:cs="Arial"/>
          <w:bCs/>
          <w:szCs w:val="24"/>
        </w:rPr>
      </w:pPr>
      <w:r w:rsidRPr="00030986">
        <w:rPr>
          <w:rFonts w:ascii="Arial" w:eastAsia="Times New Roman" w:hAnsi="Arial" w:cs="Arial"/>
          <w:bCs/>
          <w:sz w:val="24"/>
          <w:szCs w:val="24"/>
        </w:rPr>
        <w:t>Recipients may request an extension of performance requirements set forth in Section 306 by addressing a letter to the IIG Program Manager detailing the circumstances surrounding the extension request and detailing a plan for meeting the extended performance deadline. An extension may be granted if the Recipient adequately demonstrates probability of adherence to the proposed plan. However, any proposed extension must fall within the Program’s legislatively set disbursement deadlines</w:t>
      </w:r>
      <w:r w:rsidRPr="00030986">
        <w:rPr>
          <w:rFonts w:cs="Arial"/>
          <w:bCs/>
          <w:szCs w:val="24"/>
        </w:rPr>
        <w:t xml:space="preserve">. </w:t>
      </w:r>
    </w:p>
    <w:p w14:paraId="0B163494" w14:textId="68B7C30A" w:rsidR="00851A23" w:rsidRPr="00CB2DA7" w:rsidRDefault="00851A23" w:rsidP="00CB2DA7">
      <w:pPr>
        <w:pStyle w:val="ListParagraph"/>
        <w:numPr>
          <w:ilvl w:val="0"/>
          <w:numId w:val="14"/>
        </w:numPr>
        <w:spacing w:after="240" w:line="240" w:lineRule="auto"/>
        <w:contextualSpacing w:val="0"/>
        <w:rPr>
          <w:rFonts w:cs="Arial"/>
          <w:b/>
          <w:szCs w:val="24"/>
        </w:rPr>
      </w:pPr>
      <w:r w:rsidRPr="00CB2DA7">
        <w:rPr>
          <w:rFonts w:cs="Arial"/>
          <w:b/>
          <w:szCs w:val="24"/>
        </w:rPr>
        <w:t>Section 307. Application process</w:t>
      </w:r>
    </w:p>
    <w:p w14:paraId="6BC65AE9" w14:textId="19978563" w:rsidR="000E6465" w:rsidRPr="00CB2DA7" w:rsidRDefault="00863376" w:rsidP="00CB2DA7">
      <w:pPr>
        <w:pStyle w:val="ListParagraph"/>
        <w:numPr>
          <w:ilvl w:val="0"/>
          <w:numId w:val="18"/>
        </w:numPr>
        <w:spacing w:after="240" w:line="240" w:lineRule="auto"/>
        <w:contextualSpacing w:val="0"/>
        <w:rPr>
          <w:rFonts w:cs="Arial"/>
          <w:bCs/>
          <w:szCs w:val="24"/>
        </w:rPr>
      </w:pPr>
      <w:r w:rsidRPr="000E6465">
        <w:rPr>
          <w:rFonts w:cs="Arial"/>
          <w:bCs/>
          <w:szCs w:val="24"/>
        </w:rPr>
        <w:t xml:space="preserve">The Universal Application and IIG Supplemental Application </w:t>
      </w:r>
      <w:r w:rsidR="00030986" w:rsidRPr="000E6465">
        <w:rPr>
          <w:rFonts w:cs="Arial"/>
          <w:bCs/>
          <w:szCs w:val="24"/>
        </w:rPr>
        <w:t>have</w:t>
      </w:r>
      <w:r w:rsidR="000E6465" w:rsidRPr="000E6465">
        <w:rPr>
          <w:rFonts w:cs="Arial"/>
          <w:bCs/>
          <w:szCs w:val="24"/>
        </w:rPr>
        <w:t xml:space="preserve"> been</w:t>
      </w:r>
      <w:r w:rsidRPr="000E6465">
        <w:rPr>
          <w:rFonts w:cs="Arial"/>
          <w:bCs/>
          <w:szCs w:val="24"/>
        </w:rPr>
        <w:t xml:space="preserve"> consolidated into a single IIG </w:t>
      </w:r>
      <w:r w:rsidR="007F2682" w:rsidRPr="000E6465">
        <w:rPr>
          <w:rFonts w:cs="Arial"/>
          <w:bCs/>
          <w:szCs w:val="24"/>
        </w:rPr>
        <w:t>a</w:t>
      </w:r>
      <w:r w:rsidRPr="000E6465">
        <w:rPr>
          <w:rFonts w:cs="Arial"/>
          <w:bCs/>
          <w:szCs w:val="24"/>
        </w:rPr>
        <w:t xml:space="preserve">pplication to streamline the </w:t>
      </w:r>
      <w:r w:rsidR="00115144" w:rsidRPr="000E6465">
        <w:rPr>
          <w:rFonts w:cs="Arial"/>
          <w:bCs/>
          <w:szCs w:val="24"/>
        </w:rPr>
        <w:t>Application</w:t>
      </w:r>
      <w:r w:rsidRPr="000E6465">
        <w:rPr>
          <w:rFonts w:cs="Arial"/>
          <w:bCs/>
          <w:szCs w:val="24"/>
        </w:rPr>
        <w:t xml:space="preserve"> process and reduce applicant burden.</w:t>
      </w:r>
    </w:p>
    <w:p w14:paraId="613D7E08" w14:textId="32045890" w:rsidR="00851A23" w:rsidRPr="000E6465" w:rsidRDefault="0066530B" w:rsidP="00CB2DA7">
      <w:pPr>
        <w:pStyle w:val="ListParagraph"/>
        <w:numPr>
          <w:ilvl w:val="0"/>
          <w:numId w:val="18"/>
        </w:numPr>
        <w:spacing w:after="240" w:line="240" w:lineRule="auto"/>
        <w:contextualSpacing w:val="0"/>
        <w:rPr>
          <w:rFonts w:cs="Arial"/>
          <w:bCs/>
          <w:szCs w:val="24"/>
        </w:rPr>
      </w:pPr>
      <w:r w:rsidRPr="000E6465">
        <w:rPr>
          <w:rFonts w:cs="Arial"/>
          <w:bCs/>
          <w:szCs w:val="24"/>
        </w:rPr>
        <w:t xml:space="preserve">Original “wet signature” documents are no longer required or accepted. The entire </w:t>
      </w:r>
      <w:r w:rsidR="00115144" w:rsidRPr="000E6465">
        <w:rPr>
          <w:rFonts w:cs="Arial"/>
          <w:bCs/>
          <w:szCs w:val="24"/>
        </w:rPr>
        <w:t>Application</w:t>
      </w:r>
      <w:r w:rsidRPr="000E6465">
        <w:rPr>
          <w:rFonts w:cs="Arial"/>
          <w:bCs/>
          <w:szCs w:val="24"/>
        </w:rPr>
        <w:t>, including supporting documentation, will be submitted electronically.</w:t>
      </w:r>
    </w:p>
    <w:p w14:paraId="6FE7F5BC" w14:textId="6D413825" w:rsidR="008A3D49" w:rsidRDefault="008A3D49" w:rsidP="00CB2DA7">
      <w:pPr>
        <w:pStyle w:val="ListParagraph"/>
        <w:numPr>
          <w:ilvl w:val="0"/>
          <w:numId w:val="14"/>
        </w:numPr>
        <w:tabs>
          <w:tab w:val="left" w:pos="1080"/>
        </w:tabs>
        <w:spacing w:after="240" w:line="240" w:lineRule="auto"/>
        <w:rPr>
          <w:rFonts w:cs="Arial"/>
          <w:b/>
          <w:szCs w:val="24"/>
        </w:rPr>
      </w:pPr>
      <w:r w:rsidRPr="00CB2DA7">
        <w:rPr>
          <w:rFonts w:cs="Arial"/>
          <w:b/>
          <w:szCs w:val="24"/>
        </w:rPr>
        <w:t xml:space="preserve">Sections 309 and 310. Selection </w:t>
      </w:r>
      <w:r w:rsidR="005378D6" w:rsidRPr="00CB2DA7">
        <w:rPr>
          <w:rFonts w:cs="Arial"/>
          <w:b/>
          <w:szCs w:val="24"/>
        </w:rPr>
        <w:t>c</w:t>
      </w:r>
      <w:r w:rsidRPr="00CB2DA7">
        <w:rPr>
          <w:rFonts w:cs="Arial"/>
          <w:b/>
          <w:szCs w:val="24"/>
        </w:rPr>
        <w:t>riteria</w:t>
      </w:r>
    </w:p>
    <w:p w14:paraId="7A13E118" w14:textId="77777777" w:rsidR="00003784" w:rsidRPr="00CB2DA7" w:rsidRDefault="00003784" w:rsidP="00003784">
      <w:pPr>
        <w:pStyle w:val="ListParagraph"/>
        <w:tabs>
          <w:tab w:val="left" w:pos="1080"/>
        </w:tabs>
        <w:spacing w:after="240" w:line="240" w:lineRule="auto"/>
        <w:ind w:left="1080"/>
        <w:rPr>
          <w:rFonts w:cs="Arial"/>
          <w:b/>
          <w:szCs w:val="24"/>
        </w:rPr>
      </w:pPr>
    </w:p>
    <w:p w14:paraId="40125A6A" w14:textId="65A422BC" w:rsidR="00D321BD" w:rsidRPr="00CB2DA7" w:rsidRDefault="003A4F50" w:rsidP="00CB2DA7">
      <w:pPr>
        <w:pStyle w:val="ListParagraph"/>
        <w:numPr>
          <w:ilvl w:val="0"/>
          <w:numId w:val="19"/>
        </w:numPr>
        <w:spacing w:after="240" w:line="240" w:lineRule="auto"/>
        <w:contextualSpacing w:val="0"/>
        <w:rPr>
          <w:rFonts w:cs="Arial"/>
          <w:bCs/>
          <w:szCs w:val="24"/>
        </w:rPr>
      </w:pPr>
      <w:r w:rsidRPr="000E6465">
        <w:rPr>
          <w:rFonts w:cs="Arial"/>
          <w:bCs/>
          <w:szCs w:val="24"/>
        </w:rPr>
        <w:t xml:space="preserve">Selection Criteria </w:t>
      </w:r>
      <w:r w:rsidR="00261D8B" w:rsidRPr="000E6465">
        <w:rPr>
          <w:rFonts w:cs="Arial"/>
          <w:bCs/>
          <w:szCs w:val="24"/>
        </w:rPr>
        <w:t>is based</w:t>
      </w:r>
      <w:r w:rsidRPr="000E6465">
        <w:rPr>
          <w:rFonts w:cs="Arial"/>
          <w:bCs/>
          <w:szCs w:val="24"/>
        </w:rPr>
        <w:t xml:space="preserve"> on commitments for permanent financing. </w:t>
      </w:r>
    </w:p>
    <w:p w14:paraId="7F84C2EB" w14:textId="48309C51" w:rsidR="00D321BD" w:rsidRPr="00B936AB" w:rsidRDefault="00115144" w:rsidP="00B936AB">
      <w:pPr>
        <w:pStyle w:val="ListParagraph"/>
        <w:numPr>
          <w:ilvl w:val="0"/>
          <w:numId w:val="19"/>
        </w:numPr>
        <w:spacing w:after="240" w:line="240" w:lineRule="auto"/>
        <w:contextualSpacing w:val="0"/>
        <w:rPr>
          <w:rFonts w:cs="Arial"/>
          <w:bCs/>
          <w:szCs w:val="24"/>
        </w:rPr>
      </w:pPr>
      <w:r w:rsidRPr="00D321BD">
        <w:rPr>
          <w:rFonts w:cs="Arial"/>
          <w:bCs/>
          <w:szCs w:val="24"/>
        </w:rPr>
        <w:t>Application</w:t>
      </w:r>
      <w:r w:rsidR="00031138" w:rsidRPr="00D321BD">
        <w:rPr>
          <w:rFonts w:cs="Arial"/>
          <w:bCs/>
          <w:szCs w:val="24"/>
        </w:rPr>
        <w:t xml:space="preserve">s proposing </w:t>
      </w:r>
      <w:r w:rsidR="003A4F50" w:rsidRPr="00D321BD">
        <w:rPr>
          <w:rFonts w:cs="Arial"/>
          <w:bCs/>
          <w:szCs w:val="24"/>
        </w:rPr>
        <w:t>4 percent and 9 percent tax credi</w:t>
      </w:r>
      <w:r w:rsidR="00462099" w:rsidRPr="00D321BD">
        <w:rPr>
          <w:rFonts w:cs="Arial"/>
          <w:bCs/>
          <w:szCs w:val="24"/>
        </w:rPr>
        <w:t>ts</w:t>
      </w:r>
      <w:r w:rsidR="003A4F50" w:rsidRPr="00D321BD">
        <w:rPr>
          <w:rFonts w:cs="Arial"/>
          <w:bCs/>
          <w:szCs w:val="24"/>
        </w:rPr>
        <w:t xml:space="preserve"> </w:t>
      </w:r>
      <w:r w:rsidR="000E6465" w:rsidRPr="00D321BD">
        <w:rPr>
          <w:rFonts w:cs="Arial"/>
          <w:bCs/>
          <w:szCs w:val="24"/>
        </w:rPr>
        <w:t xml:space="preserve">will be </w:t>
      </w:r>
      <w:r w:rsidR="00D321BD" w:rsidRPr="00D321BD">
        <w:rPr>
          <w:rFonts w:cs="Arial"/>
          <w:bCs/>
          <w:szCs w:val="24"/>
        </w:rPr>
        <w:t xml:space="preserve">considered </w:t>
      </w:r>
      <w:r w:rsidR="003A4F50" w:rsidRPr="00D321BD">
        <w:rPr>
          <w:rFonts w:cs="Arial"/>
          <w:bCs/>
          <w:szCs w:val="24"/>
        </w:rPr>
        <w:t xml:space="preserve">equally, allowing Applicants to choose the path that is most likely to </w:t>
      </w:r>
      <w:r w:rsidR="000A2099" w:rsidRPr="00D321BD">
        <w:rPr>
          <w:rFonts w:cs="Arial"/>
          <w:bCs/>
          <w:szCs w:val="24"/>
        </w:rPr>
        <w:t>fulfill</w:t>
      </w:r>
      <w:r w:rsidR="003A4F50" w:rsidRPr="00D321BD">
        <w:rPr>
          <w:rFonts w:cs="Arial"/>
          <w:bCs/>
          <w:szCs w:val="24"/>
        </w:rPr>
        <w:t xml:space="preserve"> project financing. </w:t>
      </w:r>
    </w:p>
    <w:p w14:paraId="3A653167" w14:textId="33561AD3" w:rsidR="00D321BD" w:rsidRPr="00B936AB" w:rsidRDefault="0055475F" w:rsidP="00B936AB">
      <w:pPr>
        <w:pStyle w:val="ListParagraph"/>
        <w:numPr>
          <w:ilvl w:val="0"/>
          <w:numId w:val="19"/>
        </w:numPr>
        <w:spacing w:after="240" w:line="240" w:lineRule="auto"/>
        <w:contextualSpacing w:val="0"/>
        <w:rPr>
          <w:rFonts w:cs="Arial"/>
          <w:bCs/>
          <w:szCs w:val="24"/>
        </w:rPr>
      </w:pPr>
      <w:r w:rsidRPr="00D321BD">
        <w:rPr>
          <w:rFonts w:cs="Arial"/>
          <w:bCs/>
          <w:szCs w:val="24"/>
        </w:rPr>
        <w:t>Th</w:t>
      </w:r>
      <w:r w:rsidR="00031138" w:rsidRPr="00D321BD">
        <w:rPr>
          <w:rFonts w:cs="Arial"/>
          <w:bCs/>
          <w:szCs w:val="24"/>
        </w:rPr>
        <w:t>e</w:t>
      </w:r>
      <w:r w:rsidRPr="00D321BD">
        <w:rPr>
          <w:rFonts w:cs="Arial"/>
          <w:bCs/>
          <w:szCs w:val="24"/>
        </w:rPr>
        <w:t xml:space="preserve"> </w:t>
      </w:r>
      <w:r w:rsidR="0062199A" w:rsidRPr="00D321BD">
        <w:rPr>
          <w:rFonts w:cs="Arial"/>
          <w:bCs/>
          <w:szCs w:val="24"/>
        </w:rPr>
        <w:t xml:space="preserve">Selection Criteria for </w:t>
      </w:r>
      <w:r w:rsidR="00EE0D9A" w:rsidRPr="00D321BD">
        <w:rPr>
          <w:rFonts w:cs="Arial"/>
          <w:bCs/>
          <w:szCs w:val="24"/>
        </w:rPr>
        <w:t>QIA</w:t>
      </w:r>
      <w:r w:rsidR="00513AF7" w:rsidRPr="00D321BD">
        <w:rPr>
          <w:rFonts w:cs="Arial"/>
          <w:bCs/>
          <w:szCs w:val="24"/>
        </w:rPr>
        <w:t>s</w:t>
      </w:r>
      <w:r w:rsidRPr="00D321BD">
        <w:rPr>
          <w:rFonts w:cs="Arial"/>
          <w:bCs/>
          <w:szCs w:val="24"/>
        </w:rPr>
        <w:t xml:space="preserve"> was </w:t>
      </w:r>
      <w:r w:rsidR="00AA7B62" w:rsidRPr="00D321BD">
        <w:rPr>
          <w:rFonts w:cs="Arial"/>
          <w:bCs/>
          <w:szCs w:val="24"/>
        </w:rPr>
        <w:t xml:space="preserve">brought into better </w:t>
      </w:r>
      <w:r w:rsidRPr="00D321BD">
        <w:rPr>
          <w:rFonts w:cs="Arial"/>
          <w:bCs/>
          <w:szCs w:val="24"/>
        </w:rPr>
        <w:t>align</w:t>
      </w:r>
      <w:r w:rsidR="00AA7B62" w:rsidRPr="00D321BD">
        <w:rPr>
          <w:rFonts w:cs="Arial"/>
          <w:bCs/>
          <w:szCs w:val="24"/>
        </w:rPr>
        <w:t>ment</w:t>
      </w:r>
      <w:r w:rsidRPr="00D321BD">
        <w:rPr>
          <w:rFonts w:cs="Arial"/>
          <w:bCs/>
          <w:szCs w:val="24"/>
        </w:rPr>
        <w:t xml:space="preserve"> with </w:t>
      </w:r>
      <w:r w:rsidR="00513AF7" w:rsidRPr="00D321BD">
        <w:rPr>
          <w:rFonts w:cs="Arial"/>
          <w:bCs/>
          <w:szCs w:val="24"/>
        </w:rPr>
        <w:t>S</w:t>
      </w:r>
      <w:r w:rsidRPr="00D321BD">
        <w:rPr>
          <w:rFonts w:cs="Arial"/>
          <w:bCs/>
          <w:szCs w:val="24"/>
        </w:rPr>
        <w:t xml:space="preserve">election </w:t>
      </w:r>
      <w:r w:rsidR="00513AF7" w:rsidRPr="00D321BD">
        <w:rPr>
          <w:rFonts w:cs="Arial"/>
          <w:bCs/>
          <w:szCs w:val="24"/>
        </w:rPr>
        <w:t>C</w:t>
      </w:r>
      <w:r w:rsidRPr="00D321BD">
        <w:rPr>
          <w:rFonts w:cs="Arial"/>
          <w:bCs/>
          <w:szCs w:val="24"/>
        </w:rPr>
        <w:t xml:space="preserve">riteria for </w:t>
      </w:r>
      <w:r w:rsidR="0042495B" w:rsidRPr="00D321BD">
        <w:rPr>
          <w:rFonts w:cs="Arial"/>
          <w:bCs/>
          <w:szCs w:val="24"/>
        </w:rPr>
        <w:t>QIP</w:t>
      </w:r>
      <w:r w:rsidRPr="00D321BD">
        <w:rPr>
          <w:rFonts w:cs="Arial"/>
          <w:bCs/>
          <w:szCs w:val="24"/>
        </w:rPr>
        <w:t>s</w:t>
      </w:r>
      <w:r w:rsidR="00A3612F" w:rsidRPr="00D321BD">
        <w:rPr>
          <w:rFonts w:cs="Arial"/>
          <w:bCs/>
          <w:szCs w:val="24"/>
        </w:rPr>
        <w:t xml:space="preserve"> to </w:t>
      </w:r>
      <w:r w:rsidR="008F61A3" w:rsidRPr="00D321BD">
        <w:rPr>
          <w:rFonts w:cs="Arial"/>
          <w:bCs/>
          <w:szCs w:val="24"/>
        </w:rPr>
        <w:t>ensure</w:t>
      </w:r>
      <w:r w:rsidR="003C491D" w:rsidRPr="00D321BD">
        <w:rPr>
          <w:rFonts w:cs="Arial"/>
          <w:bCs/>
          <w:szCs w:val="24"/>
        </w:rPr>
        <w:t xml:space="preserve"> a </w:t>
      </w:r>
      <w:r w:rsidR="008F61A3" w:rsidRPr="00D321BD">
        <w:rPr>
          <w:rFonts w:cs="Arial"/>
          <w:bCs/>
          <w:szCs w:val="24"/>
        </w:rPr>
        <w:t xml:space="preserve">consistent approach </w:t>
      </w:r>
      <w:r w:rsidR="003C491D" w:rsidRPr="00D321BD">
        <w:rPr>
          <w:rFonts w:cs="Arial"/>
          <w:bCs/>
          <w:szCs w:val="24"/>
        </w:rPr>
        <w:t xml:space="preserve">to evaluating </w:t>
      </w:r>
      <w:r w:rsidR="00115144" w:rsidRPr="00D321BD">
        <w:rPr>
          <w:rFonts w:cs="Arial"/>
          <w:bCs/>
          <w:szCs w:val="24"/>
        </w:rPr>
        <w:t>Application</w:t>
      </w:r>
      <w:r w:rsidR="003C491D" w:rsidRPr="00D321BD">
        <w:rPr>
          <w:rFonts w:cs="Arial"/>
          <w:bCs/>
          <w:szCs w:val="24"/>
        </w:rPr>
        <w:t>s</w:t>
      </w:r>
      <w:r w:rsidR="008F61A3" w:rsidRPr="00D321BD">
        <w:rPr>
          <w:rFonts w:cs="Arial"/>
          <w:bCs/>
          <w:szCs w:val="24"/>
        </w:rPr>
        <w:t>.</w:t>
      </w:r>
    </w:p>
    <w:p w14:paraId="428E6081" w14:textId="1EDA3D18" w:rsidR="001E550C" w:rsidRPr="00D321BD" w:rsidRDefault="00A65427" w:rsidP="00D2631D">
      <w:pPr>
        <w:pStyle w:val="ListParagraph"/>
        <w:numPr>
          <w:ilvl w:val="0"/>
          <w:numId w:val="19"/>
        </w:numPr>
        <w:spacing w:after="240" w:line="240" w:lineRule="auto"/>
        <w:rPr>
          <w:rFonts w:cs="Arial"/>
          <w:bCs/>
          <w:szCs w:val="24"/>
        </w:rPr>
      </w:pPr>
      <w:r w:rsidRPr="00D321BD">
        <w:rPr>
          <w:rFonts w:cs="Arial"/>
          <w:bCs/>
          <w:szCs w:val="24"/>
        </w:rPr>
        <w:t xml:space="preserve">To </w:t>
      </w:r>
      <w:r w:rsidR="005047A6" w:rsidRPr="00D321BD">
        <w:rPr>
          <w:rFonts w:cs="Arial"/>
          <w:bCs/>
          <w:szCs w:val="24"/>
        </w:rPr>
        <w:t>incentivize</w:t>
      </w:r>
      <w:r w:rsidR="00013B28" w:rsidRPr="00D321BD">
        <w:rPr>
          <w:rFonts w:cs="Arial"/>
          <w:bCs/>
          <w:szCs w:val="24"/>
        </w:rPr>
        <w:t xml:space="preserve"> </w:t>
      </w:r>
      <w:r w:rsidR="003D0D2D" w:rsidRPr="00D321BD">
        <w:rPr>
          <w:rFonts w:cs="Arial"/>
          <w:bCs/>
          <w:szCs w:val="24"/>
        </w:rPr>
        <w:t>larger scale residential developments</w:t>
      </w:r>
      <w:r w:rsidR="009B0366" w:rsidRPr="00D321BD">
        <w:rPr>
          <w:rFonts w:cs="Arial"/>
          <w:bCs/>
          <w:szCs w:val="24"/>
        </w:rPr>
        <w:t>,</w:t>
      </w:r>
      <w:r w:rsidR="003D0D2D" w:rsidRPr="00D321BD">
        <w:rPr>
          <w:rFonts w:cs="Arial"/>
          <w:bCs/>
          <w:szCs w:val="24"/>
        </w:rPr>
        <w:t xml:space="preserve"> </w:t>
      </w:r>
      <w:r w:rsidR="009C63D9" w:rsidRPr="00D321BD">
        <w:rPr>
          <w:rFonts w:cs="Arial"/>
          <w:bCs/>
          <w:szCs w:val="24"/>
        </w:rPr>
        <w:t xml:space="preserve">the </w:t>
      </w:r>
      <w:r w:rsidR="003D0D2D" w:rsidRPr="00D321BD">
        <w:rPr>
          <w:rFonts w:cs="Arial"/>
          <w:bCs/>
          <w:szCs w:val="24"/>
        </w:rPr>
        <w:t>M</w:t>
      </w:r>
      <w:r w:rsidRPr="00D321BD">
        <w:rPr>
          <w:rFonts w:cs="Arial"/>
          <w:bCs/>
          <w:szCs w:val="24"/>
        </w:rPr>
        <w:t xml:space="preserve">ultiple </w:t>
      </w:r>
      <w:r w:rsidR="0042495B" w:rsidRPr="00D321BD">
        <w:rPr>
          <w:rFonts w:cs="Arial"/>
          <w:bCs/>
          <w:szCs w:val="24"/>
        </w:rPr>
        <w:t>QIP</w:t>
      </w:r>
      <w:r w:rsidRPr="00D321BD">
        <w:rPr>
          <w:rFonts w:cs="Arial"/>
          <w:bCs/>
          <w:szCs w:val="24"/>
        </w:rPr>
        <w:t xml:space="preserve">s criterion </w:t>
      </w:r>
      <w:r w:rsidR="00E97A5C" w:rsidRPr="00D321BD">
        <w:rPr>
          <w:rFonts w:cs="Arial"/>
          <w:bCs/>
          <w:szCs w:val="24"/>
        </w:rPr>
        <w:t>allows</w:t>
      </w:r>
      <w:r w:rsidRPr="00D321BD">
        <w:rPr>
          <w:rFonts w:cs="Arial"/>
          <w:bCs/>
          <w:szCs w:val="24"/>
        </w:rPr>
        <w:t xml:space="preserve"> full points </w:t>
      </w:r>
      <w:r w:rsidR="009C63D9" w:rsidRPr="00D321BD">
        <w:rPr>
          <w:rFonts w:cs="Arial"/>
          <w:bCs/>
          <w:szCs w:val="24"/>
        </w:rPr>
        <w:t xml:space="preserve">for </w:t>
      </w:r>
      <w:r w:rsidR="00EE0D9A" w:rsidRPr="00D321BD">
        <w:rPr>
          <w:rFonts w:cs="Arial"/>
          <w:bCs/>
          <w:szCs w:val="24"/>
        </w:rPr>
        <w:t>QIA</w:t>
      </w:r>
      <w:r w:rsidR="009C63D9" w:rsidRPr="00D321BD">
        <w:rPr>
          <w:rFonts w:cs="Arial"/>
          <w:bCs/>
          <w:szCs w:val="24"/>
        </w:rPr>
        <w:t>s that</w:t>
      </w:r>
      <w:r w:rsidRPr="00D321BD">
        <w:rPr>
          <w:rFonts w:cs="Arial"/>
          <w:bCs/>
          <w:szCs w:val="24"/>
        </w:rPr>
        <w:t xml:space="preserve"> exceed 250 units.</w:t>
      </w:r>
      <w:r w:rsidR="00962B2F" w:rsidRPr="00D321BD">
        <w:rPr>
          <w:rFonts w:cs="Arial"/>
          <w:bCs/>
          <w:szCs w:val="24"/>
        </w:rPr>
        <w:t xml:space="preserve"> </w:t>
      </w:r>
    </w:p>
    <w:p w14:paraId="007EB381" w14:textId="0F878B03" w:rsidR="00024400" w:rsidRPr="00AD1F8D" w:rsidRDefault="00024400" w:rsidP="001C6E69">
      <w:pPr>
        <w:pStyle w:val="Heading2"/>
        <w:contextualSpacing w:val="0"/>
        <w:rPr>
          <w:rFonts w:cs="Times New Roman"/>
        </w:rPr>
      </w:pPr>
      <w:bookmarkStart w:id="26" w:name="_Toc47528495"/>
      <w:bookmarkStart w:id="27" w:name="_Toc71201539"/>
      <w:r w:rsidRPr="00024400">
        <w:t>Authorizing Legislation</w:t>
      </w:r>
      <w:r w:rsidR="008322AB">
        <w:t xml:space="preserve"> and Guidelines</w:t>
      </w:r>
      <w:bookmarkEnd w:id="26"/>
      <w:bookmarkEnd w:id="27"/>
    </w:p>
    <w:p w14:paraId="661AA44A" w14:textId="52CA128B" w:rsidR="0038680E" w:rsidRPr="0038680E" w:rsidRDefault="0038680E" w:rsidP="0038680E">
      <w:pPr>
        <w:spacing w:after="240" w:line="240" w:lineRule="auto"/>
        <w:ind w:left="720"/>
        <w:rPr>
          <w:rFonts w:ascii="Arial" w:hAnsi="Arial" w:cs="Arial"/>
          <w:sz w:val="24"/>
          <w:szCs w:val="24"/>
        </w:rPr>
      </w:pPr>
      <w:r w:rsidRPr="0038680E">
        <w:rPr>
          <w:rFonts w:ascii="Arial" w:hAnsi="Arial" w:cs="Arial"/>
          <w:sz w:val="24"/>
          <w:szCs w:val="24"/>
        </w:rPr>
        <w:t>The II</w:t>
      </w:r>
      <w:r w:rsidR="00281083">
        <w:rPr>
          <w:rFonts w:ascii="Arial" w:hAnsi="Arial" w:cs="Arial"/>
          <w:sz w:val="24"/>
          <w:szCs w:val="24"/>
        </w:rPr>
        <w:t>G</w:t>
      </w:r>
      <w:r w:rsidRPr="0038680E">
        <w:rPr>
          <w:rFonts w:ascii="Arial" w:hAnsi="Arial" w:cs="Arial"/>
          <w:sz w:val="24"/>
          <w:szCs w:val="24"/>
        </w:rPr>
        <w:t xml:space="preserve"> program was established by Chapter 2 of Part 12 of Division 31 commencing with </w:t>
      </w:r>
      <w:r w:rsidR="007A22B2">
        <w:rPr>
          <w:rFonts w:ascii="Arial" w:hAnsi="Arial" w:cs="Arial"/>
          <w:sz w:val="24"/>
          <w:szCs w:val="24"/>
        </w:rPr>
        <w:t>HSC</w:t>
      </w:r>
      <w:r w:rsidRPr="0038680E">
        <w:rPr>
          <w:rFonts w:ascii="Arial" w:hAnsi="Arial" w:cs="Arial"/>
          <w:sz w:val="24"/>
          <w:szCs w:val="24"/>
        </w:rPr>
        <w:t xml:space="preserve"> section 53545.12. </w:t>
      </w:r>
    </w:p>
    <w:p w14:paraId="18BFC267" w14:textId="7710DB0A" w:rsidR="005122A9" w:rsidRDefault="0038680E" w:rsidP="0038680E">
      <w:pPr>
        <w:spacing w:after="240" w:line="240" w:lineRule="auto"/>
        <w:ind w:left="720"/>
        <w:rPr>
          <w:rFonts w:ascii="Arial" w:hAnsi="Arial" w:cs="Arial"/>
          <w:sz w:val="24"/>
          <w:szCs w:val="24"/>
        </w:rPr>
      </w:pPr>
      <w:r w:rsidRPr="0038680E">
        <w:rPr>
          <w:rFonts w:ascii="Arial" w:hAnsi="Arial" w:cs="Arial"/>
          <w:sz w:val="24"/>
          <w:szCs w:val="24"/>
        </w:rPr>
        <w:t xml:space="preserve">Senate Bill 3 (SB 3) (Chapter 365, Statutes of 2017), which authorized the Veterans and Affordable Housing Bond Act of 2018 was adopted by voters on November 6, 2018, (Proposition 1) and authorizes the issuance of bonds in the amount of $4 billion under the State General Obligation Bond Law. SB 3 allocates $2.85 billion of the bond proceeds to fund housing programs administered by </w:t>
      </w:r>
      <w:r w:rsidR="001E6476">
        <w:rPr>
          <w:rFonts w:ascii="Arial" w:hAnsi="Arial" w:cs="Arial"/>
          <w:sz w:val="24"/>
          <w:szCs w:val="24"/>
        </w:rPr>
        <w:t>HCD</w:t>
      </w:r>
      <w:r w:rsidRPr="0038680E">
        <w:rPr>
          <w:rFonts w:ascii="Arial" w:hAnsi="Arial" w:cs="Arial"/>
          <w:sz w:val="24"/>
          <w:szCs w:val="24"/>
        </w:rPr>
        <w:t>. Specifically, SB 3 authorizes for the allocation of $</w:t>
      </w:r>
      <w:r w:rsidR="001C7A60" w:rsidRPr="0038680E">
        <w:rPr>
          <w:rFonts w:ascii="Arial" w:hAnsi="Arial" w:cs="Arial"/>
          <w:sz w:val="24"/>
          <w:szCs w:val="24"/>
        </w:rPr>
        <w:t>300</w:t>
      </w:r>
      <w:r w:rsidR="001C7A60">
        <w:rPr>
          <w:rFonts w:ascii="Arial" w:hAnsi="Arial" w:cs="Arial"/>
          <w:sz w:val="24"/>
          <w:szCs w:val="24"/>
        </w:rPr>
        <w:t> </w:t>
      </w:r>
      <w:r w:rsidRPr="0038680E">
        <w:rPr>
          <w:rFonts w:ascii="Arial" w:hAnsi="Arial" w:cs="Arial"/>
          <w:sz w:val="24"/>
          <w:szCs w:val="24"/>
        </w:rPr>
        <w:t>million of bond proceeds for IIG to promote infill housing development by providing financial assistance for Capital Improvement Projects that are an integral part of or necessary to facilitate the development of infill housing. This NOFA makes available the first round of IIG Proposition 1 funding.</w:t>
      </w:r>
    </w:p>
    <w:p w14:paraId="2F8AF8A1" w14:textId="523081BD" w:rsidR="00CA1E27" w:rsidRDefault="000F5765" w:rsidP="001C6E69">
      <w:pPr>
        <w:spacing w:after="240" w:line="240" w:lineRule="auto"/>
        <w:ind w:left="720"/>
        <w:rPr>
          <w:rFonts w:ascii="Arial" w:eastAsia="Times New Roman" w:hAnsi="Arial" w:cs="Times New Roman"/>
          <w:sz w:val="24"/>
        </w:rPr>
      </w:pPr>
      <w:r w:rsidRPr="000F5765">
        <w:rPr>
          <w:rFonts w:ascii="Arial" w:eastAsia="Times New Roman" w:hAnsi="Arial" w:cs="Times New Roman"/>
          <w:sz w:val="24"/>
        </w:rPr>
        <w:t>Applications submitted under this NOFA are subject to the Guidelines, all applicable statutory requirements, and</w:t>
      </w:r>
      <w:r w:rsidR="001F7DCC">
        <w:rPr>
          <w:rFonts w:ascii="Arial" w:eastAsia="Times New Roman" w:hAnsi="Arial" w:cs="Times New Roman"/>
          <w:sz w:val="24"/>
        </w:rPr>
        <w:t xml:space="preserve"> this </w:t>
      </w:r>
      <w:r w:rsidRPr="000F5765">
        <w:rPr>
          <w:rFonts w:ascii="Arial" w:eastAsia="Times New Roman" w:hAnsi="Arial" w:cs="Times New Roman"/>
          <w:sz w:val="24"/>
        </w:rPr>
        <w:t xml:space="preserve">NOFA. </w:t>
      </w:r>
      <w:r w:rsidR="00EF7BB5">
        <w:rPr>
          <w:rFonts w:ascii="Arial" w:eastAsia="Times New Roman" w:hAnsi="Arial" w:cs="Times New Roman"/>
          <w:sz w:val="24"/>
        </w:rPr>
        <w:t>S</w:t>
      </w:r>
      <w:r w:rsidRPr="000F5765">
        <w:rPr>
          <w:rFonts w:ascii="Arial" w:eastAsia="Times New Roman" w:hAnsi="Arial" w:cs="Times New Roman"/>
          <w:sz w:val="24"/>
        </w:rPr>
        <w:t xml:space="preserve">ection references in this NOFA refer to the Guidelines unless otherwise noted. </w:t>
      </w:r>
      <w:r w:rsidR="00553CBE">
        <w:rPr>
          <w:rFonts w:ascii="Arial" w:eastAsia="Times New Roman" w:hAnsi="Arial" w:cs="Times New Roman"/>
          <w:sz w:val="24"/>
        </w:rPr>
        <w:t>C</w:t>
      </w:r>
      <w:r w:rsidRPr="000F5765">
        <w:rPr>
          <w:rFonts w:ascii="Arial" w:eastAsia="Times New Roman" w:hAnsi="Arial" w:cs="Times New Roman"/>
          <w:sz w:val="24"/>
        </w:rPr>
        <w:t xml:space="preserve">apitalized terms in this NOFA are either defined herein or in the Guidelines. The Guidelines and NOFA are available at </w:t>
      </w:r>
      <w:r w:rsidR="00027DFB">
        <w:rPr>
          <w:rFonts w:ascii="Arial" w:eastAsia="Times New Roman" w:hAnsi="Arial" w:cs="Times New Roman"/>
          <w:sz w:val="24"/>
        </w:rPr>
        <w:t>HCD</w:t>
      </w:r>
      <w:r w:rsidRPr="000F5765">
        <w:rPr>
          <w:rFonts w:ascii="Arial" w:eastAsia="Times New Roman" w:hAnsi="Arial" w:cs="Times New Roman"/>
          <w:sz w:val="24"/>
        </w:rPr>
        <w:t>’s</w:t>
      </w:r>
      <w:r w:rsidR="00C14D67">
        <w:rPr>
          <w:rFonts w:ascii="Arial" w:eastAsia="Times New Roman" w:hAnsi="Arial" w:cs="Times New Roman"/>
          <w:sz w:val="24"/>
        </w:rPr>
        <w:t xml:space="preserve"> </w:t>
      </w:r>
      <w:hyperlink r:id="rId21" w:history="1">
        <w:r w:rsidR="00967A67" w:rsidRPr="00902DA5">
          <w:rPr>
            <w:rStyle w:val="Hyperlink"/>
            <w:rFonts w:ascii="Arial" w:eastAsia="Times New Roman" w:hAnsi="Arial"/>
            <w:sz w:val="24"/>
          </w:rPr>
          <w:t>www.hcd.ca.gov/grants-funding/active-funding/iigp.shtml</w:t>
        </w:r>
      </w:hyperlink>
      <w:r w:rsidR="006D0135">
        <w:rPr>
          <w:rFonts w:ascii="Arial" w:eastAsia="Times New Roman" w:hAnsi="Arial" w:cs="Times New Roman"/>
          <w:sz w:val="24"/>
        </w:rPr>
        <w:t>.</w:t>
      </w:r>
      <w:r w:rsidR="00C37D7D">
        <w:rPr>
          <w:rFonts w:ascii="Arial" w:eastAsia="Times New Roman" w:hAnsi="Arial" w:cs="Times New Roman"/>
          <w:sz w:val="24"/>
        </w:rPr>
        <w:t xml:space="preserve"> </w:t>
      </w:r>
    </w:p>
    <w:p w14:paraId="6671249E" w14:textId="0679A311" w:rsidR="00682EDA" w:rsidRPr="000F5765" w:rsidRDefault="00024400" w:rsidP="00D2631D">
      <w:pPr>
        <w:pStyle w:val="Heading1"/>
        <w:numPr>
          <w:ilvl w:val="0"/>
          <w:numId w:val="13"/>
        </w:numPr>
        <w:ind w:left="360"/>
        <w:contextualSpacing w:val="0"/>
        <w:jc w:val="left"/>
        <w:rPr>
          <w:b w:val="0"/>
        </w:rPr>
      </w:pPr>
      <w:bookmarkStart w:id="28" w:name="_Toc479163221"/>
      <w:bookmarkStart w:id="29" w:name="_Toc71201540"/>
      <w:r w:rsidRPr="000F5765">
        <w:t xml:space="preserve">Program </w:t>
      </w:r>
      <w:r w:rsidR="00E63697">
        <w:t>r</w:t>
      </w:r>
      <w:r w:rsidRPr="000F5765">
        <w:t>equirements</w:t>
      </w:r>
      <w:bookmarkEnd w:id="28"/>
      <w:bookmarkEnd w:id="29"/>
    </w:p>
    <w:p w14:paraId="3CD91686" w14:textId="34354CFE" w:rsidR="00FF5012" w:rsidRPr="00251394" w:rsidRDefault="00024400" w:rsidP="00D2631D">
      <w:pPr>
        <w:pStyle w:val="Heading2"/>
        <w:numPr>
          <w:ilvl w:val="0"/>
          <w:numId w:val="5"/>
        </w:numPr>
        <w:contextualSpacing w:val="0"/>
        <w:rPr>
          <w:rFonts w:cs="Times New Roman"/>
          <w:b w:val="0"/>
          <w:bCs/>
        </w:rPr>
      </w:pPr>
      <w:bookmarkStart w:id="30" w:name="_Toc47528496"/>
      <w:bookmarkStart w:id="31" w:name="_Toc71201541"/>
      <w:r w:rsidRPr="00447256">
        <w:t>Eligible</w:t>
      </w:r>
      <w:bookmarkEnd w:id="30"/>
      <w:r w:rsidR="004452F4">
        <w:t xml:space="preserve"> Applicant</w:t>
      </w:r>
      <w:r w:rsidR="00514FD5">
        <w:t xml:space="preserve">s </w:t>
      </w:r>
      <w:r w:rsidR="00514FD5" w:rsidRPr="00251394">
        <w:rPr>
          <w:b w:val="0"/>
          <w:bCs/>
        </w:rPr>
        <w:t xml:space="preserve">are defined in Section </w:t>
      </w:r>
      <w:r w:rsidR="000D418F" w:rsidRPr="00251394">
        <w:rPr>
          <w:b w:val="0"/>
          <w:bCs/>
        </w:rPr>
        <w:t>302</w:t>
      </w:r>
      <w:r w:rsidR="00D321BD">
        <w:rPr>
          <w:b w:val="0"/>
          <w:bCs/>
        </w:rPr>
        <w:t xml:space="preserve"> of the Guidelines.</w:t>
      </w:r>
      <w:bookmarkEnd w:id="31"/>
    </w:p>
    <w:p w14:paraId="003AD79D" w14:textId="1CA8B3D4" w:rsidR="008957D0" w:rsidRPr="00487F43" w:rsidRDefault="00024400" w:rsidP="00D2631D">
      <w:pPr>
        <w:pStyle w:val="Heading2"/>
        <w:numPr>
          <w:ilvl w:val="0"/>
          <w:numId w:val="1"/>
        </w:numPr>
        <w:contextualSpacing w:val="0"/>
      </w:pPr>
      <w:bookmarkStart w:id="32" w:name="_Toc47528497"/>
      <w:bookmarkStart w:id="33" w:name="_Toc71201542"/>
      <w:r w:rsidRPr="002C05BC">
        <w:t xml:space="preserve">Eligible </w:t>
      </w:r>
      <w:bookmarkEnd w:id="32"/>
      <w:r w:rsidR="00D010DB" w:rsidRPr="002C05BC">
        <w:t>Projects</w:t>
      </w:r>
      <w:bookmarkEnd w:id="33"/>
      <w:r w:rsidR="00E06B9F">
        <w:t xml:space="preserve"> </w:t>
      </w:r>
    </w:p>
    <w:p w14:paraId="51E6FB0B" w14:textId="633AA1A2" w:rsidR="002E19FD" w:rsidRPr="00B64442" w:rsidRDefault="004452F4" w:rsidP="001C6E69">
      <w:pPr>
        <w:spacing w:after="240" w:line="240" w:lineRule="auto"/>
        <w:ind w:left="720"/>
        <w:rPr>
          <w:rFonts w:ascii="Arial" w:eastAsia="Calibri" w:hAnsi="Arial" w:cs="Arial"/>
          <w:color w:val="000000"/>
          <w:sz w:val="24"/>
          <w:szCs w:val="24"/>
        </w:rPr>
      </w:pPr>
      <w:r w:rsidRPr="00804788">
        <w:rPr>
          <w:rFonts w:ascii="Arial" w:eastAsia="Calibri" w:hAnsi="Arial" w:cs="Arial"/>
          <w:color w:val="000000"/>
          <w:sz w:val="24"/>
          <w:szCs w:val="24"/>
        </w:rPr>
        <w:t>To be eligible for funding, a Capital Improvement Project must be an integral part of</w:t>
      </w:r>
      <w:r w:rsidR="00AF04EC">
        <w:rPr>
          <w:rFonts w:ascii="Arial" w:eastAsia="Calibri" w:hAnsi="Arial" w:cs="Arial"/>
          <w:color w:val="000000"/>
          <w:sz w:val="24"/>
          <w:szCs w:val="24"/>
        </w:rPr>
        <w:t>, or</w:t>
      </w:r>
      <w:r w:rsidRPr="00804788">
        <w:rPr>
          <w:rFonts w:ascii="Arial" w:eastAsia="Calibri" w:hAnsi="Arial" w:cs="Arial"/>
          <w:color w:val="000000"/>
          <w:sz w:val="24"/>
          <w:szCs w:val="24"/>
        </w:rPr>
        <w:t xml:space="preserve"> necessary to facilitate the development of </w:t>
      </w:r>
      <w:r w:rsidR="00071646">
        <w:rPr>
          <w:rFonts w:ascii="Arial" w:eastAsia="Calibri" w:hAnsi="Arial" w:cs="Arial"/>
          <w:color w:val="000000"/>
          <w:sz w:val="24"/>
          <w:szCs w:val="24"/>
        </w:rPr>
        <w:t>the</w:t>
      </w:r>
      <w:r w:rsidRPr="00804788">
        <w:rPr>
          <w:rFonts w:ascii="Arial" w:eastAsia="Calibri" w:hAnsi="Arial" w:cs="Arial"/>
          <w:color w:val="000000"/>
          <w:sz w:val="24"/>
          <w:szCs w:val="24"/>
        </w:rPr>
        <w:t xml:space="preserve"> </w:t>
      </w:r>
      <w:r w:rsidR="0094066A">
        <w:rPr>
          <w:rFonts w:ascii="Arial" w:eastAsia="Calibri" w:hAnsi="Arial" w:cs="Arial"/>
          <w:color w:val="000000"/>
          <w:sz w:val="24"/>
          <w:szCs w:val="24"/>
        </w:rPr>
        <w:t>QIP</w:t>
      </w:r>
      <w:r w:rsidR="00071646">
        <w:rPr>
          <w:rFonts w:ascii="Arial" w:eastAsia="Calibri" w:hAnsi="Arial" w:cs="Arial"/>
          <w:color w:val="000000"/>
          <w:sz w:val="24"/>
          <w:szCs w:val="24"/>
        </w:rPr>
        <w:t>(s).</w:t>
      </w:r>
    </w:p>
    <w:p w14:paraId="4D1519DE" w14:textId="00044CFE" w:rsidR="00ED5750" w:rsidRDefault="004452F4" w:rsidP="00FB7C69">
      <w:pPr>
        <w:spacing w:after="240" w:line="240" w:lineRule="auto"/>
        <w:ind w:left="720"/>
        <w:rPr>
          <w:rFonts w:ascii="Arial" w:eastAsia="Calibri" w:hAnsi="Arial" w:cs="Arial"/>
          <w:color w:val="000000"/>
          <w:sz w:val="24"/>
          <w:szCs w:val="28"/>
        </w:rPr>
      </w:pPr>
      <w:r w:rsidRPr="00B64442">
        <w:rPr>
          <w:rFonts w:ascii="Arial" w:eastAsia="Calibri" w:hAnsi="Arial" w:cs="Arial"/>
          <w:color w:val="000000"/>
          <w:sz w:val="24"/>
          <w:szCs w:val="28"/>
        </w:rPr>
        <w:t>Eligible projects</w:t>
      </w:r>
      <w:r w:rsidRPr="000F5765">
        <w:rPr>
          <w:rFonts w:ascii="Arial" w:eastAsia="Calibri" w:hAnsi="Arial" w:cs="Arial"/>
          <w:color w:val="000000"/>
          <w:sz w:val="24"/>
          <w:szCs w:val="28"/>
        </w:rPr>
        <w:t xml:space="preserve"> must meet the requirements set forth in Section 303 of the Guidelines. </w:t>
      </w:r>
    </w:p>
    <w:p w14:paraId="11377033" w14:textId="50C7BE26" w:rsidR="00D010DB" w:rsidRPr="00274456" w:rsidRDefault="00D010DB" w:rsidP="00D2631D">
      <w:pPr>
        <w:pStyle w:val="Heading2"/>
        <w:numPr>
          <w:ilvl w:val="0"/>
          <w:numId w:val="1"/>
        </w:numPr>
        <w:contextualSpacing w:val="0"/>
      </w:pPr>
      <w:bookmarkStart w:id="34" w:name="_Toc71201543"/>
      <w:r w:rsidRPr="00024400">
        <w:t xml:space="preserve">Eligible </w:t>
      </w:r>
      <w:r w:rsidR="00D660F1">
        <w:t>C</w:t>
      </w:r>
      <w:r w:rsidR="00274456">
        <w:t>osts</w:t>
      </w:r>
      <w:bookmarkEnd w:id="34"/>
    </w:p>
    <w:p w14:paraId="1D6D43CB" w14:textId="39DF6775" w:rsidR="00F5026C" w:rsidRPr="00274456" w:rsidRDefault="004452F4" w:rsidP="001C6E69">
      <w:pPr>
        <w:spacing w:after="240" w:line="240" w:lineRule="auto"/>
        <w:ind w:left="990" w:hanging="270"/>
        <w:rPr>
          <w:rFonts w:eastAsia="Calibri" w:cs="Arial"/>
          <w:color w:val="000000"/>
          <w:szCs w:val="24"/>
        </w:rPr>
      </w:pPr>
      <w:r w:rsidRPr="00274456">
        <w:rPr>
          <w:rFonts w:ascii="Arial" w:eastAsia="Calibri" w:hAnsi="Arial" w:cs="Arial"/>
          <w:color w:val="000000"/>
          <w:sz w:val="24"/>
          <w:szCs w:val="24"/>
        </w:rPr>
        <w:t xml:space="preserve">Eligible </w:t>
      </w:r>
      <w:r w:rsidR="00D660F1">
        <w:rPr>
          <w:rFonts w:ascii="Arial" w:eastAsia="Calibri" w:hAnsi="Arial" w:cs="Arial"/>
          <w:color w:val="000000"/>
          <w:sz w:val="24"/>
          <w:szCs w:val="24"/>
        </w:rPr>
        <w:t>C</w:t>
      </w:r>
      <w:r w:rsidRPr="00274456">
        <w:rPr>
          <w:rFonts w:ascii="Arial" w:eastAsia="Calibri" w:hAnsi="Arial" w:cs="Arial"/>
          <w:color w:val="000000"/>
          <w:sz w:val="24"/>
          <w:szCs w:val="24"/>
        </w:rPr>
        <w:t>ost</w:t>
      </w:r>
      <w:r w:rsidR="003C6EE7">
        <w:rPr>
          <w:rFonts w:ascii="Arial" w:eastAsia="Calibri" w:hAnsi="Arial" w:cs="Arial"/>
          <w:color w:val="000000"/>
          <w:sz w:val="24"/>
          <w:szCs w:val="24"/>
        </w:rPr>
        <w:t>s are described in</w:t>
      </w:r>
      <w:r w:rsidRPr="00274456">
        <w:rPr>
          <w:rFonts w:ascii="Arial" w:eastAsia="Calibri" w:hAnsi="Arial" w:cs="Arial"/>
          <w:color w:val="000000"/>
          <w:sz w:val="24"/>
          <w:szCs w:val="24"/>
        </w:rPr>
        <w:t xml:space="preserve"> Section 304 </w:t>
      </w:r>
      <w:r w:rsidR="0086413A">
        <w:rPr>
          <w:rFonts w:ascii="Arial" w:eastAsia="Calibri" w:hAnsi="Arial" w:cs="Arial"/>
          <w:color w:val="000000"/>
          <w:sz w:val="24"/>
          <w:szCs w:val="24"/>
        </w:rPr>
        <w:t>of</w:t>
      </w:r>
      <w:r w:rsidRPr="00274456">
        <w:rPr>
          <w:rFonts w:ascii="Arial" w:eastAsia="Calibri" w:hAnsi="Arial" w:cs="Arial"/>
          <w:color w:val="000000"/>
          <w:sz w:val="24"/>
          <w:szCs w:val="24"/>
        </w:rPr>
        <w:t xml:space="preserve"> the Guidelines.</w:t>
      </w:r>
    </w:p>
    <w:p w14:paraId="57D0B7A3" w14:textId="5A0E9D9B" w:rsidR="008957D0" w:rsidRPr="008957D0" w:rsidRDefault="006E2695" w:rsidP="00D2631D">
      <w:pPr>
        <w:pStyle w:val="Heading2"/>
        <w:numPr>
          <w:ilvl w:val="0"/>
          <w:numId w:val="1"/>
        </w:numPr>
        <w:contextualSpacing w:val="0"/>
      </w:pPr>
      <w:bookmarkStart w:id="35" w:name="_Toc47528498"/>
      <w:bookmarkStart w:id="36" w:name="_Hlk54091804"/>
      <w:bookmarkStart w:id="37" w:name="_Toc71201544"/>
      <w:r w:rsidRPr="00C76370">
        <w:t xml:space="preserve">Program </w:t>
      </w:r>
      <w:r w:rsidR="00A44744">
        <w:t>f</w:t>
      </w:r>
      <w:r w:rsidRPr="00C76370">
        <w:t xml:space="preserve">unding </w:t>
      </w:r>
      <w:r w:rsidR="00A44744">
        <w:t>a</w:t>
      </w:r>
      <w:r w:rsidRPr="00C76370">
        <w:t>mount</w:t>
      </w:r>
      <w:r w:rsidRPr="00123192">
        <w:t xml:space="preserve">s and </w:t>
      </w:r>
      <w:r w:rsidR="00A44744">
        <w:t>t</w:t>
      </w:r>
      <w:r w:rsidRPr="00123192">
        <w:t>erms</w:t>
      </w:r>
      <w:bookmarkEnd w:id="35"/>
      <w:bookmarkEnd w:id="36"/>
      <w:bookmarkEnd w:id="37"/>
    </w:p>
    <w:p w14:paraId="415954DB" w14:textId="5ADC5187" w:rsidR="004452F4" w:rsidRPr="005A3798" w:rsidRDefault="004452F4" w:rsidP="005A3798">
      <w:pPr>
        <w:spacing w:after="240" w:line="240" w:lineRule="auto"/>
        <w:ind w:left="720"/>
        <w:rPr>
          <w:rFonts w:cs="Arial"/>
          <w:color w:val="000000" w:themeColor="text1"/>
          <w:szCs w:val="24"/>
        </w:rPr>
      </w:pPr>
      <w:r w:rsidRPr="005A3798">
        <w:rPr>
          <w:rFonts w:ascii="Arial" w:hAnsi="Arial" w:cs="Arial"/>
          <w:color w:val="000000" w:themeColor="text1"/>
          <w:sz w:val="24"/>
          <w:szCs w:val="24"/>
        </w:rPr>
        <w:t xml:space="preserve">For a </w:t>
      </w:r>
      <w:r w:rsidR="0094066A">
        <w:rPr>
          <w:rFonts w:ascii="Arial" w:hAnsi="Arial" w:cs="Arial"/>
          <w:color w:val="000000" w:themeColor="text1"/>
          <w:sz w:val="24"/>
          <w:szCs w:val="24"/>
        </w:rPr>
        <w:t>QIP</w:t>
      </w:r>
      <w:r w:rsidRPr="005A3798">
        <w:rPr>
          <w:rFonts w:ascii="Arial" w:hAnsi="Arial" w:cs="Arial"/>
          <w:color w:val="000000" w:themeColor="text1"/>
          <w:sz w:val="24"/>
          <w:szCs w:val="24"/>
        </w:rPr>
        <w:t xml:space="preserve">, the minimum program grant award is $1 million in urban areas and $500,000 in </w:t>
      </w:r>
      <w:r w:rsidR="005E11B1" w:rsidRPr="005A3798">
        <w:rPr>
          <w:rFonts w:ascii="Arial" w:hAnsi="Arial" w:cs="Arial"/>
          <w:color w:val="000000" w:themeColor="text1"/>
          <w:sz w:val="24"/>
          <w:szCs w:val="24"/>
        </w:rPr>
        <w:t>R</w:t>
      </w:r>
      <w:r w:rsidRPr="005A3798">
        <w:rPr>
          <w:rFonts w:ascii="Arial" w:hAnsi="Arial" w:cs="Arial"/>
          <w:color w:val="000000" w:themeColor="text1"/>
          <w:sz w:val="24"/>
          <w:szCs w:val="24"/>
        </w:rPr>
        <w:t xml:space="preserve">ural </w:t>
      </w:r>
      <w:r w:rsidR="005E11B1" w:rsidRPr="005A3798">
        <w:rPr>
          <w:rFonts w:ascii="Arial" w:hAnsi="Arial" w:cs="Arial"/>
          <w:color w:val="000000" w:themeColor="text1"/>
          <w:sz w:val="24"/>
          <w:szCs w:val="24"/>
        </w:rPr>
        <w:t>A</w:t>
      </w:r>
      <w:r w:rsidRPr="005A3798">
        <w:rPr>
          <w:rFonts w:ascii="Arial" w:hAnsi="Arial" w:cs="Arial"/>
          <w:color w:val="000000" w:themeColor="text1"/>
          <w:sz w:val="24"/>
          <w:szCs w:val="24"/>
        </w:rPr>
        <w:t xml:space="preserve">reas. The total program grant award to any </w:t>
      </w:r>
      <w:r w:rsidR="0094066A">
        <w:rPr>
          <w:rFonts w:ascii="Arial" w:hAnsi="Arial" w:cs="Arial"/>
          <w:color w:val="000000" w:themeColor="text1"/>
          <w:sz w:val="24"/>
          <w:szCs w:val="24"/>
        </w:rPr>
        <w:t>QIP</w:t>
      </w:r>
      <w:r w:rsidRPr="005A3798">
        <w:rPr>
          <w:rFonts w:ascii="Arial" w:hAnsi="Arial" w:cs="Arial"/>
          <w:color w:val="000000" w:themeColor="text1"/>
          <w:sz w:val="24"/>
          <w:szCs w:val="24"/>
        </w:rPr>
        <w:t xml:space="preserve"> is limited to $7.5 million under this NOFA.</w:t>
      </w:r>
    </w:p>
    <w:p w14:paraId="31E59A96" w14:textId="2FEE2C7B" w:rsidR="004452F4" w:rsidRPr="005A3798" w:rsidRDefault="004452F4" w:rsidP="005A3798">
      <w:pPr>
        <w:spacing w:after="240" w:line="240" w:lineRule="auto"/>
        <w:ind w:left="720"/>
        <w:rPr>
          <w:rFonts w:cs="Arial"/>
          <w:color w:val="000000" w:themeColor="text1"/>
          <w:szCs w:val="24"/>
        </w:rPr>
      </w:pPr>
      <w:r w:rsidRPr="005A3798">
        <w:rPr>
          <w:rFonts w:ascii="Arial" w:hAnsi="Arial" w:cs="Arial"/>
          <w:color w:val="000000" w:themeColor="text1"/>
          <w:sz w:val="24"/>
          <w:szCs w:val="24"/>
        </w:rPr>
        <w:t xml:space="preserve">For </w:t>
      </w:r>
      <w:r w:rsidR="00EE0D9A">
        <w:rPr>
          <w:rFonts w:ascii="Arial" w:hAnsi="Arial" w:cs="Arial"/>
          <w:color w:val="000000" w:themeColor="text1"/>
          <w:sz w:val="24"/>
          <w:szCs w:val="24"/>
        </w:rPr>
        <w:t>QIA</w:t>
      </w:r>
      <w:r w:rsidRPr="005A3798">
        <w:rPr>
          <w:rFonts w:ascii="Arial" w:hAnsi="Arial" w:cs="Arial"/>
          <w:color w:val="000000" w:themeColor="text1"/>
          <w:sz w:val="24"/>
          <w:szCs w:val="24"/>
        </w:rPr>
        <w:t>s, the minimum program grant award is $2 million in urban areas and $1</w:t>
      </w:r>
      <w:r w:rsidR="00355462">
        <w:rPr>
          <w:rFonts w:ascii="Arial" w:hAnsi="Arial" w:cs="Arial"/>
          <w:color w:val="000000" w:themeColor="text1"/>
          <w:sz w:val="24"/>
          <w:szCs w:val="24"/>
        </w:rPr>
        <w:t> </w:t>
      </w:r>
      <w:r w:rsidRPr="005A3798">
        <w:rPr>
          <w:rFonts w:ascii="Arial" w:hAnsi="Arial" w:cs="Arial"/>
          <w:color w:val="000000" w:themeColor="text1"/>
          <w:sz w:val="24"/>
          <w:szCs w:val="24"/>
        </w:rPr>
        <w:t xml:space="preserve">million in </w:t>
      </w:r>
      <w:r w:rsidR="005E11B1" w:rsidRPr="005A3798">
        <w:rPr>
          <w:rFonts w:ascii="Arial" w:hAnsi="Arial" w:cs="Arial"/>
          <w:color w:val="000000" w:themeColor="text1"/>
          <w:sz w:val="24"/>
          <w:szCs w:val="24"/>
        </w:rPr>
        <w:t>R</w:t>
      </w:r>
      <w:r w:rsidRPr="005A3798">
        <w:rPr>
          <w:rFonts w:ascii="Arial" w:hAnsi="Arial" w:cs="Arial"/>
          <w:color w:val="000000" w:themeColor="text1"/>
          <w:sz w:val="24"/>
          <w:szCs w:val="24"/>
        </w:rPr>
        <w:t xml:space="preserve">ural </w:t>
      </w:r>
      <w:r w:rsidR="005E11B1" w:rsidRPr="005A3798">
        <w:rPr>
          <w:rFonts w:ascii="Arial" w:hAnsi="Arial" w:cs="Arial"/>
          <w:color w:val="000000" w:themeColor="text1"/>
          <w:sz w:val="24"/>
          <w:szCs w:val="24"/>
        </w:rPr>
        <w:t>A</w:t>
      </w:r>
      <w:r w:rsidRPr="005A3798">
        <w:rPr>
          <w:rFonts w:ascii="Arial" w:hAnsi="Arial" w:cs="Arial"/>
          <w:color w:val="000000" w:themeColor="text1"/>
          <w:sz w:val="24"/>
          <w:szCs w:val="24"/>
        </w:rPr>
        <w:t xml:space="preserve">reas. The total program grant award to any eligible </w:t>
      </w:r>
      <w:r w:rsidR="00EE0D9A">
        <w:rPr>
          <w:rFonts w:ascii="Arial" w:hAnsi="Arial" w:cs="Arial"/>
          <w:color w:val="000000" w:themeColor="text1"/>
          <w:sz w:val="24"/>
          <w:szCs w:val="24"/>
        </w:rPr>
        <w:t>QIA</w:t>
      </w:r>
      <w:r w:rsidRPr="005A3798">
        <w:rPr>
          <w:rFonts w:ascii="Arial" w:hAnsi="Arial" w:cs="Arial"/>
          <w:color w:val="000000" w:themeColor="text1"/>
          <w:sz w:val="24"/>
          <w:szCs w:val="24"/>
        </w:rPr>
        <w:t xml:space="preserve"> is limited to $30</w:t>
      </w:r>
      <w:r w:rsidR="00355462">
        <w:rPr>
          <w:rFonts w:ascii="Arial" w:hAnsi="Arial" w:cs="Arial"/>
          <w:color w:val="000000" w:themeColor="text1"/>
          <w:sz w:val="24"/>
          <w:szCs w:val="24"/>
        </w:rPr>
        <w:t> </w:t>
      </w:r>
      <w:r w:rsidRPr="005A3798">
        <w:rPr>
          <w:rFonts w:ascii="Arial" w:hAnsi="Arial" w:cs="Arial"/>
          <w:color w:val="000000" w:themeColor="text1"/>
          <w:sz w:val="24"/>
          <w:szCs w:val="24"/>
        </w:rPr>
        <w:t xml:space="preserve">million under this NOFA. </w:t>
      </w:r>
    </w:p>
    <w:p w14:paraId="4BE3369A" w14:textId="1E4A15FB" w:rsidR="004452F4" w:rsidRPr="00FF6D38" w:rsidRDefault="004452F4" w:rsidP="00FF6D38">
      <w:pPr>
        <w:spacing w:after="240" w:line="240" w:lineRule="auto"/>
        <w:ind w:left="720"/>
        <w:rPr>
          <w:rFonts w:ascii="Arial" w:hAnsi="Arial" w:cs="Arial"/>
          <w:color w:val="000000" w:themeColor="text1"/>
          <w:sz w:val="24"/>
          <w:szCs w:val="24"/>
        </w:rPr>
      </w:pPr>
      <w:r w:rsidRPr="00FF6D38">
        <w:rPr>
          <w:rFonts w:ascii="Arial" w:hAnsi="Arial" w:cs="Arial"/>
          <w:color w:val="000000" w:themeColor="text1"/>
          <w:sz w:val="24"/>
          <w:szCs w:val="24"/>
        </w:rPr>
        <w:t xml:space="preserve">Over the life of the </w:t>
      </w:r>
      <w:r w:rsidR="005E11B1">
        <w:rPr>
          <w:rFonts w:ascii="Arial" w:hAnsi="Arial" w:cs="Arial"/>
          <w:color w:val="000000" w:themeColor="text1"/>
          <w:sz w:val="24"/>
          <w:szCs w:val="24"/>
        </w:rPr>
        <w:t>P</w:t>
      </w:r>
      <w:r w:rsidRPr="00FF6D38">
        <w:rPr>
          <w:rFonts w:ascii="Arial" w:hAnsi="Arial" w:cs="Arial"/>
          <w:color w:val="000000" w:themeColor="text1"/>
          <w:sz w:val="24"/>
          <w:szCs w:val="24"/>
        </w:rPr>
        <w:t>rogram</w:t>
      </w:r>
      <w:r w:rsidR="005E11B1">
        <w:rPr>
          <w:rFonts w:ascii="Arial" w:hAnsi="Arial" w:cs="Arial"/>
          <w:color w:val="000000" w:themeColor="text1"/>
          <w:sz w:val="24"/>
          <w:szCs w:val="24"/>
        </w:rPr>
        <w:t>, t</w:t>
      </w:r>
      <w:r w:rsidRPr="00FF6D38">
        <w:rPr>
          <w:rFonts w:ascii="Arial" w:hAnsi="Arial" w:cs="Arial"/>
          <w:color w:val="000000" w:themeColor="text1"/>
          <w:sz w:val="24"/>
          <w:szCs w:val="24"/>
        </w:rPr>
        <w:t xml:space="preserve">o include </w:t>
      </w:r>
      <w:r w:rsidR="00A44744" w:rsidRPr="00FF6D38">
        <w:rPr>
          <w:rFonts w:ascii="Arial" w:hAnsi="Arial" w:cs="Arial"/>
          <w:color w:val="000000" w:themeColor="text1"/>
          <w:sz w:val="24"/>
          <w:szCs w:val="24"/>
        </w:rPr>
        <w:t>IIG</w:t>
      </w:r>
      <w:r w:rsidRPr="00FF6D38">
        <w:rPr>
          <w:rFonts w:ascii="Arial" w:hAnsi="Arial" w:cs="Arial"/>
          <w:color w:val="000000" w:themeColor="text1"/>
          <w:sz w:val="24"/>
          <w:szCs w:val="24"/>
        </w:rPr>
        <w:t xml:space="preserve"> of 2007</w:t>
      </w:r>
      <w:r w:rsidR="00B71796">
        <w:rPr>
          <w:rFonts w:ascii="Arial" w:hAnsi="Arial" w:cs="Arial"/>
          <w:color w:val="000000" w:themeColor="text1"/>
          <w:sz w:val="24"/>
          <w:szCs w:val="24"/>
        </w:rPr>
        <w:t xml:space="preserve"> program</w:t>
      </w:r>
      <w:r w:rsidRPr="00FF6D38">
        <w:rPr>
          <w:rFonts w:ascii="Arial" w:hAnsi="Arial" w:cs="Arial"/>
          <w:color w:val="000000" w:themeColor="text1"/>
          <w:sz w:val="24"/>
          <w:szCs w:val="24"/>
        </w:rPr>
        <w:t xml:space="preserve">, </w:t>
      </w:r>
      <w:r w:rsidR="00A44744" w:rsidRPr="00FF6D38">
        <w:rPr>
          <w:rFonts w:ascii="Arial" w:hAnsi="Arial" w:cs="Arial"/>
          <w:color w:val="000000" w:themeColor="text1"/>
          <w:sz w:val="24"/>
          <w:szCs w:val="24"/>
        </w:rPr>
        <w:t>IIG</w:t>
      </w:r>
      <w:r w:rsidR="00B71796">
        <w:rPr>
          <w:rFonts w:ascii="Arial" w:hAnsi="Arial" w:cs="Arial"/>
          <w:color w:val="000000" w:themeColor="text1"/>
          <w:sz w:val="24"/>
          <w:szCs w:val="24"/>
        </w:rPr>
        <w:t xml:space="preserve"> </w:t>
      </w:r>
      <w:r w:rsidRPr="00FF6D38">
        <w:rPr>
          <w:rFonts w:ascii="Arial" w:hAnsi="Arial" w:cs="Arial"/>
          <w:color w:val="000000" w:themeColor="text1"/>
          <w:sz w:val="24"/>
          <w:szCs w:val="24"/>
        </w:rPr>
        <w:t>of 2019</w:t>
      </w:r>
      <w:r w:rsidR="00B71796">
        <w:rPr>
          <w:rFonts w:ascii="Arial" w:hAnsi="Arial" w:cs="Arial"/>
          <w:color w:val="000000" w:themeColor="text1"/>
          <w:sz w:val="24"/>
          <w:szCs w:val="24"/>
        </w:rPr>
        <w:t xml:space="preserve"> program</w:t>
      </w:r>
      <w:r w:rsidRPr="00FF6D38">
        <w:rPr>
          <w:rFonts w:ascii="Arial" w:hAnsi="Arial" w:cs="Arial"/>
          <w:color w:val="000000" w:themeColor="text1"/>
          <w:sz w:val="24"/>
          <w:szCs w:val="24"/>
        </w:rPr>
        <w:t xml:space="preserve">, and any future iterations of the </w:t>
      </w:r>
      <w:r w:rsidR="003C6EE7">
        <w:rPr>
          <w:rFonts w:ascii="Arial" w:hAnsi="Arial" w:cs="Arial"/>
          <w:color w:val="000000" w:themeColor="text1"/>
          <w:sz w:val="24"/>
          <w:szCs w:val="24"/>
        </w:rPr>
        <w:t>p</w:t>
      </w:r>
      <w:r w:rsidRPr="00FF6D38">
        <w:rPr>
          <w:rFonts w:ascii="Arial" w:hAnsi="Arial" w:cs="Arial"/>
          <w:color w:val="000000" w:themeColor="text1"/>
          <w:sz w:val="24"/>
          <w:szCs w:val="24"/>
        </w:rPr>
        <w:t>rogram</w:t>
      </w:r>
      <w:r w:rsidR="005E11B1">
        <w:rPr>
          <w:rFonts w:ascii="Arial" w:hAnsi="Arial" w:cs="Arial"/>
          <w:color w:val="000000" w:themeColor="text1"/>
          <w:sz w:val="24"/>
          <w:szCs w:val="24"/>
        </w:rPr>
        <w:t xml:space="preserve">, </w:t>
      </w:r>
      <w:r w:rsidRPr="00FF6D38">
        <w:rPr>
          <w:rFonts w:ascii="Arial" w:hAnsi="Arial" w:cs="Arial"/>
          <w:color w:val="000000" w:themeColor="text1"/>
          <w:sz w:val="24"/>
          <w:szCs w:val="24"/>
        </w:rPr>
        <w:t xml:space="preserve">the total of all program </w:t>
      </w:r>
      <w:r w:rsidR="00196517">
        <w:rPr>
          <w:rFonts w:ascii="Arial" w:hAnsi="Arial" w:cs="Arial"/>
          <w:color w:val="000000" w:themeColor="text1"/>
          <w:sz w:val="24"/>
          <w:szCs w:val="24"/>
        </w:rPr>
        <w:t>funds awarded to</w:t>
      </w:r>
      <w:r w:rsidRPr="00FF6D38">
        <w:rPr>
          <w:rFonts w:ascii="Arial" w:hAnsi="Arial" w:cs="Arial"/>
          <w:color w:val="000000" w:themeColor="text1"/>
          <w:sz w:val="24"/>
          <w:szCs w:val="24"/>
        </w:rPr>
        <w:t xml:space="preserve"> any single </w:t>
      </w:r>
      <w:r w:rsidR="0094066A">
        <w:rPr>
          <w:rFonts w:ascii="Arial" w:hAnsi="Arial" w:cs="Arial"/>
          <w:color w:val="000000" w:themeColor="text1"/>
          <w:sz w:val="24"/>
          <w:szCs w:val="24"/>
        </w:rPr>
        <w:t>QIP</w:t>
      </w:r>
      <w:r w:rsidRPr="00FF6D38">
        <w:rPr>
          <w:rFonts w:ascii="Arial" w:hAnsi="Arial" w:cs="Arial"/>
          <w:color w:val="000000" w:themeColor="text1"/>
          <w:sz w:val="24"/>
          <w:szCs w:val="24"/>
        </w:rPr>
        <w:t xml:space="preserve"> or </w:t>
      </w:r>
      <w:r w:rsidR="00EE0D9A">
        <w:rPr>
          <w:rFonts w:ascii="Arial" w:hAnsi="Arial" w:cs="Arial"/>
          <w:color w:val="000000" w:themeColor="text1"/>
          <w:sz w:val="24"/>
          <w:szCs w:val="24"/>
        </w:rPr>
        <w:t>QIA</w:t>
      </w:r>
      <w:r w:rsidRPr="00FF6D38">
        <w:rPr>
          <w:rFonts w:ascii="Arial" w:hAnsi="Arial" w:cs="Arial"/>
          <w:color w:val="000000" w:themeColor="text1"/>
          <w:sz w:val="24"/>
          <w:szCs w:val="24"/>
        </w:rPr>
        <w:t xml:space="preserve"> shall not exceed $60 million. </w:t>
      </w:r>
    </w:p>
    <w:p w14:paraId="319D6F45" w14:textId="7FBACAF6" w:rsidR="00355462" w:rsidRPr="00E148E2" w:rsidRDefault="004452F4" w:rsidP="00E148E2">
      <w:pPr>
        <w:spacing w:after="240" w:line="240" w:lineRule="auto"/>
        <w:ind w:left="720"/>
        <w:rPr>
          <w:rFonts w:ascii="Arial" w:hAnsi="Arial" w:cs="Arial"/>
          <w:color w:val="000000" w:themeColor="text1"/>
          <w:sz w:val="24"/>
          <w:szCs w:val="24"/>
        </w:rPr>
      </w:pPr>
      <w:r w:rsidRPr="004452F4">
        <w:rPr>
          <w:rFonts w:ascii="Arial" w:hAnsi="Arial" w:cs="Arial"/>
          <w:color w:val="000000" w:themeColor="text1"/>
          <w:sz w:val="24"/>
          <w:szCs w:val="24"/>
        </w:rPr>
        <w:t xml:space="preserve">Pursuant </w:t>
      </w:r>
      <w:r w:rsidRPr="0044795E">
        <w:rPr>
          <w:rFonts w:ascii="Arial" w:hAnsi="Arial" w:cs="Arial"/>
          <w:color w:val="000000" w:themeColor="text1"/>
          <w:sz w:val="24"/>
          <w:szCs w:val="24"/>
        </w:rPr>
        <w:t xml:space="preserve">to </w:t>
      </w:r>
      <w:r w:rsidRPr="00274456">
        <w:rPr>
          <w:rFonts w:ascii="Arial" w:hAnsi="Arial" w:cs="Arial"/>
          <w:color w:val="000000" w:themeColor="text1"/>
          <w:sz w:val="24"/>
          <w:szCs w:val="24"/>
        </w:rPr>
        <w:t>Section 305</w:t>
      </w:r>
      <w:r w:rsidRPr="004452F4">
        <w:rPr>
          <w:rFonts w:ascii="Arial" w:hAnsi="Arial" w:cs="Arial"/>
          <w:color w:val="000000" w:themeColor="text1"/>
          <w:sz w:val="24"/>
          <w:szCs w:val="24"/>
        </w:rPr>
        <w:t xml:space="preserve"> of the Guidelines, the total grant amount shall be determined by the number of units in the </w:t>
      </w:r>
      <w:r w:rsidR="0094066A">
        <w:rPr>
          <w:rFonts w:ascii="Arial" w:hAnsi="Arial" w:cs="Arial"/>
          <w:color w:val="000000" w:themeColor="text1"/>
          <w:sz w:val="24"/>
          <w:szCs w:val="24"/>
        </w:rPr>
        <w:t>QIP</w:t>
      </w:r>
      <w:r w:rsidRPr="004452F4">
        <w:rPr>
          <w:rFonts w:ascii="Arial" w:hAnsi="Arial" w:cs="Arial"/>
          <w:color w:val="000000" w:themeColor="text1"/>
          <w:sz w:val="24"/>
          <w:szCs w:val="24"/>
        </w:rPr>
        <w:t xml:space="preserve"> or </w:t>
      </w:r>
      <w:r w:rsidR="00EE0D9A">
        <w:rPr>
          <w:rFonts w:ascii="Arial" w:hAnsi="Arial" w:cs="Arial"/>
          <w:color w:val="000000" w:themeColor="text1"/>
          <w:sz w:val="24"/>
          <w:szCs w:val="24"/>
        </w:rPr>
        <w:t>QIA</w:t>
      </w:r>
      <w:r w:rsidRPr="004452F4">
        <w:rPr>
          <w:rFonts w:ascii="Arial" w:hAnsi="Arial" w:cs="Arial"/>
          <w:color w:val="000000" w:themeColor="text1"/>
          <w:sz w:val="24"/>
          <w:szCs w:val="24"/>
        </w:rPr>
        <w:t xml:space="preserve">, the bedroom count of these units, and the density and affordability of the housing to be developed. (See the Grant Amount Calculation </w:t>
      </w:r>
      <w:r w:rsidR="00FF6D38">
        <w:rPr>
          <w:rFonts w:ascii="Arial" w:hAnsi="Arial" w:cs="Arial"/>
          <w:color w:val="000000" w:themeColor="text1"/>
          <w:sz w:val="24"/>
          <w:szCs w:val="24"/>
        </w:rPr>
        <w:t>t</w:t>
      </w:r>
      <w:r w:rsidRPr="004452F4">
        <w:rPr>
          <w:rFonts w:ascii="Arial" w:hAnsi="Arial" w:cs="Arial"/>
          <w:color w:val="000000" w:themeColor="text1"/>
          <w:sz w:val="24"/>
          <w:szCs w:val="24"/>
        </w:rPr>
        <w:t>able below.) Additional requirements are set forth in Section 305 of the Guidelines.</w:t>
      </w:r>
      <w:bookmarkStart w:id="38" w:name="_Hlk20986826"/>
    </w:p>
    <w:tbl>
      <w:tblPr>
        <w:tblW w:w="9158" w:type="dxa"/>
        <w:tblInd w:w="464" w:type="dxa"/>
        <w:tblLayout w:type="fixed"/>
        <w:tblCellMar>
          <w:left w:w="30" w:type="dxa"/>
          <w:right w:w="30" w:type="dxa"/>
        </w:tblCellMar>
        <w:tblLook w:val="0020" w:firstRow="1" w:lastRow="0" w:firstColumn="0" w:lastColumn="0" w:noHBand="0" w:noVBand="0"/>
        <w:tblCaption w:val="Grant Amount Calculation"/>
        <w:tblDescription w:val="Table 1. Grant calculation data based on AMI and Bedroom size."/>
      </w:tblPr>
      <w:tblGrid>
        <w:gridCol w:w="3128"/>
        <w:gridCol w:w="1260"/>
        <w:gridCol w:w="1170"/>
        <w:gridCol w:w="1260"/>
        <w:gridCol w:w="1260"/>
        <w:gridCol w:w="1080"/>
      </w:tblGrid>
      <w:tr w:rsidR="00FF6D38" w:rsidRPr="00A440FA" w14:paraId="40C30AE5" w14:textId="77777777" w:rsidTr="007831F9">
        <w:trPr>
          <w:cantSplit/>
          <w:trHeight w:val="480"/>
          <w:tblHeader/>
        </w:trPr>
        <w:tc>
          <w:tcPr>
            <w:tcW w:w="9158"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3E428B" w14:textId="77777777" w:rsidR="00FF6D38" w:rsidRDefault="00FF6D38" w:rsidP="00FF6D38">
            <w:pPr>
              <w:spacing w:after="0" w:line="240" w:lineRule="auto"/>
              <w:ind w:firstLine="720"/>
              <w:jc w:val="center"/>
              <w:rPr>
                <w:rFonts w:ascii="Arial" w:hAnsi="Arial" w:cs="Arial"/>
                <w:b/>
                <w:bCs/>
                <w:color w:val="000000" w:themeColor="text1"/>
                <w:w w:val="105"/>
                <w:sz w:val="24"/>
                <w:szCs w:val="24"/>
              </w:rPr>
            </w:pPr>
            <w:r w:rsidRPr="000A670E">
              <w:rPr>
                <w:rFonts w:ascii="Arial" w:hAnsi="Arial" w:cs="Arial"/>
                <w:b/>
                <w:bCs/>
                <w:color w:val="000000" w:themeColor="text1"/>
                <w:w w:val="105"/>
                <w:sz w:val="24"/>
                <w:szCs w:val="24"/>
              </w:rPr>
              <w:t xml:space="preserve">Grant Amount Calculation </w:t>
            </w:r>
          </w:p>
          <w:p w14:paraId="623906B4" w14:textId="625A3628" w:rsidR="00FF6D38" w:rsidRPr="00FF6D38" w:rsidRDefault="00FF6D38" w:rsidP="00FF6D38">
            <w:pPr>
              <w:spacing w:after="0" w:line="240" w:lineRule="auto"/>
              <w:ind w:firstLine="720"/>
              <w:jc w:val="center"/>
              <w:rPr>
                <w:color w:val="000000" w:themeColor="text1"/>
              </w:rPr>
            </w:pPr>
            <w:r w:rsidRPr="00FF6D38">
              <w:rPr>
                <w:rFonts w:ascii="Arial" w:hAnsi="Arial" w:cs="Arial"/>
                <w:color w:val="000000" w:themeColor="text1"/>
                <w:w w:val="105"/>
                <w:sz w:val="24"/>
                <w:szCs w:val="24"/>
              </w:rPr>
              <w:t>(amounts are represented on a per unit basis)</w:t>
            </w:r>
          </w:p>
        </w:tc>
      </w:tr>
      <w:tr w:rsidR="004452F4" w:rsidRPr="00A440FA" w14:paraId="03D0E7D1" w14:textId="77777777" w:rsidTr="007831F9">
        <w:trPr>
          <w:cantSplit/>
          <w:trHeight w:val="480"/>
          <w:tblHeader/>
        </w:trPr>
        <w:tc>
          <w:tcPr>
            <w:tcW w:w="3128" w:type="dxa"/>
            <w:tcBorders>
              <w:top w:val="single" w:sz="6" w:space="0" w:color="auto"/>
              <w:left w:val="single" w:sz="6" w:space="0" w:color="auto"/>
              <w:bottom w:val="single" w:sz="6" w:space="0" w:color="auto"/>
              <w:right w:val="single" w:sz="6" w:space="0" w:color="auto"/>
            </w:tcBorders>
            <w:vAlign w:val="bottom"/>
          </w:tcPr>
          <w:p w14:paraId="52C9A9BB" w14:textId="77777777" w:rsidR="004452F4" w:rsidRPr="00A440FA" w:rsidRDefault="004452F4" w:rsidP="001C6E69">
            <w:pPr>
              <w:pStyle w:val="Default"/>
              <w:spacing w:after="240"/>
              <w:ind w:left="129"/>
              <w:rPr>
                <w:b/>
                <w:bCs/>
                <w:color w:val="000000" w:themeColor="text1"/>
              </w:rPr>
            </w:pPr>
            <w:bookmarkStart w:id="39" w:name="_Hlk53667628"/>
            <w:r w:rsidRPr="00A440FA">
              <w:rPr>
                <w:b/>
                <w:bCs/>
                <w:color w:val="000000" w:themeColor="text1"/>
              </w:rPr>
              <w:t>Income Level &amp; Tenure</w:t>
            </w:r>
          </w:p>
        </w:tc>
        <w:tc>
          <w:tcPr>
            <w:tcW w:w="1260" w:type="dxa"/>
            <w:tcBorders>
              <w:top w:val="single" w:sz="6" w:space="0" w:color="auto"/>
              <w:left w:val="single" w:sz="6" w:space="0" w:color="auto"/>
              <w:bottom w:val="single" w:sz="6" w:space="0" w:color="auto"/>
              <w:right w:val="single" w:sz="6" w:space="0" w:color="auto"/>
            </w:tcBorders>
            <w:vAlign w:val="bottom"/>
          </w:tcPr>
          <w:p w14:paraId="1D8152C9" w14:textId="77777777" w:rsidR="004452F4" w:rsidRPr="00A440FA" w:rsidRDefault="004452F4" w:rsidP="001C6E69">
            <w:pPr>
              <w:pStyle w:val="Default"/>
              <w:spacing w:after="240"/>
              <w:ind w:left="118"/>
              <w:rPr>
                <w:b/>
                <w:bCs/>
                <w:color w:val="000000" w:themeColor="text1"/>
              </w:rPr>
            </w:pPr>
            <w:r w:rsidRPr="00A440FA">
              <w:rPr>
                <w:b/>
                <w:bCs/>
                <w:color w:val="000000" w:themeColor="text1"/>
              </w:rPr>
              <w:t>0-Bdrm</w:t>
            </w:r>
          </w:p>
        </w:tc>
        <w:tc>
          <w:tcPr>
            <w:tcW w:w="1170" w:type="dxa"/>
            <w:tcBorders>
              <w:top w:val="single" w:sz="6" w:space="0" w:color="auto"/>
              <w:left w:val="single" w:sz="6" w:space="0" w:color="auto"/>
              <w:bottom w:val="single" w:sz="6" w:space="0" w:color="auto"/>
              <w:right w:val="single" w:sz="6" w:space="0" w:color="auto"/>
            </w:tcBorders>
            <w:vAlign w:val="bottom"/>
          </w:tcPr>
          <w:p w14:paraId="0551B96C" w14:textId="77777777" w:rsidR="004452F4" w:rsidRPr="00A440FA" w:rsidRDefault="004452F4" w:rsidP="001C6E69">
            <w:pPr>
              <w:pStyle w:val="Default"/>
              <w:spacing w:after="240"/>
              <w:rPr>
                <w:b/>
                <w:bCs/>
                <w:color w:val="000000" w:themeColor="text1"/>
              </w:rPr>
            </w:pPr>
            <w:r w:rsidRPr="00A440FA">
              <w:rPr>
                <w:b/>
                <w:bCs/>
                <w:color w:val="000000" w:themeColor="text1"/>
              </w:rPr>
              <w:t>1-Bdrm</w:t>
            </w:r>
          </w:p>
        </w:tc>
        <w:tc>
          <w:tcPr>
            <w:tcW w:w="1260" w:type="dxa"/>
            <w:tcBorders>
              <w:top w:val="single" w:sz="6" w:space="0" w:color="auto"/>
              <w:left w:val="single" w:sz="6" w:space="0" w:color="auto"/>
              <w:bottom w:val="single" w:sz="6" w:space="0" w:color="auto"/>
              <w:right w:val="single" w:sz="6" w:space="0" w:color="auto"/>
            </w:tcBorders>
            <w:vAlign w:val="bottom"/>
          </w:tcPr>
          <w:p w14:paraId="2B4313E4" w14:textId="77777777" w:rsidR="004452F4" w:rsidRPr="00A440FA" w:rsidRDefault="004452F4" w:rsidP="001C6E69">
            <w:pPr>
              <w:pStyle w:val="Default"/>
              <w:spacing w:after="240"/>
              <w:ind w:left="73"/>
              <w:rPr>
                <w:b/>
                <w:bCs/>
                <w:color w:val="000000" w:themeColor="text1"/>
              </w:rPr>
            </w:pPr>
            <w:r w:rsidRPr="00A440FA">
              <w:rPr>
                <w:b/>
                <w:bCs/>
                <w:color w:val="000000" w:themeColor="text1"/>
              </w:rPr>
              <w:t>2-Bdrm</w:t>
            </w:r>
          </w:p>
        </w:tc>
        <w:tc>
          <w:tcPr>
            <w:tcW w:w="1260" w:type="dxa"/>
            <w:tcBorders>
              <w:top w:val="single" w:sz="6" w:space="0" w:color="auto"/>
              <w:left w:val="single" w:sz="6" w:space="0" w:color="auto"/>
              <w:bottom w:val="single" w:sz="6" w:space="0" w:color="auto"/>
              <w:right w:val="single" w:sz="6" w:space="0" w:color="auto"/>
            </w:tcBorders>
            <w:vAlign w:val="bottom"/>
          </w:tcPr>
          <w:p w14:paraId="475ED962" w14:textId="77777777" w:rsidR="004452F4" w:rsidRPr="00A440FA" w:rsidRDefault="004452F4" w:rsidP="001C6E69">
            <w:pPr>
              <w:pStyle w:val="Default"/>
              <w:spacing w:after="240"/>
              <w:ind w:left="6"/>
              <w:rPr>
                <w:b/>
                <w:bCs/>
                <w:color w:val="000000" w:themeColor="text1"/>
              </w:rPr>
            </w:pPr>
            <w:r w:rsidRPr="00A440FA">
              <w:rPr>
                <w:b/>
                <w:bCs/>
                <w:color w:val="000000" w:themeColor="text1"/>
              </w:rPr>
              <w:t>3-Bdrm</w:t>
            </w:r>
          </w:p>
        </w:tc>
        <w:tc>
          <w:tcPr>
            <w:tcW w:w="1080" w:type="dxa"/>
            <w:tcBorders>
              <w:top w:val="single" w:sz="6" w:space="0" w:color="auto"/>
              <w:left w:val="single" w:sz="6" w:space="0" w:color="auto"/>
              <w:bottom w:val="single" w:sz="6" w:space="0" w:color="auto"/>
              <w:right w:val="single" w:sz="6" w:space="0" w:color="auto"/>
            </w:tcBorders>
            <w:vAlign w:val="bottom"/>
          </w:tcPr>
          <w:p w14:paraId="1CC6705A" w14:textId="77777777" w:rsidR="004452F4" w:rsidRPr="00A440FA" w:rsidRDefault="004452F4" w:rsidP="001C6E69">
            <w:pPr>
              <w:pStyle w:val="Default"/>
              <w:spacing w:after="240"/>
              <w:ind w:left="28"/>
              <w:rPr>
                <w:b/>
                <w:bCs/>
                <w:color w:val="000000" w:themeColor="text1"/>
              </w:rPr>
            </w:pPr>
            <w:r w:rsidRPr="00A440FA">
              <w:rPr>
                <w:b/>
                <w:bCs/>
                <w:color w:val="000000" w:themeColor="text1"/>
              </w:rPr>
              <w:t>4-Bdrm</w:t>
            </w:r>
          </w:p>
        </w:tc>
      </w:tr>
      <w:tr w:rsidR="004452F4" w:rsidRPr="00A440FA" w14:paraId="1D79B887" w14:textId="77777777" w:rsidTr="007831F9">
        <w:trPr>
          <w:trHeight w:val="570"/>
        </w:trPr>
        <w:tc>
          <w:tcPr>
            <w:tcW w:w="3128" w:type="dxa"/>
            <w:tcBorders>
              <w:top w:val="single" w:sz="6" w:space="0" w:color="auto"/>
              <w:left w:val="single" w:sz="6" w:space="0" w:color="auto"/>
              <w:bottom w:val="single" w:sz="6" w:space="0" w:color="auto"/>
              <w:right w:val="single" w:sz="6" w:space="0" w:color="auto"/>
            </w:tcBorders>
          </w:tcPr>
          <w:p w14:paraId="0059FC78" w14:textId="098E49BB" w:rsidR="004452F4" w:rsidRPr="00A440FA" w:rsidRDefault="00B636D3" w:rsidP="00FF6D38">
            <w:pPr>
              <w:pStyle w:val="Default"/>
              <w:ind w:left="129"/>
              <w:rPr>
                <w:color w:val="000000" w:themeColor="text1"/>
              </w:rPr>
            </w:pPr>
            <w:r>
              <w:rPr>
                <w:color w:val="000000" w:themeColor="text1"/>
              </w:rPr>
              <w:t>20</w:t>
            </w:r>
            <w:r w:rsidR="004452F4" w:rsidRPr="00A440FA">
              <w:rPr>
                <w:color w:val="000000" w:themeColor="text1"/>
              </w:rPr>
              <w:t>0%+ FMR</w:t>
            </w:r>
            <w:r w:rsidR="004452F4" w:rsidRPr="00A440FA">
              <w:rPr>
                <w:color w:val="000000" w:themeColor="text1"/>
                <w:vertAlign w:val="superscript"/>
              </w:rPr>
              <w:footnoteReference w:id="2"/>
            </w:r>
            <w:r w:rsidR="004452F4" w:rsidRPr="00A440FA">
              <w:rPr>
                <w:color w:val="000000" w:themeColor="text1"/>
              </w:rPr>
              <w:t xml:space="preserve"> or Exceeds C</w:t>
            </w:r>
            <w:r w:rsidR="009A11F7">
              <w:rPr>
                <w:color w:val="000000" w:themeColor="text1"/>
              </w:rPr>
              <w:t>al</w:t>
            </w:r>
            <w:r w:rsidR="004452F4" w:rsidRPr="00A440FA">
              <w:rPr>
                <w:color w:val="000000" w:themeColor="text1"/>
              </w:rPr>
              <w:t>HFA Sales Prices</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17373C45" w14:textId="77777777" w:rsidR="004452F4" w:rsidRPr="00A440FA" w:rsidRDefault="004452F4" w:rsidP="00FF6D38">
            <w:pPr>
              <w:pStyle w:val="Default"/>
              <w:ind w:left="28"/>
              <w:jc w:val="right"/>
              <w:rPr>
                <w:color w:val="000000" w:themeColor="text1"/>
              </w:rPr>
            </w:pPr>
            <w:r w:rsidRPr="00A440FA">
              <w:rPr>
                <w:color w:val="000000" w:themeColor="text1"/>
              </w:rPr>
              <w:t>$3,700</w:t>
            </w:r>
          </w:p>
        </w:tc>
        <w:tc>
          <w:tcPr>
            <w:tcW w:w="117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3D0FF125" w14:textId="77777777" w:rsidR="004452F4" w:rsidRPr="00A440FA" w:rsidRDefault="004452F4" w:rsidP="00FF6D38">
            <w:pPr>
              <w:pStyle w:val="Default"/>
              <w:ind w:left="51"/>
              <w:jc w:val="right"/>
              <w:rPr>
                <w:color w:val="000000" w:themeColor="text1"/>
              </w:rPr>
            </w:pPr>
            <w:r w:rsidRPr="00A440FA">
              <w:rPr>
                <w:color w:val="000000" w:themeColor="text1"/>
              </w:rPr>
              <w:t>$7,400</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27A2E4A0" w14:textId="77777777" w:rsidR="004452F4" w:rsidRPr="00A440FA" w:rsidRDefault="004452F4" w:rsidP="00FF6D38">
            <w:pPr>
              <w:pStyle w:val="Default"/>
              <w:ind w:left="73"/>
              <w:jc w:val="right"/>
              <w:rPr>
                <w:color w:val="000000" w:themeColor="text1"/>
              </w:rPr>
            </w:pPr>
            <w:r w:rsidRPr="00A440FA">
              <w:rPr>
                <w:color w:val="000000" w:themeColor="text1"/>
              </w:rPr>
              <w:t>$11,100</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2F29A56B" w14:textId="77777777" w:rsidR="004452F4" w:rsidRPr="00A440FA" w:rsidRDefault="004452F4" w:rsidP="00FF6D38">
            <w:pPr>
              <w:pStyle w:val="Default"/>
              <w:ind w:left="96"/>
              <w:jc w:val="right"/>
              <w:rPr>
                <w:color w:val="000000" w:themeColor="text1"/>
              </w:rPr>
            </w:pPr>
            <w:r w:rsidRPr="00A440FA">
              <w:rPr>
                <w:color w:val="000000" w:themeColor="text1"/>
              </w:rPr>
              <w:t>$14,800</w:t>
            </w:r>
          </w:p>
        </w:tc>
        <w:tc>
          <w:tcPr>
            <w:tcW w:w="108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6BBBC4CC" w14:textId="77777777" w:rsidR="004452F4" w:rsidRPr="00A440FA" w:rsidRDefault="004452F4" w:rsidP="00FF6D38">
            <w:pPr>
              <w:pStyle w:val="Default"/>
              <w:ind w:left="28"/>
              <w:jc w:val="right"/>
              <w:rPr>
                <w:color w:val="000000" w:themeColor="text1"/>
              </w:rPr>
            </w:pPr>
            <w:r w:rsidRPr="00A440FA">
              <w:rPr>
                <w:color w:val="000000" w:themeColor="text1"/>
              </w:rPr>
              <w:t>$18,500</w:t>
            </w:r>
          </w:p>
        </w:tc>
      </w:tr>
      <w:tr w:rsidR="004452F4" w:rsidRPr="00A440FA" w14:paraId="58F09845" w14:textId="77777777" w:rsidTr="007831F9">
        <w:trPr>
          <w:trHeight w:val="318"/>
        </w:trPr>
        <w:tc>
          <w:tcPr>
            <w:tcW w:w="3128" w:type="dxa"/>
            <w:tcBorders>
              <w:top w:val="single" w:sz="6" w:space="0" w:color="auto"/>
              <w:left w:val="single" w:sz="6" w:space="0" w:color="auto"/>
              <w:bottom w:val="single" w:sz="6" w:space="0" w:color="auto"/>
              <w:right w:val="single" w:sz="6" w:space="0" w:color="auto"/>
            </w:tcBorders>
          </w:tcPr>
          <w:p w14:paraId="61A8D49A" w14:textId="0AA20374" w:rsidR="004452F4" w:rsidRPr="00A440FA" w:rsidRDefault="004452F4" w:rsidP="00FF6D38">
            <w:pPr>
              <w:pStyle w:val="Default"/>
              <w:ind w:left="129"/>
              <w:rPr>
                <w:color w:val="000000" w:themeColor="text1"/>
              </w:rPr>
            </w:pPr>
            <w:r>
              <w:rPr>
                <w:color w:val="000000" w:themeColor="text1"/>
              </w:rPr>
              <w:t>Program</w:t>
            </w:r>
            <w:r w:rsidRPr="00A440FA">
              <w:rPr>
                <w:color w:val="000000" w:themeColor="text1"/>
              </w:rPr>
              <w:t xml:space="preserve"> Unrestricted</w:t>
            </w:r>
            <w:r w:rsidR="0031724A">
              <w:rPr>
                <w:rStyle w:val="FootnoteReference"/>
                <w:color w:val="000000" w:themeColor="text1"/>
              </w:rPr>
              <w:footnoteReference w:customMarkFollows="1" w:id="3"/>
              <w:t>2</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tcPr>
          <w:p w14:paraId="24F115AD" w14:textId="77777777" w:rsidR="004452F4" w:rsidRPr="00A440FA" w:rsidRDefault="004452F4" w:rsidP="00FF6D38">
            <w:pPr>
              <w:pStyle w:val="Default"/>
              <w:ind w:left="28"/>
              <w:jc w:val="right"/>
              <w:rPr>
                <w:color w:val="00B050"/>
              </w:rPr>
            </w:pPr>
            <w:r w:rsidRPr="00A440FA">
              <w:rPr>
                <w:color w:val="000000" w:themeColor="text1"/>
              </w:rPr>
              <w:t>$24,700</w:t>
            </w:r>
          </w:p>
        </w:tc>
        <w:tc>
          <w:tcPr>
            <w:tcW w:w="1170" w:type="dxa"/>
            <w:tcBorders>
              <w:top w:val="single" w:sz="6" w:space="0" w:color="auto"/>
              <w:left w:val="single" w:sz="6" w:space="0" w:color="auto"/>
              <w:bottom w:val="single" w:sz="6" w:space="0" w:color="auto"/>
              <w:right w:val="single" w:sz="6" w:space="0" w:color="auto"/>
            </w:tcBorders>
            <w:tcMar>
              <w:left w:w="0" w:type="dxa"/>
              <w:right w:w="72" w:type="dxa"/>
            </w:tcMar>
          </w:tcPr>
          <w:p w14:paraId="4FD95FBE" w14:textId="77777777" w:rsidR="004452F4" w:rsidRPr="00A440FA" w:rsidRDefault="004452F4" w:rsidP="00FF6D38">
            <w:pPr>
              <w:pStyle w:val="Default"/>
              <w:ind w:left="51"/>
              <w:jc w:val="right"/>
              <w:rPr>
                <w:color w:val="00B050"/>
              </w:rPr>
            </w:pPr>
            <w:r w:rsidRPr="00A440FA">
              <w:rPr>
                <w:color w:val="000000" w:themeColor="text1"/>
              </w:rPr>
              <w:t>$28,400</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tcPr>
          <w:p w14:paraId="613AEA51" w14:textId="77777777" w:rsidR="004452F4" w:rsidRPr="00A440FA" w:rsidRDefault="004452F4" w:rsidP="00FF6D38">
            <w:pPr>
              <w:pStyle w:val="Default"/>
              <w:ind w:left="73"/>
              <w:jc w:val="right"/>
              <w:rPr>
                <w:color w:val="000000" w:themeColor="text1"/>
              </w:rPr>
            </w:pPr>
            <w:r w:rsidRPr="00A440FA">
              <w:rPr>
                <w:color w:val="000000" w:themeColor="text1"/>
              </w:rPr>
              <w:t>$33,000</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tcPr>
          <w:p w14:paraId="2C3C0DA7" w14:textId="77777777" w:rsidR="004452F4" w:rsidRPr="00A440FA" w:rsidRDefault="004452F4" w:rsidP="00FF6D38">
            <w:pPr>
              <w:pStyle w:val="Default"/>
              <w:ind w:left="96"/>
              <w:jc w:val="right"/>
              <w:rPr>
                <w:color w:val="000000" w:themeColor="text1"/>
              </w:rPr>
            </w:pPr>
            <w:r w:rsidRPr="00A440FA">
              <w:rPr>
                <w:color w:val="000000" w:themeColor="text1"/>
              </w:rPr>
              <w:t>$40,800</w:t>
            </w:r>
          </w:p>
        </w:tc>
        <w:tc>
          <w:tcPr>
            <w:tcW w:w="1080" w:type="dxa"/>
            <w:tcBorders>
              <w:top w:val="single" w:sz="6" w:space="0" w:color="auto"/>
              <w:left w:val="single" w:sz="6" w:space="0" w:color="auto"/>
              <w:bottom w:val="single" w:sz="6" w:space="0" w:color="auto"/>
              <w:right w:val="single" w:sz="6" w:space="0" w:color="auto"/>
            </w:tcBorders>
            <w:tcMar>
              <w:left w:w="0" w:type="dxa"/>
              <w:right w:w="72" w:type="dxa"/>
            </w:tcMar>
          </w:tcPr>
          <w:p w14:paraId="16E48C8C" w14:textId="77777777" w:rsidR="004452F4" w:rsidRPr="00A440FA" w:rsidRDefault="004452F4" w:rsidP="00FF6D38">
            <w:pPr>
              <w:pStyle w:val="Default"/>
              <w:ind w:left="28"/>
              <w:jc w:val="right"/>
              <w:rPr>
                <w:color w:val="000000" w:themeColor="text1"/>
              </w:rPr>
            </w:pPr>
            <w:r w:rsidRPr="00A440FA">
              <w:rPr>
                <w:color w:val="000000" w:themeColor="text1"/>
              </w:rPr>
              <w:t>$44,500</w:t>
            </w:r>
          </w:p>
        </w:tc>
      </w:tr>
      <w:tr w:rsidR="004452F4" w:rsidRPr="00A440FA" w14:paraId="49061E0C" w14:textId="77777777" w:rsidTr="007831F9">
        <w:trPr>
          <w:trHeight w:val="345"/>
        </w:trPr>
        <w:tc>
          <w:tcPr>
            <w:tcW w:w="3128" w:type="dxa"/>
            <w:tcBorders>
              <w:top w:val="single" w:sz="6" w:space="0" w:color="auto"/>
              <w:left w:val="single" w:sz="6" w:space="0" w:color="auto"/>
              <w:bottom w:val="single" w:sz="6" w:space="0" w:color="auto"/>
              <w:right w:val="single" w:sz="6" w:space="0" w:color="auto"/>
            </w:tcBorders>
          </w:tcPr>
          <w:p w14:paraId="210E7EDD" w14:textId="77777777" w:rsidR="004452F4" w:rsidRPr="00A440FA" w:rsidRDefault="004452F4" w:rsidP="00FF6D38">
            <w:pPr>
              <w:pStyle w:val="Default"/>
              <w:ind w:left="129"/>
              <w:rPr>
                <w:color w:val="000000" w:themeColor="text1"/>
              </w:rPr>
            </w:pPr>
            <w:r w:rsidRPr="00A440FA">
              <w:rPr>
                <w:color w:val="000000" w:themeColor="text1"/>
              </w:rPr>
              <w:t>Moderate-Income Owner</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tcPr>
          <w:p w14:paraId="44259810" w14:textId="77777777" w:rsidR="004452F4" w:rsidRPr="00A440FA" w:rsidRDefault="004452F4" w:rsidP="00FF6D38">
            <w:pPr>
              <w:pStyle w:val="Default"/>
              <w:ind w:left="28"/>
              <w:jc w:val="right"/>
              <w:rPr>
                <w:color w:val="000000" w:themeColor="text1"/>
              </w:rPr>
            </w:pPr>
            <w:r w:rsidRPr="00A440FA">
              <w:rPr>
                <w:color w:val="000000" w:themeColor="text1"/>
              </w:rPr>
              <w:t>$28,400</w:t>
            </w:r>
          </w:p>
        </w:tc>
        <w:tc>
          <w:tcPr>
            <w:tcW w:w="1170" w:type="dxa"/>
            <w:tcBorders>
              <w:top w:val="single" w:sz="6" w:space="0" w:color="auto"/>
              <w:left w:val="single" w:sz="6" w:space="0" w:color="auto"/>
              <w:bottom w:val="single" w:sz="6" w:space="0" w:color="auto"/>
              <w:right w:val="single" w:sz="6" w:space="0" w:color="auto"/>
            </w:tcBorders>
            <w:tcMar>
              <w:left w:w="0" w:type="dxa"/>
              <w:right w:w="72" w:type="dxa"/>
            </w:tcMar>
          </w:tcPr>
          <w:p w14:paraId="714764FE" w14:textId="77777777" w:rsidR="004452F4" w:rsidRPr="00A440FA" w:rsidRDefault="004452F4" w:rsidP="00FF6D38">
            <w:pPr>
              <w:pStyle w:val="Default"/>
              <w:ind w:left="51"/>
              <w:jc w:val="right"/>
              <w:rPr>
                <w:color w:val="000000" w:themeColor="text1"/>
              </w:rPr>
            </w:pPr>
            <w:r w:rsidRPr="00A440FA">
              <w:rPr>
                <w:color w:val="000000" w:themeColor="text1"/>
              </w:rPr>
              <w:t>$32,100</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tcPr>
          <w:p w14:paraId="5AFA538A" w14:textId="77777777" w:rsidR="004452F4" w:rsidRPr="00A440FA" w:rsidRDefault="004452F4" w:rsidP="00FF6D38">
            <w:pPr>
              <w:pStyle w:val="Default"/>
              <w:ind w:left="73"/>
              <w:jc w:val="right"/>
              <w:rPr>
                <w:color w:val="00B050"/>
              </w:rPr>
            </w:pPr>
            <w:r w:rsidRPr="00A440FA">
              <w:rPr>
                <w:color w:val="000000" w:themeColor="text1"/>
              </w:rPr>
              <w:t>$38,300</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tcPr>
          <w:p w14:paraId="5063CB4B" w14:textId="77777777" w:rsidR="004452F4" w:rsidRPr="00A440FA" w:rsidRDefault="004452F4" w:rsidP="00FF6D38">
            <w:pPr>
              <w:pStyle w:val="Default"/>
              <w:ind w:left="96"/>
              <w:jc w:val="right"/>
              <w:rPr>
                <w:color w:val="00B050"/>
              </w:rPr>
            </w:pPr>
            <w:r w:rsidRPr="00A440FA">
              <w:rPr>
                <w:color w:val="000000" w:themeColor="text1"/>
              </w:rPr>
              <w:t>$45,700</w:t>
            </w:r>
          </w:p>
        </w:tc>
        <w:tc>
          <w:tcPr>
            <w:tcW w:w="1080" w:type="dxa"/>
            <w:tcBorders>
              <w:top w:val="single" w:sz="6" w:space="0" w:color="auto"/>
              <w:left w:val="single" w:sz="6" w:space="0" w:color="auto"/>
              <w:bottom w:val="single" w:sz="6" w:space="0" w:color="auto"/>
              <w:right w:val="single" w:sz="6" w:space="0" w:color="auto"/>
            </w:tcBorders>
            <w:tcMar>
              <w:left w:w="0" w:type="dxa"/>
              <w:right w:w="72" w:type="dxa"/>
            </w:tcMar>
          </w:tcPr>
          <w:p w14:paraId="1F7AE73F" w14:textId="77777777" w:rsidR="004452F4" w:rsidRPr="00A440FA" w:rsidRDefault="004452F4" w:rsidP="00FF6D38">
            <w:pPr>
              <w:pStyle w:val="Default"/>
              <w:ind w:left="28"/>
              <w:jc w:val="right"/>
              <w:rPr>
                <w:color w:val="000000" w:themeColor="text1"/>
              </w:rPr>
            </w:pPr>
            <w:r w:rsidRPr="00A440FA">
              <w:rPr>
                <w:color w:val="000000" w:themeColor="text1"/>
              </w:rPr>
              <w:t>$49,400</w:t>
            </w:r>
          </w:p>
        </w:tc>
      </w:tr>
      <w:tr w:rsidR="004452F4" w:rsidRPr="00A440FA" w14:paraId="41AD87F7" w14:textId="77777777" w:rsidTr="007831F9">
        <w:trPr>
          <w:trHeight w:val="345"/>
        </w:trPr>
        <w:tc>
          <w:tcPr>
            <w:tcW w:w="3128" w:type="dxa"/>
            <w:tcBorders>
              <w:top w:val="single" w:sz="6" w:space="0" w:color="auto"/>
              <w:left w:val="single" w:sz="6" w:space="0" w:color="auto"/>
              <w:bottom w:val="single" w:sz="6" w:space="0" w:color="auto"/>
              <w:right w:val="single" w:sz="6" w:space="0" w:color="auto"/>
            </w:tcBorders>
          </w:tcPr>
          <w:p w14:paraId="0ABB9B1D" w14:textId="77777777" w:rsidR="004452F4" w:rsidRPr="00A440FA" w:rsidRDefault="004452F4" w:rsidP="00FF6D38">
            <w:pPr>
              <w:pStyle w:val="Default"/>
              <w:ind w:left="129"/>
              <w:rPr>
                <w:color w:val="000000" w:themeColor="text1"/>
              </w:rPr>
            </w:pPr>
            <w:r w:rsidRPr="00A440FA">
              <w:rPr>
                <w:color w:val="000000" w:themeColor="text1"/>
              </w:rPr>
              <w:t>Low-Income Owner</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tcPr>
          <w:p w14:paraId="5A3A5876" w14:textId="77777777" w:rsidR="004452F4" w:rsidRPr="00A440FA" w:rsidRDefault="004452F4" w:rsidP="00FF6D38">
            <w:pPr>
              <w:pStyle w:val="Default"/>
              <w:ind w:left="28"/>
              <w:jc w:val="right"/>
              <w:rPr>
                <w:color w:val="000000" w:themeColor="text1"/>
              </w:rPr>
            </w:pPr>
            <w:r w:rsidRPr="00A440FA">
              <w:rPr>
                <w:color w:val="000000" w:themeColor="text1"/>
              </w:rPr>
              <w:t>$32,100</w:t>
            </w:r>
          </w:p>
        </w:tc>
        <w:tc>
          <w:tcPr>
            <w:tcW w:w="1170" w:type="dxa"/>
            <w:tcBorders>
              <w:top w:val="single" w:sz="6" w:space="0" w:color="auto"/>
              <w:left w:val="single" w:sz="6" w:space="0" w:color="auto"/>
              <w:bottom w:val="single" w:sz="6" w:space="0" w:color="auto"/>
              <w:right w:val="single" w:sz="6" w:space="0" w:color="auto"/>
            </w:tcBorders>
            <w:tcMar>
              <w:left w:w="0" w:type="dxa"/>
              <w:right w:w="72" w:type="dxa"/>
            </w:tcMar>
          </w:tcPr>
          <w:p w14:paraId="0B60982A" w14:textId="77777777" w:rsidR="004452F4" w:rsidRPr="00A440FA" w:rsidRDefault="004452F4" w:rsidP="00FF6D38">
            <w:pPr>
              <w:pStyle w:val="Default"/>
              <w:ind w:left="51"/>
              <w:jc w:val="right"/>
              <w:rPr>
                <w:color w:val="00B050"/>
              </w:rPr>
            </w:pPr>
            <w:r w:rsidRPr="00A440FA">
              <w:rPr>
                <w:color w:val="000000" w:themeColor="text1"/>
              </w:rPr>
              <w:t>$35,800</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tcPr>
          <w:p w14:paraId="13BA28F3" w14:textId="77777777" w:rsidR="004452F4" w:rsidRPr="00A440FA" w:rsidRDefault="004452F4" w:rsidP="00FF6D38">
            <w:pPr>
              <w:pStyle w:val="Default"/>
              <w:ind w:left="73"/>
              <w:jc w:val="right"/>
              <w:rPr>
                <w:color w:val="00B050"/>
              </w:rPr>
            </w:pPr>
            <w:r w:rsidRPr="00A440FA">
              <w:rPr>
                <w:color w:val="000000" w:themeColor="text1"/>
              </w:rPr>
              <w:t>$43,200</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tcPr>
          <w:p w14:paraId="67C1B3C3" w14:textId="77777777" w:rsidR="004452F4" w:rsidRPr="00A440FA" w:rsidRDefault="004452F4" w:rsidP="00FF6D38">
            <w:pPr>
              <w:pStyle w:val="Default"/>
              <w:ind w:left="96"/>
              <w:jc w:val="right"/>
              <w:rPr>
                <w:color w:val="00B050"/>
              </w:rPr>
            </w:pPr>
            <w:r w:rsidRPr="00A440FA">
              <w:rPr>
                <w:color w:val="000000" w:themeColor="text1"/>
              </w:rPr>
              <w:t>$50,600</w:t>
            </w:r>
          </w:p>
        </w:tc>
        <w:tc>
          <w:tcPr>
            <w:tcW w:w="1080" w:type="dxa"/>
            <w:tcBorders>
              <w:top w:val="single" w:sz="6" w:space="0" w:color="auto"/>
              <w:left w:val="single" w:sz="6" w:space="0" w:color="auto"/>
              <w:bottom w:val="single" w:sz="6" w:space="0" w:color="auto"/>
              <w:right w:val="single" w:sz="6" w:space="0" w:color="auto"/>
            </w:tcBorders>
            <w:tcMar>
              <w:left w:w="0" w:type="dxa"/>
              <w:right w:w="72" w:type="dxa"/>
            </w:tcMar>
          </w:tcPr>
          <w:p w14:paraId="0D1A369B" w14:textId="77777777" w:rsidR="004452F4" w:rsidRPr="00A440FA" w:rsidRDefault="004452F4" w:rsidP="00FF6D38">
            <w:pPr>
              <w:pStyle w:val="Default"/>
              <w:ind w:left="28"/>
              <w:jc w:val="right"/>
              <w:rPr>
                <w:color w:val="00B050"/>
              </w:rPr>
            </w:pPr>
            <w:r w:rsidRPr="00A440FA">
              <w:rPr>
                <w:color w:val="000000" w:themeColor="text1"/>
              </w:rPr>
              <w:t>$55,600</w:t>
            </w:r>
          </w:p>
        </w:tc>
      </w:tr>
      <w:tr w:rsidR="004452F4" w:rsidRPr="00A440FA" w14:paraId="6CB318AF" w14:textId="77777777" w:rsidTr="007831F9">
        <w:trPr>
          <w:trHeight w:val="345"/>
        </w:trPr>
        <w:tc>
          <w:tcPr>
            <w:tcW w:w="3128" w:type="dxa"/>
            <w:tcBorders>
              <w:top w:val="single" w:sz="6" w:space="0" w:color="auto"/>
              <w:left w:val="single" w:sz="6" w:space="0" w:color="auto"/>
              <w:bottom w:val="single" w:sz="6" w:space="0" w:color="auto"/>
              <w:right w:val="single" w:sz="6" w:space="0" w:color="auto"/>
            </w:tcBorders>
          </w:tcPr>
          <w:p w14:paraId="3945D64A" w14:textId="77777777" w:rsidR="004452F4" w:rsidRPr="00A440FA" w:rsidRDefault="004452F4" w:rsidP="00FF6D38">
            <w:pPr>
              <w:pStyle w:val="Default"/>
              <w:ind w:left="129"/>
              <w:rPr>
                <w:color w:val="000000" w:themeColor="text1"/>
              </w:rPr>
            </w:pPr>
            <w:r w:rsidRPr="00A440FA">
              <w:rPr>
                <w:color w:val="000000" w:themeColor="text1"/>
              </w:rPr>
              <w:t>60% AMI Rental</w:t>
            </w:r>
          </w:p>
        </w:tc>
        <w:tc>
          <w:tcPr>
            <w:tcW w:w="1260" w:type="dxa"/>
            <w:tcBorders>
              <w:top w:val="single" w:sz="6" w:space="0" w:color="auto"/>
              <w:left w:val="single" w:sz="6" w:space="0" w:color="auto"/>
              <w:bottom w:val="single" w:sz="6" w:space="0" w:color="auto"/>
              <w:right w:val="single" w:sz="6" w:space="0" w:color="auto"/>
            </w:tcBorders>
          </w:tcPr>
          <w:p w14:paraId="473A9A44" w14:textId="77777777" w:rsidR="004452F4" w:rsidRPr="00A440FA" w:rsidRDefault="004452F4" w:rsidP="00FF6D38">
            <w:pPr>
              <w:pStyle w:val="Default"/>
              <w:ind w:left="28"/>
              <w:jc w:val="right"/>
              <w:rPr>
                <w:color w:val="000000" w:themeColor="text1"/>
              </w:rPr>
            </w:pPr>
            <w:r w:rsidRPr="00A440FA">
              <w:rPr>
                <w:color w:val="000000" w:themeColor="text1"/>
              </w:rPr>
              <w:t>$32,100</w:t>
            </w:r>
          </w:p>
        </w:tc>
        <w:tc>
          <w:tcPr>
            <w:tcW w:w="1170" w:type="dxa"/>
            <w:tcBorders>
              <w:top w:val="single" w:sz="6" w:space="0" w:color="auto"/>
              <w:left w:val="single" w:sz="6" w:space="0" w:color="auto"/>
              <w:bottom w:val="single" w:sz="6" w:space="0" w:color="auto"/>
              <w:right w:val="single" w:sz="6" w:space="0" w:color="auto"/>
            </w:tcBorders>
          </w:tcPr>
          <w:p w14:paraId="2E3D0430" w14:textId="77777777" w:rsidR="004452F4" w:rsidRPr="00A440FA" w:rsidRDefault="004452F4" w:rsidP="00FF6D38">
            <w:pPr>
              <w:pStyle w:val="Default"/>
              <w:ind w:left="51"/>
              <w:jc w:val="right"/>
              <w:rPr>
                <w:color w:val="000000" w:themeColor="text1"/>
              </w:rPr>
            </w:pPr>
            <w:r w:rsidRPr="00A440FA">
              <w:rPr>
                <w:color w:val="000000" w:themeColor="text1"/>
              </w:rPr>
              <w:t>$35,800</w:t>
            </w:r>
          </w:p>
        </w:tc>
        <w:tc>
          <w:tcPr>
            <w:tcW w:w="1260" w:type="dxa"/>
            <w:tcBorders>
              <w:top w:val="single" w:sz="6" w:space="0" w:color="auto"/>
              <w:left w:val="single" w:sz="6" w:space="0" w:color="auto"/>
              <w:bottom w:val="single" w:sz="6" w:space="0" w:color="auto"/>
              <w:right w:val="single" w:sz="6" w:space="0" w:color="auto"/>
            </w:tcBorders>
          </w:tcPr>
          <w:p w14:paraId="75D664F9" w14:textId="77777777" w:rsidR="004452F4" w:rsidRPr="00A440FA" w:rsidRDefault="004452F4" w:rsidP="00FF6D38">
            <w:pPr>
              <w:pStyle w:val="Default"/>
              <w:ind w:left="73"/>
              <w:jc w:val="right"/>
              <w:rPr>
                <w:color w:val="000000" w:themeColor="text1"/>
              </w:rPr>
            </w:pPr>
            <w:r w:rsidRPr="00A440FA">
              <w:rPr>
                <w:color w:val="000000" w:themeColor="text1"/>
              </w:rPr>
              <w:t>$43,200</w:t>
            </w:r>
          </w:p>
        </w:tc>
        <w:tc>
          <w:tcPr>
            <w:tcW w:w="1260" w:type="dxa"/>
            <w:tcBorders>
              <w:top w:val="single" w:sz="6" w:space="0" w:color="auto"/>
              <w:left w:val="single" w:sz="6" w:space="0" w:color="auto"/>
              <w:bottom w:val="single" w:sz="6" w:space="0" w:color="auto"/>
              <w:right w:val="single" w:sz="6" w:space="0" w:color="auto"/>
            </w:tcBorders>
          </w:tcPr>
          <w:p w14:paraId="3CECA5DC" w14:textId="77777777" w:rsidR="004452F4" w:rsidRPr="00A440FA" w:rsidRDefault="004452F4" w:rsidP="00FF6D38">
            <w:pPr>
              <w:pStyle w:val="Default"/>
              <w:ind w:left="96"/>
              <w:jc w:val="right"/>
              <w:rPr>
                <w:color w:val="000000" w:themeColor="text1"/>
              </w:rPr>
            </w:pPr>
            <w:r w:rsidRPr="00A440FA">
              <w:rPr>
                <w:color w:val="000000" w:themeColor="text1"/>
              </w:rPr>
              <w:t>$50,600</w:t>
            </w:r>
          </w:p>
        </w:tc>
        <w:tc>
          <w:tcPr>
            <w:tcW w:w="1080" w:type="dxa"/>
            <w:tcBorders>
              <w:top w:val="single" w:sz="6" w:space="0" w:color="auto"/>
              <w:left w:val="single" w:sz="6" w:space="0" w:color="auto"/>
              <w:bottom w:val="single" w:sz="6" w:space="0" w:color="auto"/>
              <w:right w:val="single" w:sz="6" w:space="0" w:color="auto"/>
            </w:tcBorders>
          </w:tcPr>
          <w:p w14:paraId="5DA3B712" w14:textId="77777777" w:rsidR="004452F4" w:rsidRPr="00A440FA" w:rsidRDefault="004452F4" w:rsidP="00FF6D38">
            <w:pPr>
              <w:pStyle w:val="Default"/>
              <w:ind w:left="28"/>
              <w:jc w:val="right"/>
              <w:rPr>
                <w:color w:val="000000" w:themeColor="text1"/>
              </w:rPr>
            </w:pPr>
            <w:r w:rsidRPr="00A440FA">
              <w:rPr>
                <w:color w:val="000000" w:themeColor="text1"/>
              </w:rPr>
              <w:t>$55,600</w:t>
            </w:r>
          </w:p>
        </w:tc>
      </w:tr>
      <w:tr w:rsidR="004452F4" w:rsidRPr="00A440FA" w14:paraId="2F386D8C" w14:textId="77777777" w:rsidTr="007831F9">
        <w:trPr>
          <w:trHeight w:val="345"/>
        </w:trPr>
        <w:tc>
          <w:tcPr>
            <w:tcW w:w="3128" w:type="dxa"/>
            <w:tcBorders>
              <w:top w:val="single" w:sz="6" w:space="0" w:color="auto"/>
              <w:left w:val="single" w:sz="6" w:space="0" w:color="auto"/>
              <w:bottom w:val="single" w:sz="6" w:space="0" w:color="auto"/>
              <w:right w:val="single" w:sz="6" w:space="0" w:color="auto"/>
            </w:tcBorders>
            <w:vAlign w:val="center"/>
          </w:tcPr>
          <w:p w14:paraId="2DC6E80A" w14:textId="77777777" w:rsidR="004452F4" w:rsidRPr="00A440FA" w:rsidRDefault="004452F4" w:rsidP="00FF6D38">
            <w:pPr>
              <w:pStyle w:val="Default"/>
              <w:ind w:left="129"/>
              <w:rPr>
                <w:color w:val="000000" w:themeColor="text1"/>
              </w:rPr>
            </w:pPr>
            <w:r w:rsidRPr="00A440FA">
              <w:rPr>
                <w:color w:val="000000" w:themeColor="text1"/>
              </w:rPr>
              <w:t>50% AMI Rental</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42C081DA" w14:textId="77777777" w:rsidR="004452F4" w:rsidRPr="00A440FA" w:rsidRDefault="004452F4" w:rsidP="00FF6D38">
            <w:pPr>
              <w:pStyle w:val="Default"/>
              <w:ind w:left="28"/>
              <w:jc w:val="right"/>
              <w:rPr>
                <w:color w:val="00B050"/>
              </w:rPr>
            </w:pPr>
            <w:r w:rsidRPr="00A440FA">
              <w:rPr>
                <w:color w:val="000000" w:themeColor="text1"/>
              </w:rPr>
              <w:t>$37,100</w:t>
            </w:r>
          </w:p>
        </w:tc>
        <w:tc>
          <w:tcPr>
            <w:tcW w:w="117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6E426734" w14:textId="77777777" w:rsidR="004452F4" w:rsidRPr="00A440FA" w:rsidRDefault="004452F4" w:rsidP="00FF6D38">
            <w:pPr>
              <w:pStyle w:val="Default"/>
              <w:ind w:left="51"/>
              <w:jc w:val="right"/>
              <w:rPr>
                <w:color w:val="00B050"/>
              </w:rPr>
            </w:pPr>
            <w:r w:rsidRPr="00A440FA">
              <w:rPr>
                <w:color w:val="000000" w:themeColor="text1"/>
              </w:rPr>
              <w:t>$42,000</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047E1C06" w14:textId="77777777" w:rsidR="004452F4" w:rsidRPr="00A440FA" w:rsidRDefault="004452F4" w:rsidP="00FF6D38">
            <w:pPr>
              <w:pStyle w:val="Default"/>
              <w:ind w:left="73"/>
              <w:jc w:val="right"/>
              <w:rPr>
                <w:color w:val="00B050"/>
              </w:rPr>
            </w:pPr>
            <w:r w:rsidRPr="00A440FA">
              <w:rPr>
                <w:color w:val="000000" w:themeColor="text1"/>
              </w:rPr>
              <w:t>$48,200</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7505B578" w14:textId="77777777" w:rsidR="004452F4" w:rsidRPr="00A440FA" w:rsidRDefault="004452F4" w:rsidP="00FF6D38">
            <w:pPr>
              <w:pStyle w:val="Default"/>
              <w:ind w:left="96"/>
              <w:jc w:val="right"/>
              <w:rPr>
                <w:color w:val="00B050"/>
              </w:rPr>
            </w:pPr>
            <w:r w:rsidRPr="00A440FA">
              <w:rPr>
                <w:color w:val="000000" w:themeColor="text1"/>
              </w:rPr>
              <w:t>$58,000</w:t>
            </w:r>
          </w:p>
        </w:tc>
        <w:tc>
          <w:tcPr>
            <w:tcW w:w="108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770FABA2" w14:textId="77777777" w:rsidR="004452F4" w:rsidRPr="00A440FA" w:rsidRDefault="004452F4" w:rsidP="00FF6D38">
            <w:pPr>
              <w:pStyle w:val="Default"/>
              <w:ind w:left="28"/>
              <w:jc w:val="right"/>
              <w:rPr>
                <w:color w:val="00B050"/>
              </w:rPr>
            </w:pPr>
            <w:r w:rsidRPr="00A440FA">
              <w:rPr>
                <w:color w:val="000000" w:themeColor="text1"/>
              </w:rPr>
              <w:t>$61,800</w:t>
            </w:r>
          </w:p>
        </w:tc>
      </w:tr>
      <w:tr w:rsidR="004452F4" w:rsidRPr="00A440FA" w14:paraId="33432B05" w14:textId="77777777" w:rsidTr="007831F9">
        <w:trPr>
          <w:trHeight w:val="345"/>
        </w:trPr>
        <w:tc>
          <w:tcPr>
            <w:tcW w:w="3128" w:type="dxa"/>
            <w:tcBorders>
              <w:top w:val="single" w:sz="6" w:space="0" w:color="auto"/>
              <w:left w:val="single" w:sz="6" w:space="0" w:color="auto"/>
              <w:bottom w:val="single" w:sz="6" w:space="0" w:color="auto"/>
              <w:right w:val="single" w:sz="6" w:space="0" w:color="auto"/>
            </w:tcBorders>
            <w:vAlign w:val="center"/>
          </w:tcPr>
          <w:p w14:paraId="22CF6BE7" w14:textId="77777777" w:rsidR="004452F4" w:rsidRPr="00A440FA" w:rsidRDefault="004452F4" w:rsidP="00FF6D38">
            <w:pPr>
              <w:pStyle w:val="Default"/>
              <w:ind w:left="129"/>
              <w:rPr>
                <w:color w:val="000000" w:themeColor="text1"/>
              </w:rPr>
            </w:pPr>
            <w:r w:rsidRPr="00A440FA">
              <w:rPr>
                <w:color w:val="000000" w:themeColor="text1"/>
              </w:rPr>
              <w:t>30% AMI Rental</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0A6B40CE" w14:textId="77777777" w:rsidR="004452F4" w:rsidRPr="00A440FA" w:rsidRDefault="004452F4" w:rsidP="00FF6D38">
            <w:pPr>
              <w:pStyle w:val="Default"/>
              <w:ind w:left="28"/>
              <w:jc w:val="right"/>
              <w:rPr>
                <w:color w:val="000000" w:themeColor="text1"/>
              </w:rPr>
            </w:pPr>
            <w:r w:rsidRPr="00A440FA">
              <w:rPr>
                <w:color w:val="000000" w:themeColor="text1"/>
              </w:rPr>
              <w:t>$43,200</w:t>
            </w:r>
          </w:p>
        </w:tc>
        <w:tc>
          <w:tcPr>
            <w:tcW w:w="117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4FA1E80A" w14:textId="77777777" w:rsidR="004452F4" w:rsidRPr="00A440FA" w:rsidRDefault="004452F4" w:rsidP="00FF6D38">
            <w:pPr>
              <w:pStyle w:val="Default"/>
              <w:ind w:left="51"/>
              <w:jc w:val="right"/>
              <w:rPr>
                <w:color w:val="000000" w:themeColor="text1"/>
              </w:rPr>
            </w:pPr>
            <w:r w:rsidRPr="00A440FA">
              <w:rPr>
                <w:color w:val="000000" w:themeColor="text1"/>
              </w:rPr>
              <w:t>$45,700</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114FB33C" w14:textId="77777777" w:rsidR="004452F4" w:rsidRPr="00A440FA" w:rsidRDefault="004452F4" w:rsidP="00FF6D38">
            <w:pPr>
              <w:pStyle w:val="Default"/>
              <w:ind w:left="73"/>
              <w:jc w:val="right"/>
              <w:rPr>
                <w:color w:val="000000" w:themeColor="text1"/>
              </w:rPr>
            </w:pPr>
            <w:r w:rsidRPr="00A440FA">
              <w:rPr>
                <w:color w:val="000000" w:themeColor="text1"/>
              </w:rPr>
              <w:t>$51,900</w:t>
            </w:r>
          </w:p>
        </w:tc>
        <w:tc>
          <w:tcPr>
            <w:tcW w:w="126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399BB1FB" w14:textId="77777777" w:rsidR="004452F4" w:rsidRPr="00A440FA" w:rsidRDefault="004452F4" w:rsidP="00FF6D38">
            <w:pPr>
              <w:pStyle w:val="Default"/>
              <w:ind w:left="96"/>
              <w:jc w:val="right"/>
              <w:rPr>
                <w:color w:val="000000" w:themeColor="text1"/>
              </w:rPr>
            </w:pPr>
            <w:r w:rsidRPr="00A440FA">
              <w:rPr>
                <w:color w:val="000000" w:themeColor="text1"/>
              </w:rPr>
              <w:t>$66,700</w:t>
            </w:r>
          </w:p>
        </w:tc>
        <w:tc>
          <w:tcPr>
            <w:tcW w:w="1080" w:type="dxa"/>
            <w:tcBorders>
              <w:top w:val="single" w:sz="6" w:space="0" w:color="auto"/>
              <w:left w:val="single" w:sz="6" w:space="0" w:color="auto"/>
              <w:bottom w:val="single" w:sz="6" w:space="0" w:color="auto"/>
              <w:right w:val="single" w:sz="6" w:space="0" w:color="auto"/>
            </w:tcBorders>
            <w:tcMar>
              <w:left w:w="0" w:type="dxa"/>
              <w:right w:w="72" w:type="dxa"/>
            </w:tcMar>
            <w:vAlign w:val="center"/>
          </w:tcPr>
          <w:p w14:paraId="2507B1F8" w14:textId="77777777" w:rsidR="004452F4" w:rsidRPr="00A440FA" w:rsidRDefault="004452F4" w:rsidP="00FF6D38">
            <w:pPr>
              <w:pStyle w:val="Default"/>
              <w:ind w:left="28"/>
              <w:jc w:val="right"/>
              <w:rPr>
                <w:color w:val="000000" w:themeColor="text1"/>
              </w:rPr>
            </w:pPr>
            <w:r w:rsidRPr="00A440FA">
              <w:rPr>
                <w:color w:val="000000" w:themeColor="text1"/>
              </w:rPr>
              <w:t>$70,400</w:t>
            </w:r>
          </w:p>
        </w:tc>
      </w:tr>
    </w:tbl>
    <w:p w14:paraId="2C314FD3" w14:textId="7AD02A97" w:rsidR="008B1CBF" w:rsidRPr="008B1CBF" w:rsidRDefault="00FF6D38" w:rsidP="005122A9">
      <w:pPr>
        <w:spacing w:before="480" w:after="240" w:line="240" w:lineRule="auto"/>
        <w:ind w:left="720" w:right="-547"/>
        <w:rPr>
          <w:rFonts w:ascii="Arial" w:eastAsia="Calibri" w:hAnsi="Arial" w:cs="Times New Roman"/>
          <w:sz w:val="24"/>
        </w:rPr>
      </w:pPr>
      <w:bookmarkStart w:id="40" w:name="_Toc515870499"/>
      <w:bookmarkStart w:id="41" w:name="_Toc515870607"/>
      <w:bookmarkStart w:id="42" w:name="_Toc515870703"/>
      <w:bookmarkStart w:id="43" w:name="_Toc515872408"/>
      <w:bookmarkStart w:id="44" w:name="_Toc515873043"/>
      <w:bookmarkStart w:id="45" w:name="_Toc515873173"/>
      <w:bookmarkStart w:id="46" w:name="_Toc515880593"/>
      <w:bookmarkStart w:id="47" w:name="_Toc515880655"/>
      <w:bookmarkStart w:id="48" w:name="_Toc515945878"/>
      <w:bookmarkStart w:id="49" w:name="_Toc515950366"/>
      <w:bookmarkStart w:id="50" w:name="_Toc515964415"/>
      <w:bookmarkStart w:id="51" w:name="_Toc515966869"/>
      <w:bookmarkStart w:id="52" w:name="_Toc515967651"/>
      <w:bookmarkStart w:id="53" w:name="_Toc515968195"/>
      <w:bookmarkStart w:id="54" w:name="_Toc516043355"/>
      <w:bookmarkStart w:id="55" w:name="_Toc516045488"/>
      <w:bookmarkStart w:id="56" w:name="_Toc516047452"/>
      <w:bookmarkStart w:id="57" w:name="_Toc516048900"/>
      <w:bookmarkStart w:id="58" w:name="_Toc516474825"/>
      <w:bookmarkStart w:id="59" w:name="_Toc516476279"/>
      <w:bookmarkStart w:id="60" w:name="_Toc516482337"/>
      <w:bookmarkStart w:id="61" w:name="_Toc516482402"/>
      <w:bookmarkStart w:id="62" w:name="_Toc516482736"/>
      <w:bookmarkStart w:id="63" w:name="_Toc516483844"/>
      <w:bookmarkStart w:id="64" w:name="_Toc516484771"/>
      <w:bookmarkStart w:id="65" w:name="_Toc516484836"/>
      <w:bookmarkStart w:id="66" w:name="_Toc516485136"/>
      <w:bookmarkStart w:id="67" w:name="_Toc516485201"/>
      <w:bookmarkStart w:id="68" w:name="_Toc516489241"/>
      <w:bookmarkStart w:id="69" w:name="_Toc516491800"/>
      <w:bookmarkStart w:id="70" w:name="_Toc516549949"/>
      <w:bookmarkStart w:id="71" w:name="_Toc516555913"/>
      <w:bookmarkStart w:id="72" w:name="_Toc516567285"/>
      <w:bookmarkStart w:id="73" w:name="_Toc516569802"/>
      <w:bookmarkStart w:id="74" w:name="_Toc516640196"/>
      <w:bookmarkStart w:id="75" w:name="_Toc516641069"/>
      <w:bookmarkStart w:id="76" w:name="_Toc515870500"/>
      <w:bookmarkStart w:id="77" w:name="_Toc515870608"/>
      <w:bookmarkStart w:id="78" w:name="_Toc515870704"/>
      <w:bookmarkStart w:id="79" w:name="_Toc515872409"/>
      <w:bookmarkStart w:id="80" w:name="_Toc515873044"/>
      <w:bookmarkStart w:id="81" w:name="_Toc515873174"/>
      <w:bookmarkStart w:id="82" w:name="_Toc515880594"/>
      <w:bookmarkStart w:id="83" w:name="_Toc515880656"/>
      <w:bookmarkStart w:id="84" w:name="_Toc515945879"/>
      <w:bookmarkStart w:id="85" w:name="_Toc515950367"/>
      <w:bookmarkStart w:id="86" w:name="_Toc515964416"/>
      <w:bookmarkStart w:id="87" w:name="_Toc515966870"/>
      <w:bookmarkStart w:id="88" w:name="_Toc515967652"/>
      <w:bookmarkStart w:id="89" w:name="_Toc515968196"/>
      <w:bookmarkStart w:id="90" w:name="_Toc516043356"/>
      <w:bookmarkStart w:id="91" w:name="_Toc516045489"/>
      <w:bookmarkStart w:id="92" w:name="_Toc516047453"/>
      <w:bookmarkStart w:id="93" w:name="_Toc516048901"/>
      <w:bookmarkStart w:id="94" w:name="_Toc516474826"/>
      <w:bookmarkStart w:id="95" w:name="_Toc516476280"/>
      <w:bookmarkStart w:id="96" w:name="_Toc516482338"/>
      <w:bookmarkStart w:id="97" w:name="_Toc516482403"/>
      <w:bookmarkStart w:id="98" w:name="_Toc516482737"/>
      <w:bookmarkStart w:id="99" w:name="_Toc516483845"/>
      <w:bookmarkStart w:id="100" w:name="_Toc516484772"/>
      <w:bookmarkStart w:id="101" w:name="_Toc516484837"/>
      <w:bookmarkStart w:id="102" w:name="_Toc516485137"/>
      <w:bookmarkStart w:id="103" w:name="_Toc516485202"/>
      <w:bookmarkStart w:id="104" w:name="_Toc516489242"/>
      <w:bookmarkStart w:id="105" w:name="_Toc516491801"/>
      <w:bookmarkStart w:id="106" w:name="_Toc516549950"/>
      <w:bookmarkStart w:id="107" w:name="_Toc516555914"/>
      <w:bookmarkStart w:id="108" w:name="_Toc516567286"/>
      <w:bookmarkStart w:id="109" w:name="_Toc516569803"/>
      <w:bookmarkStart w:id="110" w:name="_Toc516640197"/>
      <w:bookmarkStart w:id="111" w:name="_Toc516641070"/>
      <w:bookmarkStart w:id="112" w:name="_Toc517101776"/>
      <w:bookmarkStart w:id="113" w:name="_Toc517177959"/>
      <w:bookmarkStart w:id="114" w:name="_Toc517178813"/>
      <w:bookmarkStart w:id="115" w:name="_Toc517243941"/>
      <w:bookmarkStart w:id="116" w:name="_Toc517244530"/>
      <w:bookmarkStart w:id="117" w:name="_Toc517244764"/>
      <w:bookmarkStart w:id="118" w:name="_Toc517244969"/>
      <w:bookmarkStart w:id="119" w:name="_Toc517246404"/>
      <w:bookmarkStart w:id="120" w:name="_Toc517330715"/>
      <w:bookmarkStart w:id="121" w:name="_Toc517331002"/>
      <w:bookmarkStart w:id="122" w:name="_Toc2933859"/>
      <w:bookmarkStart w:id="123" w:name="_Toc338475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8B1CBF">
        <w:rPr>
          <w:rFonts w:ascii="Arial" w:eastAsia="Calibri" w:hAnsi="Arial" w:cs="Times New Roman"/>
          <w:sz w:val="24"/>
        </w:rPr>
        <w:t>Grant amounts established by the Grant Amount Calculation table may be increased based on proposed housing units per acre, as represented in the following Net Density Adjustment Factor chart below.</w:t>
      </w:r>
    </w:p>
    <w:tbl>
      <w:tblPr>
        <w:tblW w:w="5138" w:type="dxa"/>
        <w:jc w:val="center"/>
        <w:tblLook w:val="0020" w:firstRow="1" w:lastRow="0" w:firstColumn="0" w:lastColumn="0" w:noHBand="0" w:noVBand="0"/>
        <w:tblCaption w:val="Net Density Adjustment Factor Chart"/>
        <w:tblDescription w:val="Table 2. Grant amount adjustment factor based on housing net density."/>
      </w:tblPr>
      <w:tblGrid>
        <w:gridCol w:w="3212"/>
        <w:gridCol w:w="1926"/>
      </w:tblGrid>
      <w:tr w:rsidR="00FF6D38" w:rsidRPr="00A440FA" w14:paraId="4A79AEEA" w14:textId="77777777" w:rsidTr="007831F9">
        <w:trPr>
          <w:trHeight w:val="349"/>
          <w:tblHeader/>
          <w:jc w:val="center"/>
        </w:trPr>
        <w:tc>
          <w:tcPr>
            <w:tcW w:w="513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4" w:type="dxa"/>
              <w:right w:w="14" w:type="dxa"/>
            </w:tcMar>
            <w:vAlign w:val="center"/>
          </w:tcPr>
          <w:p w14:paraId="4413E65F" w14:textId="78F40F24" w:rsidR="00FF6D38" w:rsidRPr="00C13E4E" w:rsidRDefault="00FF6D38" w:rsidP="00FF6D38">
            <w:pPr>
              <w:spacing w:after="0" w:line="240" w:lineRule="auto"/>
              <w:ind w:left="720"/>
              <w:rPr>
                <w:rFonts w:ascii="Arial" w:eastAsia="Times New Roman" w:hAnsi="Arial" w:cs="Arial"/>
                <w:b/>
                <w:bCs/>
                <w:color w:val="000000"/>
                <w:sz w:val="24"/>
                <w:szCs w:val="24"/>
              </w:rPr>
            </w:pPr>
            <w:r w:rsidRPr="008440DA">
              <w:rPr>
                <w:rFonts w:ascii="Arial" w:hAnsi="Arial" w:cs="Arial"/>
                <w:b/>
                <w:sz w:val="24"/>
                <w:szCs w:val="24"/>
              </w:rPr>
              <w:t xml:space="preserve">Net Density Adjustment Factor </w:t>
            </w:r>
          </w:p>
        </w:tc>
      </w:tr>
      <w:tr w:rsidR="004452F4" w:rsidRPr="00A440FA" w14:paraId="347C6CC2" w14:textId="77777777" w:rsidTr="007831F9">
        <w:trPr>
          <w:trHeight w:val="583"/>
          <w:tblHeader/>
          <w:jc w:val="center"/>
        </w:trPr>
        <w:tc>
          <w:tcPr>
            <w:tcW w:w="3212"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tcPr>
          <w:p w14:paraId="64231D08" w14:textId="3E5E1AC3" w:rsidR="004452F4" w:rsidRPr="00C13E4E" w:rsidRDefault="004452F4" w:rsidP="00FF6D38">
            <w:pPr>
              <w:spacing w:after="0" w:line="240" w:lineRule="auto"/>
              <w:ind w:left="29"/>
              <w:jc w:val="center"/>
              <w:rPr>
                <w:rFonts w:ascii="Arial" w:eastAsia="Times New Roman" w:hAnsi="Arial" w:cs="Arial"/>
                <w:b/>
                <w:bCs/>
                <w:color w:val="000000"/>
                <w:sz w:val="24"/>
                <w:szCs w:val="24"/>
              </w:rPr>
            </w:pPr>
            <w:r w:rsidRPr="00C13E4E">
              <w:rPr>
                <w:rFonts w:ascii="Arial" w:eastAsia="Times New Roman" w:hAnsi="Arial" w:cs="Arial"/>
                <w:b/>
                <w:bCs/>
                <w:color w:val="000000"/>
                <w:sz w:val="24"/>
                <w:szCs w:val="24"/>
              </w:rPr>
              <w:t>Net Density</w:t>
            </w:r>
            <w:r w:rsidR="005D5B83">
              <w:rPr>
                <w:rFonts w:ascii="Arial" w:eastAsia="Times New Roman" w:hAnsi="Arial" w:cs="Arial"/>
                <w:b/>
                <w:bCs/>
                <w:color w:val="000000"/>
                <w:sz w:val="24"/>
                <w:szCs w:val="24"/>
              </w:rPr>
              <w:br/>
            </w:r>
            <w:r w:rsidRPr="00C13E4E">
              <w:rPr>
                <w:rFonts w:ascii="Arial" w:eastAsia="Times New Roman" w:hAnsi="Arial" w:cs="Arial"/>
                <w:b/>
                <w:bCs/>
                <w:color w:val="000000"/>
                <w:sz w:val="24"/>
                <w:szCs w:val="24"/>
              </w:rPr>
              <w:t>(housing units per acre)</w:t>
            </w:r>
          </w:p>
        </w:tc>
        <w:tc>
          <w:tcPr>
            <w:tcW w:w="1926" w:type="dxa"/>
            <w:tcBorders>
              <w:top w:val="single" w:sz="8" w:space="0" w:color="auto"/>
              <w:left w:val="nil"/>
              <w:bottom w:val="single" w:sz="8" w:space="0" w:color="auto"/>
              <w:right w:val="single" w:sz="8" w:space="0" w:color="auto"/>
            </w:tcBorders>
            <w:shd w:val="clear" w:color="auto" w:fill="auto"/>
            <w:tcMar>
              <w:left w:w="14" w:type="dxa"/>
              <w:right w:w="14" w:type="dxa"/>
            </w:tcMar>
            <w:vAlign w:val="center"/>
          </w:tcPr>
          <w:p w14:paraId="321D98D2" w14:textId="77777777" w:rsidR="004452F4" w:rsidRPr="00C13E4E" w:rsidRDefault="004452F4" w:rsidP="00FF6D38">
            <w:pPr>
              <w:spacing w:after="0" w:line="240" w:lineRule="auto"/>
              <w:ind w:left="29"/>
              <w:jc w:val="center"/>
              <w:rPr>
                <w:rFonts w:ascii="Arial" w:eastAsia="Times New Roman" w:hAnsi="Arial" w:cs="Arial"/>
                <w:b/>
                <w:bCs/>
                <w:color w:val="000000"/>
                <w:sz w:val="24"/>
                <w:szCs w:val="24"/>
              </w:rPr>
            </w:pPr>
            <w:r w:rsidRPr="00C13E4E">
              <w:rPr>
                <w:rFonts w:ascii="Arial" w:eastAsia="Times New Roman" w:hAnsi="Arial" w:cs="Arial"/>
                <w:b/>
                <w:bCs/>
                <w:color w:val="000000"/>
                <w:sz w:val="24"/>
                <w:szCs w:val="24"/>
              </w:rPr>
              <w:t>Adjustment Factor</w:t>
            </w:r>
          </w:p>
        </w:tc>
      </w:tr>
      <w:tr w:rsidR="004452F4" w:rsidRPr="00A440FA" w14:paraId="00DDE6C4"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2465185C" w14:textId="5780E9C9" w:rsidR="004452F4" w:rsidRPr="00A605F8" w:rsidRDefault="00236833" w:rsidP="00FF6D38">
            <w:pPr>
              <w:spacing w:after="0" w:line="240" w:lineRule="auto"/>
              <w:ind w:left="29"/>
              <w:jc w:val="center"/>
              <w:rPr>
                <w:rFonts w:ascii="Arial" w:eastAsia="Times New Roman" w:hAnsi="Arial" w:cs="Arial"/>
                <w:color w:val="000000"/>
                <w:sz w:val="24"/>
                <w:szCs w:val="24"/>
              </w:rPr>
            </w:pPr>
            <w:r>
              <w:rPr>
                <w:rFonts w:ascii="Arial" w:eastAsia="Times New Roman" w:hAnsi="Arial" w:cs="Arial"/>
                <w:color w:val="000000"/>
                <w:sz w:val="24"/>
                <w:szCs w:val="24"/>
              </w:rPr>
              <w:t>Fewer</w:t>
            </w:r>
            <w:r w:rsidR="004452F4" w:rsidRPr="00A605F8">
              <w:rPr>
                <w:rFonts w:ascii="Arial" w:eastAsia="Times New Roman" w:hAnsi="Arial" w:cs="Arial"/>
                <w:color w:val="000000"/>
                <w:sz w:val="24"/>
                <w:szCs w:val="24"/>
              </w:rPr>
              <w:t xml:space="preserve"> than 30</w:t>
            </w: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556438A5"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w:t>
            </w:r>
          </w:p>
        </w:tc>
      </w:tr>
      <w:tr w:rsidR="004452F4" w:rsidRPr="00A440FA" w14:paraId="13962463"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5BEA91FE"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30 – 34.9</w:t>
            </w: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50EF9E3B"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1.04</w:t>
            </w:r>
          </w:p>
        </w:tc>
      </w:tr>
      <w:tr w:rsidR="004452F4" w:rsidRPr="00A440FA" w14:paraId="32273374"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01FEB379"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35 – 39.9</w:t>
            </w: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2337E3B4"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1.08</w:t>
            </w:r>
          </w:p>
        </w:tc>
      </w:tr>
      <w:tr w:rsidR="004452F4" w:rsidRPr="00A440FA" w14:paraId="4962858B"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24EDC96D"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40 – 44.9</w:t>
            </w: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51551DBC"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1.12</w:t>
            </w:r>
          </w:p>
        </w:tc>
      </w:tr>
      <w:tr w:rsidR="004452F4" w:rsidRPr="00A440FA" w14:paraId="3C9E4555"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63AA13F0"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45 – 49.9</w:t>
            </w: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0ECBD45A"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1.16</w:t>
            </w:r>
          </w:p>
        </w:tc>
      </w:tr>
      <w:tr w:rsidR="004452F4" w:rsidRPr="00A440FA" w14:paraId="218E5EE5"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1ED6900B"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50 – 54.9</w:t>
            </w: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2860B862" w14:textId="4CDAA468"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1.2</w:t>
            </w:r>
            <w:r w:rsidR="00FF6D38">
              <w:rPr>
                <w:rFonts w:ascii="Arial" w:eastAsia="Times New Roman" w:hAnsi="Arial" w:cs="Arial"/>
                <w:color w:val="000000"/>
                <w:sz w:val="24"/>
                <w:szCs w:val="24"/>
              </w:rPr>
              <w:t>0</w:t>
            </w:r>
          </w:p>
        </w:tc>
      </w:tr>
      <w:tr w:rsidR="004452F4" w:rsidRPr="00A440FA" w14:paraId="6615C3FC"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6DDB421E"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55 – 59.9</w:t>
            </w: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0F846B51"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1.24</w:t>
            </w:r>
          </w:p>
        </w:tc>
      </w:tr>
      <w:tr w:rsidR="004452F4" w:rsidRPr="00A440FA" w14:paraId="7826274E"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6C0C9846"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60 – 64.9</w:t>
            </w: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3A3AADB1"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1.28</w:t>
            </w:r>
          </w:p>
        </w:tc>
      </w:tr>
      <w:tr w:rsidR="004452F4" w:rsidRPr="00A440FA" w14:paraId="4349E90C"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6ABECA87"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65 – 69.9</w:t>
            </w: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346C8C2A"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1.32</w:t>
            </w:r>
          </w:p>
        </w:tc>
      </w:tr>
      <w:tr w:rsidR="004452F4" w:rsidRPr="00A440FA" w14:paraId="68653800"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057E3745"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70 – 74.9</w:t>
            </w: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561B1799"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1.36</w:t>
            </w:r>
          </w:p>
        </w:tc>
      </w:tr>
      <w:tr w:rsidR="004452F4" w:rsidRPr="00A440FA" w14:paraId="07E9821C"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0E2235AA"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75 – 79.9</w:t>
            </w: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5171702E"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1.40</w:t>
            </w:r>
          </w:p>
        </w:tc>
      </w:tr>
      <w:tr w:rsidR="004452F4" w:rsidRPr="00A440FA" w14:paraId="731F5146"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24312724"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80 – 89.9</w:t>
            </w: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0CB7680C"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1.44</w:t>
            </w:r>
          </w:p>
        </w:tc>
      </w:tr>
      <w:tr w:rsidR="004452F4" w:rsidRPr="00A440FA" w14:paraId="62DA4C54"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137DDE1F"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90 – 99.9</w:t>
            </w: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5EBF101F"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1.48</w:t>
            </w:r>
          </w:p>
        </w:tc>
      </w:tr>
      <w:tr w:rsidR="004452F4" w:rsidRPr="00A440FA" w14:paraId="42A37F9B" w14:textId="77777777" w:rsidTr="007831F9">
        <w:trPr>
          <w:trHeight w:val="270"/>
          <w:jc w:val="center"/>
        </w:trPr>
        <w:tc>
          <w:tcPr>
            <w:tcW w:w="3212" w:type="dxa"/>
            <w:tcBorders>
              <w:top w:val="nil"/>
              <w:left w:val="single" w:sz="8" w:space="0" w:color="auto"/>
              <w:bottom w:val="nil"/>
              <w:right w:val="single" w:sz="8" w:space="0" w:color="auto"/>
            </w:tcBorders>
            <w:shd w:val="clear" w:color="auto" w:fill="auto"/>
            <w:tcMar>
              <w:left w:w="14" w:type="dxa"/>
              <w:right w:w="14" w:type="dxa"/>
            </w:tcMar>
            <w:vAlign w:val="center"/>
          </w:tcPr>
          <w:p w14:paraId="6BAF0EE6"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100 and above</w:t>
            </w:r>
          </w:p>
        </w:tc>
        <w:tc>
          <w:tcPr>
            <w:tcW w:w="1926" w:type="dxa"/>
            <w:tcBorders>
              <w:top w:val="nil"/>
              <w:left w:val="nil"/>
              <w:bottom w:val="nil"/>
              <w:right w:val="single" w:sz="8" w:space="0" w:color="auto"/>
            </w:tcBorders>
            <w:shd w:val="clear" w:color="auto" w:fill="auto"/>
            <w:tcMar>
              <w:left w:w="14" w:type="dxa"/>
              <w:right w:w="14" w:type="dxa"/>
            </w:tcMar>
            <w:vAlign w:val="center"/>
          </w:tcPr>
          <w:p w14:paraId="35DB8C56" w14:textId="77777777" w:rsidR="004452F4" w:rsidRPr="00A605F8" w:rsidRDefault="004452F4" w:rsidP="00FF6D38">
            <w:pPr>
              <w:spacing w:after="0" w:line="240" w:lineRule="auto"/>
              <w:ind w:left="29"/>
              <w:jc w:val="center"/>
              <w:rPr>
                <w:rFonts w:ascii="Arial" w:eastAsia="Times New Roman" w:hAnsi="Arial" w:cs="Arial"/>
                <w:color w:val="000000"/>
                <w:sz w:val="24"/>
                <w:szCs w:val="24"/>
              </w:rPr>
            </w:pPr>
            <w:r w:rsidRPr="00A605F8">
              <w:rPr>
                <w:rFonts w:ascii="Arial" w:eastAsia="Times New Roman" w:hAnsi="Arial" w:cs="Arial"/>
                <w:color w:val="000000"/>
                <w:sz w:val="24"/>
                <w:szCs w:val="24"/>
              </w:rPr>
              <w:t>1.52</w:t>
            </w:r>
          </w:p>
        </w:tc>
      </w:tr>
      <w:tr w:rsidR="00D11D60" w:rsidRPr="00A440FA" w14:paraId="035467C4" w14:textId="77777777" w:rsidTr="007831F9">
        <w:trPr>
          <w:trHeight w:val="270"/>
          <w:jc w:val="center"/>
        </w:trPr>
        <w:tc>
          <w:tcPr>
            <w:tcW w:w="3212" w:type="dxa"/>
            <w:tcBorders>
              <w:top w:val="nil"/>
              <w:left w:val="single" w:sz="8" w:space="0" w:color="auto"/>
              <w:bottom w:val="single" w:sz="8" w:space="0" w:color="auto"/>
              <w:right w:val="single" w:sz="8" w:space="0" w:color="auto"/>
            </w:tcBorders>
            <w:shd w:val="clear" w:color="auto" w:fill="auto"/>
            <w:tcMar>
              <w:left w:w="14" w:type="dxa"/>
              <w:right w:w="14" w:type="dxa"/>
            </w:tcMar>
            <w:vAlign w:val="center"/>
          </w:tcPr>
          <w:p w14:paraId="4C294D99" w14:textId="77777777" w:rsidR="00D11D60" w:rsidRPr="00A605F8" w:rsidRDefault="00D11D60" w:rsidP="00D11D60">
            <w:pPr>
              <w:spacing w:after="0" w:line="240" w:lineRule="auto"/>
              <w:ind w:left="29"/>
              <w:rPr>
                <w:rFonts w:ascii="Arial" w:eastAsia="Times New Roman" w:hAnsi="Arial" w:cs="Arial"/>
                <w:color w:val="000000"/>
                <w:sz w:val="24"/>
                <w:szCs w:val="24"/>
              </w:rPr>
            </w:pPr>
          </w:p>
        </w:tc>
        <w:tc>
          <w:tcPr>
            <w:tcW w:w="1926" w:type="dxa"/>
            <w:tcBorders>
              <w:top w:val="nil"/>
              <w:left w:val="nil"/>
              <w:bottom w:val="single" w:sz="8" w:space="0" w:color="auto"/>
              <w:right w:val="single" w:sz="8" w:space="0" w:color="auto"/>
            </w:tcBorders>
            <w:shd w:val="clear" w:color="auto" w:fill="auto"/>
            <w:tcMar>
              <w:left w:w="14" w:type="dxa"/>
              <w:right w:w="14" w:type="dxa"/>
            </w:tcMar>
            <w:vAlign w:val="center"/>
          </w:tcPr>
          <w:p w14:paraId="6792BC73" w14:textId="77777777" w:rsidR="00D11D60" w:rsidRPr="00A605F8" w:rsidRDefault="00D11D60" w:rsidP="00FF6D38">
            <w:pPr>
              <w:spacing w:after="0" w:line="240" w:lineRule="auto"/>
              <w:ind w:left="29"/>
              <w:jc w:val="center"/>
              <w:rPr>
                <w:rFonts w:ascii="Arial" w:eastAsia="Times New Roman" w:hAnsi="Arial" w:cs="Arial"/>
                <w:color w:val="000000"/>
                <w:sz w:val="24"/>
                <w:szCs w:val="24"/>
              </w:rPr>
            </w:pPr>
          </w:p>
        </w:tc>
      </w:tr>
    </w:tbl>
    <w:p w14:paraId="5536FABF" w14:textId="1D675F2A" w:rsidR="00D010DB" w:rsidRPr="00FB3DE1" w:rsidRDefault="00024400" w:rsidP="00D2631D">
      <w:pPr>
        <w:pStyle w:val="Heading2"/>
        <w:numPr>
          <w:ilvl w:val="0"/>
          <w:numId w:val="1"/>
        </w:numPr>
        <w:tabs>
          <w:tab w:val="clear" w:pos="1260"/>
          <w:tab w:val="left" w:pos="1440"/>
        </w:tabs>
        <w:spacing w:before="240"/>
        <w:contextualSpacing w:val="0"/>
        <w:rPr>
          <w:rFonts w:cs="Times New Roman"/>
        </w:rPr>
      </w:pPr>
      <w:bookmarkStart w:id="124" w:name="_Toc47528499"/>
      <w:bookmarkStart w:id="125" w:name="_Toc71201545"/>
      <w:r w:rsidRPr="00024400">
        <w:t>Threshold</w:t>
      </w:r>
      <w:bookmarkEnd w:id="124"/>
      <w:bookmarkEnd w:id="125"/>
    </w:p>
    <w:p w14:paraId="2E922C30" w14:textId="506F2F7E" w:rsidR="006A6537" w:rsidRDefault="00D010DB" w:rsidP="00355462">
      <w:pPr>
        <w:spacing w:after="240" w:line="240" w:lineRule="auto"/>
        <w:ind w:left="720" w:right="-540"/>
        <w:rPr>
          <w:rFonts w:ascii="Arial" w:eastAsia="Calibri" w:hAnsi="Arial" w:cs="Times New Roman"/>
          <w:sz w:val="24"/>
        </w:rPr>
      </w:pPr>
      <w:r w:rsidRPr="00D010DB">
        <w:rPr>
          <w:rFonts w:ascii="Arial" w:eastAsia="Calibri" w:hAnsi="Arial" w:cs="Times New Roman"/>
          <w:sz w:val="24"/>
        </w:rPr>
        <w:t xml:space="preserve">In addition to meeting the requirements described </w:t>
      </w:r>
      <w:r w:rsidR="00741F36">
        <w:rPr>
          <w:rFonts w:ascii="Arial" w:eastAsia="Calibri" w:hAnsi="Arial" w:cs="Times New Roman"/>
          <w:sz w:val="24"/>
        </w:rPr>
        <w:t xml:space="preserve">herein and set forth in </w:t>
      </w:r>
      <w:r w:rsidR="006C615E">
        <w:rPr>
          <w:rFonts w:ascii="Arial" w:eastAsia="Calibri" w:hAnsi="Arial" w:cs="Times New Roman"/>
          <w:sz w:val="24"/>
        </w:rPr>
        <w:t>Section </w:t>
      </w:r>
      <w:r w:rsidR="00741F36">
        <w:rPr>
          <w:rFonts w:ascii="Arial" w:eastAsia="Calibri" w:hAnsi="Arial" w:cs="Times New Roman"/>
          <w:sz w:val="24"/>
        </w:rPr>
        <w:t>308</w:t>
      </w:r>
      <w:r w:rsidR="000B441B">
        <w:rPr>
          <w:rFonts w:ascii="Arial" w:eastAsia="Calibri" w:hAnsi="Arial" w:cs="Times New Roman"/>
          <w:sz w:val="24"/>
        </w:rPr>
        <w:t xml:space="preserve"> of the Guidelines</w:t>
      </w:r>
      <w:r w:rsidRPr="00D010DB">
        <w:rPr>
          <w:rFonts w:ascii="Arial" w:eastAsia="Calibri" w:hAnsi="Arial" w:cs="Times New Roman"/>
          <w:sz w:val="24"/>
        </w:rPr>
        <w:t xml:space="preserve">, </w:t>
      </w:r>
      <w:r w:rsidR="005002C7">
        <w:rPr>
          <w:rFonts w:ascii="Arial" w:eastAsia="Calibri" w:hAnsi="Arial" w:cs="Times New Roman"/>
          <w:sz w:val="24"/>
        </w:rPr>
        <w:t xml:space="preserve">Applicants </w:t>
      </w:r>
      <w:r w:rsidRPr="00D010DB">
        <w:rPr>
          <w:rFonts w:ascii="Arial" w:eastAsia="Calibri" w:hAnsi="Arial" w:cs="Times New Roman"/>
          <w:sz w:val="24"/>
        </w:rPr>
        <w:t xml:space="preserve">must meet the </w:t>
      </w:r>
      <w:r w:rsidR="00E34299">
        <w:rPr>
          <w:rFonts w:ascii="Arial" w:eastAsia="Calibri" w:hAnsi="Arial" w:cs="Times New Roman"/>
          <w:sz w:val="24"/>
        </w:rPr>
        <w:t>p</w:t>
      </w:r>
      <w:r w:rsidRPr="00D010DB">
        <w:rPr>
          <w:rFonts w:ascii="Arial" w:eastAsia="Calibri" w:hAnsi="Arial" w:cs="Times New Roman"/>
          <w:sz w:val="24"/>
        </w:rPr>
        <w:t xml:space="preserve">rogram threshold </w:t>
      </w:r>
      <w:r w:rsidR="00741F36">
        <w:rPr>
          <w:rFonts w:ascii="Arial" w:eastAsia="Calibri" w:hAnsi="Arial" w:cs="Times New Roman"/>
          <w:sz w:val="24"/>
        </w:rPr>
        <w:t xml:space="preserve">and eligibility </w:t>
      </w:r>
      <w:r w:rsidRPr="00D010DB">
        <w:rPr>
          <w:rFonts w:ascii="Arial" w:eastAsia="Calibri" w:hAnsi="Arial" w:cs="Times New Roman"/>
          <w:sz w:val="24"/>
        </w:rPr>
        <w:t>requirement</w:t>
      </w:r>
      <w:r w:rsidR="00236B00">
        <w:rPr>
          <w:rFonts w:ascii="Arial" w:eastAsia="Calibri" w:hAnsi="Arial" w:cs="Times New Roman"/>
          <w:sz w:val="24"/>
        </w:rPr>
        <w:t>s throughout the Guidelines and Application</w:t>
      </w:r>
      <w:r w:rsidR="00E34299">
        <w:rPr>
          <w:rFonts w:ascii="Arial" w:eastAsia="Calibri" w:hAnsi="Arial" w:cs="Times New Roman"/>
          <w:sz w:val="24"/>
        </w:rPr>
        <w:t>.</w:t>
      </w:r>
    </w:p>
    <w:p w14:paraId="4D65F6EE" w14:textId="6A094EFB" w:rsidR="0041485C" w:rsidRPr="001D15FD" w:rsidRDefault="00AE56D1" w:rsidP="00507F2E">
      <w:pPr>
        <w:spacing w:after="240" w:line="240" w:lineRule="auto"/>
        <w:ind w:left="720" w:right="-360"/>
        <w:rPr>
          <w:rFonts w:ascii="Arial" w:eastAsia="Calibri" w:hAnsi="Arial" w:cs="Times New Roman"/>
          <w:sz w:val="24"/>
        </w:rPr>
      </w:pPr>
      <w:r>
        <w:rPr>
          <w:rFonts w:ascii="Arial" w:eastAsia="Calibri" w:hAnsi="Arial" w:cs="Times New Roman"/>
          <w:sz w:val="24"/>
        </w:rPr>
        <w:t xml:space="preserve">Please Note:  </w:t>
      </w:r>
      <w:r w:rsidR="0041485C" w:rsidRPr="0041485C">
        <w:rPr>
          <w:rFonts w:ascii="Arial" w:eastAsia="Calibri" w:hAnsi="Arial" w:cs="Times New Roman"/>
          <w:sz w:val="24"/>
        </w:rPr>
        <w:t xml:space="preserve">Applicants seeking to </w:t>
      </w:r>
      <w:r w:rsidR="002E792B">
        <w:rPr>
          <w:rFonts w:ascii="Arial" w:eastAsia="Calibri" w:hAnsi="Arial" w:cs="Times New Roman"/>
          <w:sz w:val="24"/>
        </w:rPr>
        <w:t>substitute</w:t>
      </w:r>
      <w:r w:rsidR="0041485C" w:rsidRPr="0041485C">
        <w:rPr>
          <w:rFonts w:ascii="Arial" w:eastAsia="Calibri" w:hAnsi="Arial" w:cs="Times New Roman"/>
          <w:sz w:val="24"/>
        </w:rPr>
        <w:t xml:space="preserve"> previously awarded funds must forfeit their prior award, in writing, prior to the </w:t>
      </w:r>
      <w:r w:rsidR="00115144">
        <w:rPr>
          <w:rFonts w:ascii="Arial" w:eastAsia="Calibri" w:hAnsi="Arial" w:cs="Times New Roman"/>
          <w:sz w:val="24"/>
        </w:rPr>
        <w:t>Application</w:t>
      </w:r>
      <w:r w:rsidR="0041485C" w:rsidRPr="0041485C">
        <w:rPr>
          <w:rFonts w:ascii="Arial" w:eastAsia="Calibri" w:hAnsi="Arial" w:cs="Times New Roman"/>
          <w:sz w:val="24"/>
        </w:rPr>
        <w:t xml:space="preserve"> due date without assurance of receiving a new award, including funds awarded under any </w:t>
      </w:r>
      <w:r w:rsidR="004E15EE">
        <w:rPr>
          <w:rFonts w:ascii="Arial" w:eastAsia="Calibri" w:hAnsi="Arial" w:cs="Times New Roman"/>
          <w:sz w:val="24"/>
        </w:rPr>
        <w:t>HCD</w:t>
      </w:r>
      <w:r w:rsidR="0041485C" w:rsidRPr="0041485C">
        <w:rPr>
          <w:rFonts w:ascii="Arial" w:eastAsia="Calibri" w:hAnsi="Arial" w:cs="Times New Roman"/>
          <w:sz w:val="24"/>
        </w:rPr>
        <w:t xml:space="preserve"> program, or prior IIG award</w:t>
      </w:r>
      <w:r w:rsidR="0041485C">
        <w:rPr>
          <w:rFonts w:ascii="Arial" w:eastAsia="Calibri" w:hAnsi="Arial" w:cs="Times New Roman"/>
          <w:sz w:val="24"/>
        </w:rPr>
        <w:t>.</w:t>
      </w:r>
    </w:p>
    <w:p w14:paraId="2BFEABBB" w14:textId="0B90541D" w:rsidR="00F02B91" w:rsidRPr="00CB0ADD" w:rsidRDefault="00D010DB" w:rsidP="00D2631D">
      <w:pPr>
        <w:pStyle w:val="Heading2"/>
        <w:numPr>
          <w:ilvl w:val="0"/>
          <w:numId w:val="1"/>
        </w:numPr>
        <w:contextualSpacing w:val="0"/>
        <w:rPr>
          <w:rFonts w:cs="Times New Roman"/>
        </w:rPr>
      </w:pPr>
      <w:bookmarkStart w:id="126" w:name="_Toc47528500"/>
      <w:bookmarkStart w:id="127" w:name="_Hlk54091947"/>
      <w:bookmarkStart w:id="128" w:name="_Toc71201546"/>
      <w:r>
        <w:t xml:space="preserve">Selection </w:t>
      </w:r>
      <w:r w:rsidR="00E63697">
        <w:t>c</w:t>
      </w:r>
      <w:r>
        <w:t>riteria (</w:t>
      </w:r>
      <w:r w:rsidR="00927F25">
        <w:t>r</w:t>
      </w:r>
      <w:r w:rsidR="00024400" w:rsidRPr="00024400">
        <w:t xml:space="preserve">ating and </w:t>
      </w:r>
      <w:r w:rsidR="00927F25">
        <w:t>r</w:t>
      </w:r>
      <w:r w:rsidR="00024400" w:rsidRPr="00024400">
        <w:t>anking</w:t>
      </w:r>
      <w:bookmarkEnd w:id="126"/>
      <w:r>
        <w:t>)</w:t>
      </w:r>
      <w:bookmarkEnd w:id="127"/>
      <w:bookmarkEnd w:id="128"/>
    </w:p>
    <w:p w14:paraId="7255F9DB" w14:textId="204B1F39" w:rsidR="00FF6D38" w:rsidRDefault="0094066A" w:rsidP="001C6E69">
      <w:pPr>
        <w:pStyle w:val="Default"/>
        <w:spacing w:after="240"/>
        <w:ind w:left="720"/>
        <w:rPr>
          <w:color w:val="000000" w:themeColor="text1"/>
        </w:rPr>
      </w:pPr>
      <w:bookmarkStart w:id="129" w:name="_Hlk51929525"/>
      <w:r>
        <w:rPr>
          <w:color w:val="000000" w:themeColor="text1"/>
        </w:rPr>
        <w:t>QIP</w:t>
      </w:r>
      <w:r w:rsidR="00B97229" w:rsidRPr="00A440FA">
        <w:rPr>
          <w:color w:val="000000" w:themeColor="text1"/>
        </w:rPr>
        <w:t xml:space="preserve"> </w:t>
      </w:r>
      <w:r w:rsidR="00115144">
        <w:rPr>
          <w:color w:val="000000" w:themeColor="text1"/>
        </w:rPr>
        <w:t>Application</w:t>
      </w:r>
      <w:r w:rsidR="00B97229" w:rsidRPr="00A440FA">
        <w:rPr>
          <w:color w:val="000000" w:themeColor="text1"/>
        </w:rPr>
        <w:t xml:space="preserve">s shall be rated based on the criteria set forth in </w:t>
      </w:r>
      <w:r w:rsidR="00B97229" w:rsidRPr="00EE6113">
        <w:rPr>
          <w:color w:val="000000" w:themeColor="text1"/>
        </w:rPr>
        <w:t>Section 309</w:t>
      </w:r>
      <w:bookmarkEnd w:id="129"/>
      <w:r w:rsidR="00AE56D1">
        <w:rPr>
          <w:color w:val="000000" w:themeColor="text1"/>
        </w:rPr>
        <w:t xml:space="preserve"> of the Guidelines</w:t>
      </w:r>
      <w:r w:rsidR="00B97229" w:rsidRPr="00A440FA">
        <w:rPr>
          <w:color w:val="000000" w:themeColor="text1"/>
        </w:rPr>
        <w:t>.</w:t>
      </w:r>
      <w:r w:rsidR="00E63697">
        <w:rPr>
          <w:color w:val="000000" w:themeColor="text1"/>
        </w:rPr>
        <w:t xml:space="preserve"> </w:t>
      </w:r>
    </w:p>
    <w:p w14:paraId="4CA453A6" w14:textId="5CCC9110" w:rsidR="00B97229" w:rsidRDefault="00EE0D9A" w:rsidP="001C6E69">
      <w:pPr>
        <w:pStyle w:val="Default"/>
        <w:spacing w:after="240"/>
        <w:ind w:left="720"/>
        <w:rPr>
          <w:color w:val="000000" w:themeColor="text1"/>
        </w:rPr>
      </w:pPr>
      <w:r>
        <w:rPr>
          <w:color w:val="000000" w:themeColor="text1"/>
        </w:rPr>
        <w:t>QIA</w:t>
      </w:r>
      <w:r w:rsidR="00EE6113" w:rsidRPr="00EE6113">
        <w:rPr>
          <w:color w:val="000000" w:themeColor="text1"/>
        </w:rPr>
        <w:t xml:space="preserve"> </w:t>
      </w:r>
      <w:r w:rsidR="00115144">
        <w:rPr>
          <w:color w:val="000000" w:themeColor="text1"/>
        </w:rPr>
        <w:t>Application</w:t>
      </w:r>
      <w:r w:rsidR="00EE6113" w:rsidRPr="00EE6113">
        <w:rPr>
          <w:color w:val="000000" w:themeColor="text1"/>
        </w:rPr>
        <w:t>s shall be rated based on the criteria set forth in Section 3</w:t>
      </w:r>
      <w:r w:rsidR="00EE6113">
        <w:rPr>
          <w:color w:val="000000" w:themeColor="text1"/>
        </w:rPr>
        <w:t>10</w:t>
      </w:r>
      <w:r w:rsidR="00AE56D1">
        <w:rPr>
          <w:color w:val="000000" w:themeColor="text1"/>
        </w:rPr>
        <w:t xml:space="preserve"> of the Guidelines</w:t>
      </w:r>
      <w:r w:rsidR="00E34299">
        <w:rPr>
          <w:color w:val="000000" w:themeColor="text1"/>
        </w:rPr>
        <w:t>.</w:t>
      </w:r>
    </w:p>
    <w:p w14:paraId="47DA879E" w14:textId="166401CA" w:rsidR="00A2411A" w:rsidRPr="00A2411A" w:rsidRDefault="00A2411A" w:rsidP="00A2411A">
      <w:pPr>
        <w:spacing w:after="240" w:line="240" w:lineRule="auto"/>
        <w:ind w:left="720"/>
        <w:rPr>
          <w:rFonts w:ascii="Arial" w:hAnsi="Arial" w:cs="Arial"/>
          <w:color w:val="000000" w:themeColor="text1"/>
          <w:sz w:val="24"/>
          <w:szCs w:val="24"/>
        </w:rPr>
      </w:pPr>
      <w:r w:rsidRPr="00A2411A">
        <w:rPr>
          <w:rFonts w:ascii="Arial" w:hAnsi="Arial" w:cs="Arial"/>
          <w:color w:val="000000" w:themeColor="text1"/>
          <w:sz w:val="24"/>
          <w:szCs w:val="24"/>
        </w:rPr>
        <w:t xml:space="preserve">In the event two or more </w:t>
      </w:r>
      <w:r w:rsidR="00115144">
        <w:rPr>
          <w:rFonts w:ascii="Arial" w:hAnsi="Arial" w:cs="Arial"/>
          <w:color w:val="000000" w:themeColor="text1"/>
          <w:sz w:val="24"/>
          <w:szCs w:val="24"/>
        </w:rPr>
        <w:t>Application</w:t>
      </w:r>
      <w:r w:rsidRPr="00A2411A">
        <w:rPr>
          <w:rFonts w:ascii="Arial" w:hAnsi="Arial" w:cs="Arial"/>
          <w:color w:val="000000" w:themeColor="text1"/>
          <w:sz w:val="24"/>
          <w:szCs w:val="24"/>
        </w:rPr>
        <w:t>s have the same score, the following tie-breaker points will be awarded, in the following order of priority, until there is no longer a tie:</w:t>
      </w:r>
    </w:p>
    <w:p w14:paraId="45FB46D3" w14:textId="50AD6417" w:rsidR="00AE56D1" w:rsidRPr="00B936AB" w:rsidRDefault="00A2411A" w:rsidP="00B936AB">
      <w:pPr>
        <w:pStyle w:val="ListParagraph"/>
        <w:numPr>
          <w:ilvl w:val="0"/>
          <w:numId w:val="20"/>
        </w:numPr>
        <w:spacing w:after="240" w:line="240" w:lineRule="auto"/>
        <w:ind w:left="1080" w:right="-187"/>
        <w:contextualSpacing w:val="0"/>
        <w:rPr>
          <w:rFonts w:cs="Arial"/>
          <w:color w:val="000000" w:themeColor="text1"/>
          <w:szCs w:val="24"/>
        </w:rPr>
      </w:pPr>
      <w:r w:rsidRPr="00AE56D1">
        <w:rPr>
          <w:rFonts w:cs="Arial"/>
          <w:color w:val="000000" w:themeColor="text1"/>
          <w:szCs w:val="24"/>
        </w:rPr>
        <w:t xml:space="preserve">Ten </w:t>
      </w:r>
      <w:r w:rsidR="006A00EF" w:rsidRPr="00AE56D1">
        <w:rPr>
          <w:rFonts w:cs="Arial"/>
          <w:color w:val="000000" w:themeColor="text1"/>
          <w:szCs w:val="24"/>
        </w:rPr>
        <w:t>tie-breaker</w:t>
      </w:r>
      <w:r w:rsidRPr="00AE56D1">
        <w:rPr>
          <w:rFonts w:cs="Arial"/>
          <w:color w:val="000000" w:themeColor="text1"/>
          <w:szCs w:val="24"/>
        </w:rPr>
        <w:t xml:space="preserve"> points will be awarded to the </w:t>
      </w:r>
      <w:r w:rsidR="0094066A" w:rsidRPr="00AE56D1">
        <w:rPr>
          <w:rFonts w:cs="Arial"/>
          <w:color w:val="000000" w:themeColor="text1"/>
          <w:szCs w:val="24"/>
        </w:rPr>
        <w:t>QIP</w:t>
      </w:r>
      <w:r w:rsidRPr="00AE56D1">
        <w:rPr>
          <w:rFonts w:cs="Arial"/>
          <w:color w:val="000000" w:themeColor="text1"/>
          <w:szCs w:val="24"/>
        </w:rPr>
        <w:t xml:space="preserve"> or </w:t>
      </w:r>
      <w:r w:rsidR="00D54E72" w:rsidRPr="00AE56D1">
        <w:rPr>
          <w:rFonts w:cs="Arial"/>
          <w:color w:val="000000" w:themeColor="text1"/>
          <w:szCs w:val="24"/>
        </w:rPr>
        <w:t>QIA</w:t>
      </w:r>
      <w:r w:rsidRPr="00AE56D1">
        <w:rPr>
          <w:rFonts w:cs="Arial"/>
          <w:color w:val="000000" w:themeColor="text1"/>
          <w:szCs w:val="24"/>
        </w:rPr>
        <w:t xml:space="preserve"> having the lowest ratio between the requested grant amount to the total allowable maximum grant amount in accordance with the maximum calculated </w:t>
      </w:r>
      <w:r w:rsidR="00904165" w:rsidRPr="00AE56D1">
        <w:rPr>
          <w:rFonts w:cs="Arial"/>
          <w:color w:val="000000" w:themeColor="text1"/>
          <w:szCs w:val="24"/>
        </w:rPr>
        <w:t xml:space="preserve">grant </w:t>
      </w:r>
      <w:r w:rsidR="00167BCD" w:rsidRPr="00AE56D1">
        <w:rPr>
          <w:rFonts w:cs="Arial"/>
          <w:color w:val="000000" w:themeColor="text1"/>
          <w:szCs w:val="24"/>
        </w:rPr>
        <w:t xml:space="preserve">amount </w:t>
      </w:r>
      <w:r w:rsidRPr="00AE56D1">
        <w:rPr>
          <w:rFonts w:cs="Arial"/>
          <w:color w:val="000000" w:themeColor="text1"/>
          <w:szCs w:val="24"/>
        </w:rPr>
        <w:t xml:space="preserve">through the respective program Guidelines. All such ratios will be rounded to the nearest second decimal </w:t>
      </w:r>
      <w:r w:rsidR="001C42E4" w:rsidRPr="00AE56D1">
        <w:rPr>
          <w:rFonts w:cs="Arial"/>
          <w:color w:val="000000" w:themeColor="text1"/>
          <w:szCs w:val="24"/>
        </w:rPr>
        <w:t>place</w:t>
      </w:r>
      <w:r w:rsidR="0057604F" w:rsidRPr="00AE56D1">
        <w:rPr>
          <w:rFonts w:cs="Arial"/>
          <w:color w:val="000000" w:themeColor="text1"/>
          <w:szCs w:val="24"/>
        </w:rPr>
        <w:t>.</w:t>
      </w:r>
      <w:r w:rsidR="00F47446" w:rsidRPr="00AE56D1">
        <w:rPr>
          <w:rFonts w:cs="Arial"/>
          <w:color w:val="000000" w:themeColor="text1"/>
          <w:szCs w:val="24"/>
        </w:rPr>
        <w:t xml:space="preserve"> </w:t>
      </w:r>
    </w:p>
    <w:p w14:paraId="4976EC5F" w14:textId="0ABB1402" w:rsidR="00A2411A" w:rsidRPr="00AE56D1" w:rsidRDefault="00A2411A" w:rsidP="00D2631D">
      <w:pPr>
        <w:pStyle w:val="ListParagraph"/>
        <w:numPr>
          <w:ilvl w:val="0"/>
          <w:numId w:val="20"/>
        </w:numPr>
        <w:spacing w:after="240" w:line="240" w:lineRule="auto"/>
        <w:ind w:left="1080" w:right="-180"/>
        <w:rPr>
          <w:rFonts w:cs="Arial"/>
          <w:color w:val="000000" w:themeColor="text1"/>
          <w:szCs w:val="24"/>
        </w:rPr>
      </w:pPr>
      <w:r w:rsidRPr="00AE56D1">
        <w:rPr>
          <w:rFonts w:cs="Arial"/>
          <w:color w:val="000000" w:themeColor="text1"/>
          <w:szCs w:val="24"/>
        </w:rPr>
        <w:t xml:space="preserve">An additional </w:t>
      </w:r>
      <w:r w:rsidR="000872B9" w:rsidRPr="00AE56D1">
        <w:rPr>
          <w:rFonts w:cs="Arial"/>
          <w:color w:val="000000" w:themeColor="text1"/>
          <w:szCs w:val="24"/>
        </w:rPr>
        <w:t>three</w:t>
      </w:r>
      <w:r w:rsidRPr="00AE56D1">
        <w:rPr>
          <w:rFonts w:cs="Arial"/>
          <w:color w:val="000000" w:themeColor="text1"/>
          <w:szCs w:val="24"/>
        </w:rPr>
        <w:t xml:space="preserve"> </w:t>
      </w:r>
      <w:r w:rsidR="006A00EF" w:rsidRPr="00AE56D1">
        <w:rPr>
          <w:rFonts w:cs="Arial"/>
          <w:color w:val="000000" w:themeColor="text1"/>
          <w:szCs w:val="24"/>
        </w:rPr>
        <w:t>tie-breaker</w:t>
      </w:r>
      <w:r w:rsidRPr="00AE56D1">
        <w:rPr>
          <w:rFonts w:cs="Arial"/>
          <w:color w:val="000000" w:themeColor="text1"/>
          <w:szCs w:val="24"/>
        </w:rPr>
        <w:t xml:space="preserve"> points will be awarded to the </w:t>
      </w:r>
      <w:r w:rsidR="0094066A" w:rsidRPr="00AE56D1">
        <w:rPr>
          <w:rFonts w:cs="Arial"/>
          <w:color w:val="000000" w:themeColor="text1"/>
          <w:szCs w:val="24"/>
        </w:rPr>
        <w:t>QIP</w:t>
      </w:r>
      <w:r w:rsidRPr="00AE56D1">
        <w:rPr>
          <w:rFonts w:cs="Arial"/>
          <w:color w:val="000000" w:themeColor="text1"/>
          <w:szCs w:val="24"/>
        </w:rPr>
        <w:t xml:space="preserve"> or </w:t>
      </w:r>
      <w:r w:rsidR="00D54E72" w:rsidRPr="00AE56D1">
        <w:rPr>
          <w:rFonts w:cs="Arial"/>
          <w:color w:val="000000" w:themeColor="text1"/>
          <w:szCs w:val="24"/>
        </w:rPr>
        <w:t>QIA</w:t>
      </w:r>
      <w:r w:rsidRPr="00AE56D1">
        <w:rPr>
          <w:rFonts w:cs="Arial"/>
          <w:color w:val="000000" w:themeColor="text1"/>
          <w:szCs w:val="24"/>
        </w:rPr>
        <w:t xml:space="preserve"> for each previously awarded </w:t>
      </w:r>
      <w:r w:rsidR="009721B1" w:rsidRPr="00AE56D1">
        <w:rPr>
          <w:rFonts w:cs="Arial"/>
          <w:color w:val="000000" w:themeColor="text1"/>
          <w:szCs w:val="24"/>
        </w:rPr>
        <w:t>QIP</w:t>
      </w:r>
      <w:r w:rsidRPr="00AE56D1">
        <w:rPr>
          <w:rFonts w:cs="Arial"/>
          <w:color w:val="000000" w:themeColor="text1"/>
          <w:szCs w:val="24"/>
        </w:rPr>
        <w:t xml:space="preserve"> developed by the Eligible Applicant that has received a certificate of occupancy by the deadline for submittal of </w:t>
      </w:r>
      <w:r w:rsidR="00115144" w:rsidRPr="00AE56D1">
        <w:rPr>
          <w:rFonts w:cs="Arial"/>
          <w:color w:val="000000" w:themeColor="text1"/>
          <w:szCs w:val="24"/>
        </w:rPr>
        <w:t>Application</w:t>
      </w:r>
      <w:r w:rsidRPr="00AE56D1">
        <w:rPr>
          <w:rFonts w:cs="Arial"/>
          <w:color w:val="000000" w:themeColor="text1"/>
          <w:szCs w:val="24"/>
        </w:rPr>
        <w:t>s set forth in this NOFA.</w:t>
      </w:r>
    </w:p>
    <w:p w14:paraId="43E3F7E0" w14:textId="77777777" w:rsidR="00AE56D1" w:rsidRDefault="00F869DA" w:rsidP="00FB7C69">
      <w:pPr>
        <w:pStyle w:val="Default"/>
        <w:spacing w:after="240"/>
        <w:ind w:left="720" w:right="-180"/>
        <w:rPr>
          <w:color w:val="000000" w:themeColor="text1"/>
        </w:rPr>
      </w:pPr>
      <w:r w:rsidRPr="007F6595">
        <w:rPr>
          <w:color w:val="000000" w:themeColor="text1"/>
        </w:rPr>
        <w:t>T</w:t>
      </w:r>
      <w:r w:rsidR="00B97229" w:rsidRPr="007F6595">
        <w:rPr>
          <w:color w:val="000000" w:themeColor="text1"/>
        </w:rPr>
        <w:t xml:space="preserve">o be considered for funding, project </w:t>
      </w:r>
      <w:r w:rsidR="00115144" w:rsidRPr="007F6595">
        <w:rPr>
          <w:color w:val="000000" w:themeColor="text1"/>
        </w:rPr>
        <w:t>Application</w:t>
      </w:r>
      <w:r w:rsidR="00B97229" w:rsidRPr="007F6595">
        <w:rPr>
          <w:color w:val="000000" w:themeColor="text1"/>
        </w:rPr>
        <w:t>s must receive a</w:t>
      </w:r>
      <w:r w:rsidRPr="007F6595">
        <w:rPr>
          <w:color w:val="000000" w:themeColor="text1"/>
        </w:rPr>
        <w:t xml:space="preserve"> </w:t>
      </w:r>
      <w:r w:rsidR="00B97229" w:rsidRPr="007F6595">
        <w:rPr>
          <w:b/>
          <w:bCs/>
          <w:color w:val="000000" w:themeColor="text1"/>
        </w:rPr>
        <w:t>minimum score of 210</w:t>
      </w:r>
      <w:r w:rsidR="00B97229" w:rsidRPr="007F6595">
        <w:rPr>
          <w:color w:val="000000" w:themeColor="text1"/>
        </w:rPr>
        <w:t xml:space="preserve">, excluding </w:t>
      </w:r>
      <w:r w:rsidR="00D25288" w:rsidRPr="007F6595">
        <w:rPr>
          <w:color w:val="000000" w:themeColor="text1"/>
        </w:rPr>
        <w:t>tie</w:t>
      </w:r>
      <w:r w:rsidR="00FF6D38" w:rsidRPr="007F6595">
        <w:rPr>
          <w:color w:val="000000" w:themeColor="text1"/>
        </w:rPr>
        <w:t>-</w:t>
      </w:r>
      <w:r w:rsidR="00D25288" w:rsidRPr="007F6595">
        <w:rPr>
          <w:color w:val="000000" w:themeColor="text1"/>
        </w:rPr>
        <w:t>breaker</w:t>
      </w:r>
      <w:r w:rsidR="00B97229" w:rsidRPr="007F6595">
        <w:rPr>
          <w:color w:val="000000" w:themeColor="text1"/>
        </w:rPr>
        <w:t xml:space="preserve"> points</w:t>
      </w:r>
      <w:r w:rsidR="00B97229" w:rsidRPr="00A440FA">
        <w:rPr>
          <w:color w:val="000000" w:themeColor="text1"/>
        </w:rPr>
        <w:t xml:space="preserve">. </w:t>
      </w:r>
    </w:p>
    <w:p w14:paraId="2CE6227C" w14:textId="53D8EC09" w:rsidR="00B97229" w:rsidRDefault="00B97229" w:rsidP="00FB7C69">
      <w:pPr>
        <w:pStyle w:val="Default"/>
        <w:spacing w:after="240"/>
        <w:ind w:left="720" w:right="-180"/>
        <w:rPr>
          <w:color w:val="000000" w:themeColor="text1"/>
        </w:rPr>
      </w:pPr>
      <w:r w:rsidRPr="00A440FA">
        <w:rPr>
          <w:color w:val="000000" w:themeColor="text1"/>
        </w:rPr>
        <w:t xml:space="preserve">Applications must </w:t>
      </w:r>
      <w:r w:rsidR="00250423">
        <w:rPr>
          <w:color w:val="000000" w:themeColor="text1"/>
        </w:rPr>
        <w:t>include</w:t>
      </w:r>
      <w:r w:rsidRPr="00A440FA">
        <w:rPr>
          <w:color w:val="000000" w:themeColor="text1"/>
        </w:rPr>
        <w:t xml:space="preserve"> a completed</w:t>
      </w:r>
      <w:r w:rsidR="00EE6113">
        <w:rPr>
          <w:color w:val="000000" w:themeColor="text1"/>
        </w:rPr>
        <w:t xml:space="preserve"> </w:t>
      </w:r>
      <w:r w:rsidR="00EE6113" w:rsidRPr="00EE6113">
        <w:rPr>
          <w:color w:val="000000" w:themeColor="text1"/>
        </w:rPr>
        <w:t>I</w:t>
      </w:r>
      <w:r w:rsidR="00EE6113">
        <w:rPr>
          <w:color w:val="000000" w:themeColor="text1"/>
        </w:rPr>
        <w:t>I</w:t>
      </w:r>
      <w:r w:rsidR="00EE6113" w:rsidRPr="00EE6113">
        <w:rPr>
          <w:color w:val="000000" w:themeColor="text1"/>
        </w:rPr>
        <w:t xml:space="preserve">G </w:t>
      </w:r>
      <w:r w:rsidR="00744CF0">
        <w:rPr>
          <w:color w:val="000000" w:themeColor="text1"/>
        </w:rPr>
        <w:t>s</w:t>
      </w:r>
      <w:r w:rsidR="00EE6113" w:rsidRPr="00EE6113">
        <w:rPr>
          <w:color w:val="000000" w:themeColor="text1"/>
        </w:rPr>
        <w:t>elf-</w:t>
      </w:r>
      <w:r w:rsidR="00744CF0">
        <w:rPr>
          <w:color w:val="000000" w:themeColor="text1"/>
        </w:rPr>
        <w:t>s</w:t>
      </w:r>
      <w:r w:rsidR="00744CF0" w:rsidRPr="00EE6113">
        <w:rPr>
          <w:color w:val="000000" w:themeColor="text1"/>
        </w:rPr>
        <w:t xml:space="preserve">coring </w:t>
      </w:r>
      <w:r w:rsidR="00744CF0">
        <w:rPr>
          <w:color w:val="000000" w:themeColor="text1"/>
        </w:rPr>
        <w:t>w</w:t>
      </w:r>
      <w:r w:rsidR="00744CF0" w:rsidRPr="00EE6113">
        <w:rPr>
          <w:color w:val="000000" w:themeColor="text1"/>
        </w:rPr>
        <w:t xml:space="preserve">orksheet </w:t>
      </w:r>
      <w:r w:rsidR="00EE6113" w:rsidRPr="00EE6113">
        <w:rPr>
          <w:color w:val="000000" w:themeColor="text1"/>
        </w:rPr>
        <w:t xml:space="preserve">along with documentation acceptable to </w:t>
      </w:r>
      <w:r w:rsidR="00027DFB">
        <w:rPr>
          <w:color w:val="000000" w:themeColor="text1"/>
        </w:rPr>
        <w:t>HCD</w:t>
      </w:r>
      <w:r w:rsidR="00EE6113" w:rsidRPr="00EE6113">
        <w:rPr>
          <w:color w:val="000000" w:themeColor="text1"/>
        </w:rPr>
        <w:t xml:space="preserve"> that adequately supports the </w:t>
      </w:r>
      <w:r w:rsidR="00744CF0">
        <w:rPr>
          <w:color w:val="000000" w:themeColor="text1"/>
        </w:rPr>
        <w:t>s</w:t>
      </w:r>
      <w:r w:rsidR="00EE6113" w:rsidRPr="00EE6113">
        <w:rPr>
          <w:color w:val="000000" w:themeColor="text1"/>
        </w:rPr>
        <w:t>elf-</w:t>
      </w:r>
      <w:r w:rsidR="00744CF0">
        <w:rPr>
          <w:color w:val="000000" w:themeColor="text1"/>
        </w:rPr>
        <w:t>s</w:t>
      </w:r>
      <w:r w:rsidR="00EE6113" w:rsidRPr="00EE6113">
        <w:rPr>
          <w:color w:val="000000" w:themeColor="text1"/>
        </w:rPr>
        <w:t xml:space="preserve">core provided. Applications that do not include a </w:t>
      </w:r>
      <w:r w:rsidR="00250423">
        <w:rPr>
          <w:color w:val="000000" w:themeColor="text1"/>
        </w:rPr>
        <w:t xml:space="preserve">completed </w:t>
      </w:r>
      <w:r w:rsidR="00744CF0">
        <w:rPr>
          <w:color w:val="000000" w:themeColor="text1"/>
        </w:rPr>
        <w:t>s</w:t>
      </w:r>
      <w:r w:rsidR="00EE6113" w:rsidRPr="00EE6113">
        <w:rPr>
          <w:color w:val="000000" w:themeColor="text1"/>
        </w:rPr>
        <w:t>elf-</w:t>
      </w:r>
      <w:r w:rsidR="00744CF0">
        <w:rPr>
          <w:color w:val="000000" w:themeColor="text1"/>
        </w:rPr>
        <w:t>s</w:t>
      </w:r>
      <w:r w:rsidR="00EE6113" w:rsidRPr="00EE6113">
        <w:rPr>
          <w:color w:val="000000" w:themeColor="text1"/>
        </w:rPr>
        <w:t xml:space="preserve">coring </w:t>
      </w:r>
      <w:r w:rsidR="00744CF0">
        <w:rPr>
          <w:color w:val="000000" w:themeColor="text1"/>
        </w:rPr>
        <w:t>w</w:t>
      </w:r>
      <w:r w:rsidR="00EE6113" w:rsidRPr="00EE6113">
        <w:rPr>
          <w:color w:val="000000" w:themeColor="text1"/>
        </w:rPr>
        <w:t xml:space="preserve">orksheet will not be considered for funding. No additional information may be added to an </w:t>
      </w:r>
      <w:r w:rsidR="00115144">
        <w:rPr>
          <w:color w:val="000000" w:themeColor="text1"/>
        </w:rPr>
        <w:t>Application</w:t>
      </w:r>
      <w:r w:rsidR="00EE6113" w:rsidRPr="00EE6113">
        <w:rPr>
          <w:color w:val="000000" w:themeColor="text1"/>
        </w:rPr>
        <w:t xml:space="preserve"> after it has been submitted</w:t>
      </w:r>
      <w:r w:rsidR="00A9351E">
        <w:rPr>
          <w:color w:val="000000" w:themeColor="text1"/>
        </w:rPr>
        <w:t xml:space="preserve"> (except where expressly allowed in the </w:t>
      </w:r>
      <w:r w:rsidR="00732849">
        <w:rPr>
          <w:color w:val="000000" w:themeColor="text1"/>
        </w:rPr>
        <w:t>Guidelines</w:t>
      </w:r>
      <w:r w:rsidR="00A9351E">
        <w:rPr>
          <w:color w:val="000000" w:themeColor="text1"/>
        </w:rPr>
        <w:t>)</w:t>
      </w:r>
      <w:r w:rsidR="00EE6113" w:rsidRPr="00EE6113">
        <w:rPr>
          <w:color w:val="000000" w:themeColor="text1"/>
        </w:rPr>
        <w:t>.</w:t>
      </w:r>
    </w:p>
    <w:p w14:paraId="5EEE1918" w14:textId="2FF14819" w:rsidR="00775207" w:rsidRDefault="009155C5" w:rsidP="001C6E69">
      <w:pPr>
        <w:pStyle w:val="Default"/>
        <w:spacing w:after="240"/>
        <w:ind w:left="720"/>
        <w:rPr>
          <w:color w:val="000000" w:themeColor="text1"/>
        </w:rPr>
      </w:pPr>
      <w:r w:rsidRPr="009155C5">
        <w:rPr>
          <w:color w:val="000000" w:themeColor="text1"/>
        </w:rPr>
        <w:t xml:space="preserve">IIG's enabling statute requires </w:t>
      </w:r>
      <w:r w:rsidR="00FE5066">
        <w:rPr>
          <w:color w:val="000000" w:themeColor="text1"/>
        </w:rPr>
        <w:t>HCD</w:t>
      </w:r>
      <w:r w:rsidR="00DB570E">
        <w:rPr>
          <w:color w:val="000000" w:themeColor="text1"/>
        </w:rPr>
        <w:t xml:space="preserve"> </w:t>
      </w:r>
      <w:r w:rsidRPr="009155C5">
        <w:rPr>
          <w:color w:val="000000" w:themeColor="text1"/>
        </w:rPr>
        <w:t xml:space="preserve">to "ensure a reasonable geographic distribution of funds" (HSC </w:t>
      </w:r>
      <w:r w:rsidR="00A9351E">
        <w:rPr>
          <w:color w:val="000000" w:themeColor="text1"/>
        </w:rPr>
        <w:t>s</w:t>
      </w:r>
      <w:r w:rsidRPr="009155C5">
        <w:rPr>
          <w:color w:val="000000" w:themeColor="text1"/>
        </w:rPr>
        <w:t xml:space="preserve">ection 53545.13). To the extent possible, </w:t>
      </w:r>
      <w:r w:rsidR="00025FB8">
        <w:rPr>
          <w:color w:val="000000" w:themeColor="text1"/>
        </w:rPr>
        <w:t xml:space="preserve">the </w:t>
      </w:r>
      <w:r w:rsidR="00A40B06">
        <w:rPr>
          <w:color w:val="000000" w:themeColor="text1"/>
        </w:rPr>
        <w:t>highest-ranking</w:t>
      </w:r>
      <w:r w:rsidR="00025FB8">
        <w:rPr>
          <w:color w:val="000000" w:themeColor="text1"/>
        </w:rPr>
        <w:t xml:space="preserve"> projects will be selected for award from each of the following</w:t>
      </w:r>
      <w:r w:rsidR="00A40B06">
        <w:rPr>
          <w:color w:val="000000" w:themeColor="text1"/>
        </w:rPr>
        <w:t xml:space="preserve"> target</w:t>
      </w:r>
      <w:r w:rsidR="00BF3DA0">
        <w:rPr>
          <w:color w:val="000000" w:themeColor="text1"/>
        </w:rPr>
        <w:t>s:</w:t>
      </w:r>
    </w:p>
    <w:p w14:paraId="47D682B5" w14:textId="68617D3A" w:rsidR="00632728" w:rsidRPr="00632728" w:rsidRDefault="00B97229" w:rsidP="00D2631D">
      <w:pPr>
        <w:pStyle w:val="Default"/>
        <w:numPr>
          <w:ilvl w:val="0"/>
          <w:numId w:val="12"/>
        </w:numPr>
        <w:spacing w:after="240"/>
        <w:ind w:left="1080"/>
        <w:rPr>
          <w:color w:val="000000" w:themeColor="text1"/>
          <w:sz w:val="16"/>
          <w:szCs w:val="16"/>
        </w:rPr>
      </w:pPr>
      <w:r w:rsidRPr="2DCAF3F4">
        <w:rPr>
          <w:color w:val="000000" w:themeColor="text1"/>
        </w:rPr>
        <w:t xml:space="preserve">Target </w:t>
      </w:r>
      <w:r w:rsidR="00D20391">
        <w:rPr>
          <w:color w:val="000000" w:themeColor="text1"/>
        </w:rPr>
        <w:t>45</w:t>
      </w:r>
      <w:r w:rsidRPr="2DCAF3F4">
        <w:rPr>
          <w:color w:val="000000" w:themeColor="text1"/>
        </w:rPr>
        <w:t xml:space="preserve"> percent of total funds to projects located in </w:t>
      </w:r>
      <w:r w:rsidRPr="00E62C5E">
        <w:rPr>
          <w:color w:val="000000" w:themeColor="text1"/>
        </w:rPr>
        <w:t>Southern California</w:t>
      </w:r>
      <w:r w:rsidRPr="2DCAF3F4">
        <w:rPr>
          <w:color w:val="000000" w:themeColor="text1"/>
        </w:rPr>
        <w:t xml:space="preserve"> (Kern, Los Angeles, Orange, Riverside, </w:t>
      </w:r>
      <w:r w:rsidR="00E33B6B" w:rsidRPr="2DCAF3F4">
        <w:rPr>
          <w:color w:val="000000" w:themeColor="text1"/>
        </w:rPr>
        <w:t>San Bernardino, San Diego, San Luis Obispo, Santa</w:t>
      </w:r>
      <w:r w:rsidRPr="2DCAF3F4">
        <w:rPr>
          <w:color w:val="000000" w:themeColor="text1"/>
        </w:rPr>
        <w:t xml:space="preserve"> Barbara,</w:t>
      </w:r>
      <w:r w:rsidR="00CE51C2" w:rsidRPr="2DCAF3F4">
        <w:rPr>
          <w:color w:val="000000" w:themeColor="text1"/>
        </w:rPr>
        <w:t xml:space="preserve"> </w:t>
      </w:r>
      <w:r w:rsidR="00B36930" w:rsidRPr="2DCAF3F4">
        <w:rPr>
          <w:color w:val="000000" w:themeColor="text1"/>
        </w:rPr>
        <w:t xml:space="preserve">and </w:t>
      </w:r>
      <w:r w:rsidRPr="2DCAF3F4">
        <w:rPr>
          <w:color w:val="000000" w:themeColor="text1"/>
        </w:rPr>
        <w:t>Ventura counties);</w:t>
      </w:r>
    </w:p>
    <w:p w14:paraId="71C82FD4" w14:textId="21252794" w:rsidR="00B97229" w:rsidRPr="00632728" w:rsidRDefault="00B97229" w:rsidP="00D2631D">
      <w:pPr>
        <w:pStyle w:val="Default"/>
        <w:numPr>
          <w:ilvl w:val="0"/>
          <w:numId w:val="12"/>
        </w:numPr>
        <w:spacing w:after="240"/>
        <w:ind w:left="1080" w:right="-180"/>
        <w:rPr>
          <w:color w:val="000000" w:themeColor="text1"/>
          <w:sz w:val="16"/>
          <w:szCs w:val="16"/>
        </w:rPr>
      </w:pPr>
      <w:r w:rsidRPr="00040801">
        <w:t xml:space="preserve">Target </w:t>
      </w:r>
      <w:r w:rsidR="00D20391">
        <w:t>10</w:t>
      </w:r>
      <w:r w:rsidRPr="00040801">
        <w:t xml:space="preserve"> percent of total funds to projects located in the </w:t>
      </w:r>
      <w:r w:rsidRPr="00E62C5E">
        <w:t>Central Valley</w:t>
      </w:r>
      <w:r w:rsidRPr="00040801">
        <w:t xml:space="preserve"> (Fresno, Merced, San Joaquin, Stanislaus</w:t>
      </w:r>
      <w:r w:rsidR="00464008">
        <w:t>,</w:t>
      </w:r>
      <w:r w:rsidR="00CE51C2">
        <w:t xml:space="preserve"> </w:t>
      </w:r>
      <w:r w:rsidR="00B36930">
        <w:t xml:space="preserve">and </w:t>
      </w:r>
      <w:r w:rsidRPr="00040801">
        <w:t>Tulare</w:t>
      </w:r>
      <w:r w:rsidR="00A72AFE">
        <w:t xml:space="preserve"> </w:t>
      </w:r>
      <w:r w:rsidRPr="00040801">
        <w:t>counties);</w:t>
      </w:r>
    </w:p>
    <w:p w14:paraId="27DFCDA8" w14:textId="34E72C9D" w:rsidR="00B97229" w:rsidRPr="00381BFF" w:rsidRDefault="00B97229" w:rsidP="00D2631D">
      <w:pPr>
        <w:pStyle w:val="Default"/>
        <w:numPr>
          <w:ilvl w:val="0"/>
          <w:numId w:val="12"/>
        </w:numPr>
        <w:spacing w:after="240"/>
        <w:ind w:left="1080" w:right="-180"/>
        <w:rPr>
          <w:color w:val="000000" w:themeColor="text1"/>
        </w:rPr>
      </w:pPr>
      <w:r w:rsidRPr="00040801">
        <w:t xml:space="preserve">Target </w:t>
      </w:r>
      <w:r w:rsidR="00356706">
        <w:t>2</w:t>
      </w:r>
      <w:r w:rsidR="00D20391">
        <w:t>5</w:t>
      </w:r>
      <w:r w:rsidRPr="00040801">
        <w:t xml:space="preserve"> percent of total funds to projects located in </w:t>
      </w:r>
      <w:r w:rsidRPr="00E62C5E">
        <w:t>Northern California</w:t>
      </w:r>
      <w:r w:rsidRPr="00040801">
        <w:t xml:space="preserve"> </w:t>
      </w:r>
      <w:r w:rsidR="00880A31">
        <w:t xml:space="preserve">(Alameda, Contra Costa, Marin, Monterey, Placer, Sacramento, San Francisco, San </w:t>
      </w:r>
      <w:r w:rsidR="00A11DBF">
        <w:t>Mateo</w:t>
      </w:r>
      <w:r w:rsidR="00880A31">
        <w:t xml:space="preserve">, </w:t>
      </w:r>
      <w:r w:rsidR="00DF5B19">
        <w:t xml:space="preserve">Santa Clara, </w:t>
      </w:r>
      <w:r w:rsidR="00880A31">
        <w:t>Santa Cruz, Sol</w:t>
      </w:r>
      <w:r w:rsidR="00A11DBF">
        <w:t>ano</w:t>
      </w:r>
      <w:r w:rsidR="00ED2BA3">
        <w:t>,</w:t>
      </w:r>
      <w:r w:rsidR="00880A31">
        <w:t xml:space="preserve"> </w:t>
      </w:r>
      <w:r w:rsidR="0025564A">
        <w:t>Sonoma,</w:t>
      </w:r>
      <w:r w:rsidR="00B36930">
        <w:t xml:space="preserve"> and</w:t>
      </w:r>
      <w:r w:rsidR="0025564A">
        <w:t xml:space="preserve"> </w:t>
      </w:r>
      <w:r w:rsidR="00880A31">
        <w:t>Sutter</w:t>
      </w:r>
      <w:r w:rsidR="00DC549C">
        <w:t xml:space="preserve"> counties)</w:t>
      </w:r>
    </w:p>
    <w:p w14:paraId="52F99E35" w14:textId="1AF2C2AB" w:rsidR="00BC21E4" w:rsidRPr="0043358B" w:rsidRDefault="00BC21E4" w:rsidP="00D2631D">
      <w:pPr>
        <w:pStyle w:val="Default"/>
        <w:numPr>
          <w:ilvl w:val="0"/>
          <w:numId w:val="12"/>
        </w:numPr>
        <w:spacing w:after="240"/>
        <w:ind w:left="1080" w:right="-180"/>
        <w:rPr>
          <w:color w:val="000000" w:themeColor="text1"/>
        </w:rPr>
      </w:pPr>
      <w:r>
        <w:t xml:space="preserve">Target </w:t>
      </w:r>
      <w:r w:rsidR="00D20391">
        <w:t>10</w:t>
      </w:r>
      <w:r>
        <w:t xml:space="preserve"> percent of total </w:t>
      </w:r>
      <w:r w:rsidR="00423EDA">
        <w:t xml:space="preserve">funds to projects located in </w:t>
      </w:r>
      <w:r w:rsidR="00423EDA" w:rsidRPr="00E62C5E">
        <w:t xml:space="preserve">counties having </w:t>
      </w:r>
      <w:r w:rsidR="003D373F" w:rsidRPr="00E62C5E">
        <w:t>fewer</w:t>
      </w:r>
      <w:r w:rsidR="00423EDA" w:rsidRPr="00E62C5E">
        <w:t xml:space="preserve"> than 250,000 residents</w:t>
      </w:r>
      <w:r w:rsidR="00912F18" w:rsidRPr="00E62C5E">
        <w:t xml:space="preserve"> </w:t>
      </w:r>
      <w:r w:rsidR="00912F18">
        <w:t xml:space="preserve">(Alpine, Amador, Butte, </w:t>
      </w:r>
      <w:r w:rsidR="006E533A">
        <w:t>Calaveras</w:t>
      </w:r>
      <w:r w:rsidR="00912F18">
        <w:t>, Colusa, Del Norte, El Dorado, G</w:t>
      </w:r>
      <w:r w:rsidR="006E533A">
        <w:t>l</w:t>
      </w:r>
      <w:r w:rsidR="00912F18">
        <w:t>enn, Humboldt, Imperial, Inyo, Kings, Lake, Lassen, Madera, Mariposa</w:t>
      </w:r>
      <w:r w:rsidR="006E533A">
        <w:t xml:space="preserve">, Mendocino, Modoc, Mono, Napa, Nevada, Plumas, San Benito, Shasta, Sierra, Siskiyou, </w:t>
      </w:r>
      <w:r w:rsidR="00065E8C">
        <w:t>Tehama</w:t>
      </w:r>
      <w:r w:rsidR="006E533A">
        <w:t>, Trinity, Tuolumne, Yolo</w:t>
      </w:r>
      <w:r w:rsidR="00065E8C">
        <w:t>,</w:t>
      </w:r>
      <w:r w:rsidR="000C2A15">
        <w:t xml:space="preserve"> </w:t>
      </w:r>
      <w:r w:rsidR="00B36930">
        <w:t xml:space="preserve">and </w:t>
      </w:r>
      <w:r w:rsidR="00065E8C">
        <w:t>Yuba</w:t>
      </w:r>
      <w:r w:rsidR="005D6896">
        <w:t xml:space="preserve"> counties</w:t>
      </w:r>
      <w:r w:rsidR="00065E8C">
        <w:t>)</w:t>
      </w:r>
      <w:r w:rsidR="0055298F">
        <w:t>.</w:t>
      </w:r>
    </w:p>
    <w:p w14:paraId="5DEB5981" w14:textId="77777777" w:rsidR="00180F58" w:rsidRPr="00040801" w:rsidRDefault="00180F58" w:rsidP="00180F58">
      <w:pPr>
        <w:pStyle w:val="Default"/>
        <w:spacing w:after="240"/>
        <w:ind w:left="720" w:right="-180"/>
        <w:rPr>
          <w:color w:val="000000" w:themeColor="text1"/>
        </w:rPr>
      </w:pPr>
      <w:r w:rsidRPr="002D4C33">
        <w:rPr>
          <w:color w:val="000000" w:themeColor="text1"/>
        </w:rPr>
        <w:t xml:space="preserve">The highest scoring </w:t>
      </w:r>
      <w:r>
        <w:rPr>
          <w:color w:val="000000" w:themeColor="text1"/>
        </w:rPr>
        <w:t>Application</w:t>
      </w:r>
      <w:r w:rsidRPr="002D4C33">
        <w:rPr>
          <w:color w:val="000000" w:themeColor="text1"/>
        </w:rPr>
        <w:t>s that meet all eligibility and threshold requirements will be funded in descending order within each of the geographic targets.</w:t>
      </w:r>
    </w:p>
    <w:p w14:paraId="580A1C63" w14:textId="3E067E87" w:rsidR="009E74B6" w:rsidRPr="008B0117" w:rsidRDefault="005C0393" w:rsidP="0060418D">
      <w:pPr>
        <w:pStyle w:val="Default"/>
        <w:spacing w:after="240"/>
        <w:ind w:left="720" w:right="-180"/>
        <w:rPr>
          <w:color w:val="000000" w:themeColor="text1"/>
        </w:rPr>
      </w:pPr>
      <w:bookmarkStart w:id="130" w:name="_Hlk71203401"/>
      <w:r w:rsidRPr="005C0393">
        <w:rPr>
          <w:color w:val="000000" w:themeColor="text1"/>
        </w:rPr>
        <w:t>Of the total funds available under the NOFA, HCD shall target 10 percent of total funds, to the extent there are eligible applications, to the following</w:t>
      </w:r>
      <w:r w:rsidR="009E74B6" w:rsidRPr="008B0117">
        <w:rPr>
          <w:color w:val="000000" w:themeColor="text1"/>
        </w:rPr>
        <w:t xml:space="preserve">: </w:t>
      </w:r>
    </w:p>
    <w:bookmarkEnd w:id="130"/>
    <w:p w14:paraId="5D87D91C" w14:textId="473B0AA7" w:rsidR="00B84D8E" w:rsidRPr="008B0117" w:rsidRDefault="00B4334B" w:rsidP="00E85DE7">
      <w:pPr>
        <w:pStyle w:val="Default"/>
        <w:numPr>
          <w:ilvl w:val="0"/>
          <w:numId w:val="12"/>
        </w:numPr>
        <w:spacing w:after="240"/>
        <w:ind w:left="1080" w:right="-180"/>
      </w:pPr>
      <w:r w:rsidRPr="008B0117">
        <w:t xml:space="preserve">Emerging Developers:  </w:t>
      </w:r>
      <w:r w:rsidR="00BD1BB7" w:rsidRPr="008B0117">
        <w:t>An A</w:t>
      </w:r>
      <w:r w:rsidR="003C0392" w:rsidRPr="008B0117">
        <w:t>pplicant</w:t>
      </w:r>
      <w:r w:rsidR="00BD1BB7" w:rsidRPr="008B0117">
        <w:t xml:space="preserve"> </w:t>
      </w:r>
      <w:r w:rsidR="00230D1E" w:rsidRPr="008B0117">
        <w:t xml:space="preserve">where the </w:t>
      </w:r>
      <w:r w:rsidR="003C0392" w:rsidRPr="008B0117">
        <w:t>ownership structure consists of a majority of persons that</w:t>
      </w:r>
      <w:r w:rsidR="00C00135" w:rsidRPr="008B0117">
        <w:t xml:space="preserve"> have been historically disadvantaged </w:t>
      </w:r>
      <w:r w:rsidR="003C0392" w:rsidRPr="00E85DE7">
        <w:t>due to express or implicit systemic bias or prejudice</w:t>
      </w:r>
      <w:r w:rsidR="004433C6" w:rsidRPr="008B0117">
        <w:t xml:space="preserve"> which may be demonstrated by </w:t>
      </w:r>
      <w:r w:rsidR="006566BF" w:rsidRPr="008B0117">
        <w:t xml:space="preserve">meeting </w:t>
      </w:r>
      <w:r w:rsidR="00167ED5" w:rsidRPr="008B0117">
        <w:t xml:space="preserve">definition of </w:t>
      </w:r>
      <w:r w:rsidR="00F82B0D" w:rsidRPr="008B0117">
        <w:t>“</w:t>
      </w:r>
      <w:r w:rsidR="00167ED5" w:rsidRPr="008B0117">
        <w:t>BIPOC</w:t>
      </w:r>
      <w:r w:rsidR="00F82B0D" w:rsidRPr="008B0117">
        <w:t>”</w:t>
      </w:r>
      <w:r w:rsidR="00167ED5" w:rsidRPr="008B0117">
        <w:t xml:space="preserve"> and </w:t>
      </w:r>
      <w:r w:rsidR="00F82B0D" w:rsidRPr="008B0117">
        <w:t>“</w:t>
      </w:r>
      <w:r w:rsidR="00167ED5" w:rsidRPr="008B0117">
        <w:t xml:space="preserve">BIPOC </w:t>
      </w:r>
      <w:r w:rsidR="00F82B0D" w:rsidRPr="008B0117">
        <w:t>P</w:t>
      </w:r>
      <w:r w:rsidR="00167ED5" w:rsidRPr="008B0117">
        <w:t>roject</w:t>
      </w:r>
      <w:r w:rsidR="00F82B0D" w:rsidRPr="008B0117">
        <w:t>”</w:t>
      </w:r>
      <w:r w:rsidR="00167ED5" w:rsidRPr="008B0117">
        <w:t xml:space="preserve"> as </w:t>
      </w:r>
      <w:r w:rsidR="00D77CF5" w:rsidRPr="008B0117">
        <w:t xml:space="preserve">set forth in </w:t>
      </w:r>
      <w:r w:rsidR="00594E4C" w:rsidRPr="008B0117">
        <w:t>Chap</w:t>
      </w:r>
      <w:r w:rsidR="00C60C06" w:rsidRPr="008B0117">
        <w:t>t</w:t>
      </w:r>
      <w:r w:rsidR="00594E4C" w:rsidRPr="008B0117">
        <w:t>er 2, Article 1</w:t>
      </w:r>
      <w:r w:rsidR="00F82B0D" w:rsidRPr="008B0117">
        <w:t>,</w:t>
      </w:r>
      <w:r w:rsidR="00594E4C" w:rsidRPr="008B0117">
        <w:t xml:space="preserve"> Sectio</w:t>
      </w:r>
      <w:r w:rsidR="00705DDA" w:rsidRPr="008B0117">
        <w:t>n 5</w:t>
      </w:r>
      <w:r w:rsidR="00FD6CD9" w:rsidRPr="008B0117">
        <w:t>170</w:t>
      </w:r>
      <w:r w:rsidR="001801FA" w:rsidRPr="008B0117">
        <w:t xml:space="preserve"> of the </w:t>
      </w:r>
      <w:r w:rsidR="009074A0" w:rsidRPr="008B0117">
        <w:t xml:space="preserve">California Debt Limit Allocation </w:t>
      </w:r>
      <w:r w:rsidR="006633BF" w:rsidRPr="008B0117">
        <w:t>Re</w:t>
      </w:r>
      <w:r w:rsidR="00433FD4" w:rsidRPr="008B0117">
        <w:t>gulations</w:t>
      </w:r>
      <w:r w:rsidR="003A36D4" w:rsidRPr="008B0117">
        <w:t xml:space="preserve"> (adopted </w:t>
      </w:r>
      <w:r w:rsidR="00D061DE" w:rsidRPr="008B0117">
        <w:t>April</w:t>
      </w:r>
      <w:r w:rsidR="00B6249E">
        <w:t> </w:t>
      </w:r>
      <w:r w:rsidR="00D061DE" w:rsidRPr="008B0117">
        <w:t>28, 2021).</w:t>
      </w:r>
    </w:p>
    <w:p w14:paraId="72CFFD9D" w14:textId="4B7DBBC0" w:rsidR="00BD1BB7" w:rsidRPr="008B0117" w:rsidRDefault="006C08A8" w:rsidP="001E28C8">
      <w:pPr>
        <w:pStyle w:val="Default"/>
        <w:numPr>
          <w:ilvl w:val="0"/>
          <w:numId w:val="12"/>
        </w:numPr>
        <w:spacing w:after="240"/>
        <w:ind w:left="1080" w:right="-180"/>
      </w:pPr>
      <w:r w:rsidRPr="008B0117">
        <w:t>Federally Recognized and Special Government Entities and Properties</w:t>
      </w:r>
      <w:r w:rsidR="00122A33" w:rsidRPr="008B0117">
        <w:t xml:space="preserve">: </w:t>
      </w:r>
      <w:r w:rsidR="00BD1BB7" w:rsidRPr="008B0117">
        <w:t>An Applicant</w:t>
      </w:r>
      <w:r w:rsidR="00BD1BB7" w:rsidRPr="00E85DE7">
        <w:t xml:space="preserve"> that is a</w:t>
      </w:r>
      <w:r w:rsidR="00BD1BB7" w:rsidRPr="008B0117">
        <w:t>ny of the following:</w:t>
      </w:r>
    </w:p>
    <w:p w14:paraId="6D6E425D" w14:textId="40C1CF37" w:rsidR="008B1CBF" w:rsidRPr="005122A9" w:rsidRDefault="003A7BA6" w:rsidP="005122A9">
      <w:pPr>
        <w:pStyle w:val="ListParagraph"/>
        <w:numPr>
          <w:ilvl w:val="0"/>
          <w:numId w:val="24"/>
        </w:numPr>
        <w:spacing w:after="120" w:line="240" w:lineRule="auto"/>
        <w:contextualSpacing w:val="0"/>
        <w:rPr>
          <w:rFonts w:ascii="Calibri" w:hAnsi="Calibri" w:cs="Calibri"/>
          <w:sz w:val="22"/>
        </w:rPr>
      </w:pPr>
      <w:r w:rsidRPr="008B0117">
        <w:t>It meets the definition of Indian tribe under Section 4103 of Title 25 of the United State Code (means any Indian tribe, band, nation, or other organized group or community of Indians that is recognized as eligible for the special programs and services provided by the United States to Indians because of their status as Indians pursuant to the Indian Self-Determination and Education Assistance Act (25</w:t>
      </w:r>
      <w:r w:rsidR="00B6249E">
        <w:t> </w:t>
      </w:r>
      <w:r w:rsidRPr="008B0117">
        <w:t xml:space="preserve">U.S.C. 450 et seq.). 25 USC 4103(13)(B); </w:t>
      </w:r>
    </w:p>
    <w:p w14:paraId="00E46190" w14:textId="38D8E7CE" w:rsidR="008B1CBF" w:rsidRPr="00B936AB" w:rsidRDefault="003A7BA6" w:rsidP="00B936AB">
      <w:pPr>
        <w:pStyle w:val="ListParagraph"/>
        <w:numPr>
          <w:ilvl w:val="0"/>
          <w:numId w:val="24"/>
        </w:numPr>
        <w:spacing w:after="120" w:line="240" w:lineRule="auto"/>
        <w:contextualSpacing w:val="0"/>
        <w:rPr>
          <w:rFonts w:ascii="Calibri" w:hAnsi="Calibri" w:cs="Calibri"/>
          <w:sz w:val="22"/>
        </w:rPr>
      </w:pPr>
      <w:r w:rsidRPr="008B0117">
        <w:t xml:space="preserve">If not a federally recognized tribe, either </w:t>
      </w:r>
    </w:p>
    <w:p w14:paraId="77087D4A" w14:textId="4BA01ADF" w:rsidR="008B1CBF" w:rsidRPr="00B936AB" w:rsidRDefault="003A7BA6" w:rsidP="00B936AB">
      <w:pPr>
        <w:pStyle w:val="ListParagraph"/>
        <w:numPr>
          <w:ilvl w:val="1"/>
          <w:numId w:val="24"/>
        </w:numPr>
        <w:spacing w:after="120" w:line="240" w:lineRule="auto"/>
        <w:contextualSpacing w:val="0"/>
        <w:rPr>
          <w:rFonts w:cs="Arial"/>
          <w:sz w:val="20"/>
          <w:szCs w:val="20"/>
        </w:rPr>
      </w:pPr>
      <w:r w:rsidRPr="008B0117">
        <w:t>It is listed in the Bureau of Indian Affairs Office of Federal Acknowledgement petitioner list pursuant to Section 82.1 of Title 25 of the Federal Code of Regulations. (</w:t>
      </w:r>
      <w:hyperlink r:id="rId22" w:history="1">
        <w:r w:rsidRPr="008B0117">
          <w:rPr>
            <w:rStyle w:val="Hyperlink"/>
          </w:rPr>
          <w:t>Office of Federal Acknowledgment (OFA) | Indian Affairs (bia.gov)</w:t>
        </w:r>
      </w:hyperlink>
      <w:r w:rsidRPr="008B0117">
        <w:t>)</w:t>
      </w:r>
    </w:p>
    <w:p w14:paraId="2EF2CE05" w14:textId="7B8E6241" w:rsidR="008B1CBF" w:rsidRPr="00B936AB" w:rsidRDefault="003A7BA6" w:rsidP="00B936AB">
      <w:pPr>
        <w:pStyle w:val="ListParagraph"/>
        <w:numPr>
          <w:ilvl w:val="1"/>
          <w:numId w:val="24"/>
        </w:numPr>
        <w:spacing w:after="240" w:line="240" w:lineRule="auto"/>
        <w:contextualSpacing w:val="0"/>
        <w:rPr>
          <w:szCs w:val="24"/>
        </w:rPr>
      </w:pPr>
      <w:r w:rsidRPr="008B0117">
        <w:t xml:space="preserve">It is a Indian tribe located in California that is on the contact list maintained by the Native American Heritage Commission for the purposes of consultation pursuant to Section 65352.3 of the Government Code; and proposes a project on land that satisfies the following: </w:t>
      </w:r>
    </w:p>
    <w:p w14:paraId="00BDD9E2" w14:textId="0D043538" w:rsidR="008B1CBF" w:rsidRPr="00B936AB" w:rsidRDefault="003A7BA6" w:rsidP="00B936AB">
      <w:pPr>
        <w:pStyle w:val="ListParagraph"/>
        <w:numPr>
          <w:ilvl w:val="0"/>
          <w:numId w:val="25"/>
        </w:numPr>
        <w:spacing w:after="120" w:line="240" w:lineRule="auto"/>
        <w:contextualSpacing w:val="0"/>
        <w:rPr>
          <w:rFonts w:ascii="Calibri" w:hAnsi="Calibri" w:cs="Calibri"/>
          <w:sz w:val="22"/>
        </w:rPr>
      </w:pPr>
      <w:r w:rsidRPr="008B0117">
        <w:t>Located in Indian country as defined by 18 USC 1151, or</w:t>
      </w:r>
    </w:p>
    <w:p w14:paraId="79E6EA3D" w14:textId="77777777" w:rsidR="003A7BA6" w:rsidRPr="008B0117" w:rsidRDefault="003A7BA6" w:rsidP="008B1CBF">
      <w:pPr>
        <w:pStyle w:val="ListParagraph"/>
        <w:numPr>
          <w:ilvl w:val="0"/>
          <w:numId w:val="25"/>
        </w:numPr>
        <w:spacing w:after="240" w:line="240" w:lineRule="auto"/>
        <w:rPr>
          <w:rFonts w:ascii="Calibri" w:hAnsi="Calibri" w:cs="Calibri"/>
          <w:sz w:val="22"/>
        </w:rPr>
      </w:pPr>
      <w:r w:rsidRPr="008B0117">
        <w:t xml:space="preserve">Located on fee land. </w:t>
      </w:r>
    </w:p>
    <w:p w14:paraId="5E84DD98" w14:textId="2980B3FB" w:rsidR="001D15FD" w:rsidRPr="008B1CBF" w:rsidRDefault="001D15FD" w:rsidP="00621179">
      <w:pPr>
        <w:pStyle w:val="Heading2"/>
        <w:numPr>
          <w:ilvl w:val="0"/>
          <w:numId w:val="1"/>
        </w:numPr>
        <w:tabs>
          <w:tab w:val="clear" w:pos="1260"/>
          <w:tab w:val="left" w:pos="1440"/>
        </w:tabs>
        <w:spacing w:before="240"/>
        <w:contextualSpacing w:val="0"/>
      </w:pPr>
      <w:bookmarkStart w:id="131" w:name="_Toc507660578"/>
      <w:bookmarkStart w:id="132" w:name="_Toc22909462"/>
      <w:bookmarkStart w:id="133" w:name="_Hlk54092157"/>
      <w:bookmarkStart w:id="134" w:name="_Toc71201547"/>
      <w:r w:rsidRPr="008B1CBF">
        <w:t xml:space="preserve">State </w:t>
      </w:r>
      <w:r w:rsidR="00744CF0" w:rsidRPr="008B1CBF">
        <w:t>r</w:t>
      </w:r>
      <w:r w:rsidRPr="008B1CBF">
        <w:t>equirements</w:t>
      </w:r>
      <w:bookmarkStart w:id="135" w:name="_Hlk26358191"/>
      <w:bookmarkEnd w:id="131"/>
      <w:bookmarkEnd w:id="132"/>
      <w:bookmarkEnd w:id="133"/>
      <w:bookmarkEnd w:id="134"/>
    </w:p>
    <w:bookmarkEnd w:id="135"/>
    <w:p w14:paraId="76465ABB" w14:textId="197824AC" w:rsidR="001D15FD" w:rsidRPr="001D15FD" w:rsidRDefault="001D15FD" w:rsidP="00621179">
      <w:pPr>
        <w:tabs>
          <w:tab w:val="left" w:pos="450"/>
        </w:tabs>
        <w:autoSpaceDE w:val="0"/>
        <w:autoSpaceDN w:val="0"/>
        <w:adjustRightInd w:val="0"/>
        <w:spacing w:after="240" w:line="240" w:lineRule="auto"/>
        <w:ind w:left="720" w:right="-180"/>
        <w:rPr>
          <w:rFonts w:ascii="Arial" w:eastAsia="Times New Roman" w:hAnsi="Arial" w:cs="Arial"/>
          <w:bCs/>
          <w:color w:val="000000"/>
          <w:sz w:val="24"/>
          <w:szCs w:val="24"/>
        </w:rPr>
      </w:pPr>
      <w:r w:rsidRPr="37F73091">
        <w:rPr>
          <w:rFonts w:ascii="Arial" w:eastAsia="Times New Roman" w:hAnsi="Arial" w:cs="Arial"/>
          <w:color w:val="000000" w:themeColor="text1"/>
          <w:sz w:val="24"/>
          <w:szCs w:val="24"/>
        </w:rPr>
        <w:t>Compliance with California’s Housing Element Law</w:t>
      </w:r>
    </w:p>
    <w:p w14:paraId="046C1E61" w14:textId="41C64A3F" w:rsidR="00DE041F" w:rsidRDefault="001D15FD" w:rsidP="00621179">
      <w:pPr>
        <w:spacing w:after="240" w:line="240" w:lineRule="auto"/>
        <w:ind w:left="720" w:right="-360"/>
        <w:rPr>
          <w:rFonts w:ascii="Arial" w:eastAsia="Calibri" w:hAnsi="Arial" w:cs="Arial"/>
          <w:color w:val="000000"/>
          <w:sz w:val="24"/>
          <w:szCs w:val="24"/>
        </w:rPr>
      </w:pPr>
      <w:r w:rsidRPr="001D15FD">
        <w:rPr>
          <w:rFonts w:ascii="Arial" w:eastAsia="Calibri" w:hAnsi="Arial" w:cs="Arial"/>
          <w:color w:val="000000"/>
          <w:sz w:val="24"/>
          <w:szCs w:val="24"/>
        </w:rPr>
        <w:t xml:space="preserve">The </w:t>
      </w:r>
      <w:r w:rsidR="005A48DE" w:rsidRPr="008826A5">
        <w:rPr>
          <w:rFonts w:ascii="Arial" w:eastAsia="Calibri" w:hAnsi="Arial" w:cs="Arial"/>
          <w:color w:val="000000"/>
          <w:sz w:val="24"/>
          <w:szCs w:val="24"/>
          <w:shd w:val="clear" w:color="auto" w:fill="FFFFFF" w:themeFill="background1"/>
        </w:rPr>
        <w:t>QIP</w:t>
      </w:r>
      <w:r w:rsidR="008826A5" w:rsidRPr="008826A5">
        <w:rPr>
          <w:rFonts w:ascii="Arial" w:eastAsia="Calibri" w:hAnsi="Arial" w:cs="Arial"/>
          <w:color w:val="000000"/>
          <w:sz w:val="24"/>
          <w:szCs w:val="24"/>
          <w:shd w:val="clear" w:color="auto" w:fill="FFFFFF" w:themeFill="background1"/>
        </w:rPr>
        <w:t>/Q</w:t>
      </w:r>
      <w:r w:rsidR="00D54E72" w:rsidRPr="008826A5">
        <w:rPr>
          <w:rFonts w:ascii="Arial" w:eastAsia="Calibri" w:hAnsi="Arial" w:cs="Arial"/>
          <w:color w:val="000000"/>
          <w:sz w:val="24"/>
          <w:szCs w:val="24"/>
          <w:shd w:val="clear" w:color="auto" w:fill="FFFFFF" w:themeFill="background1"/>
        </w:rPr>
        <w:t>IA</w:t>
      </w:r>
      <w:r w:rsidRPr="008826A5">
        <w:rPr>
          <w:rFonts w:ascii="Arial" w:eastAsia="Calibri" w:hAnsi="Arial" w:cs="Arial"/>
          <w:color w:val="000000"/>
          <w:sz w:val="24"/>
          <w:szCs w:val="24"/>
        </w:rPr>
        <w:t xml:space="preserve"> must</w:t>
      </w:r>
      <w:r w:rsidRPr="001D15FD">
        <w:rPr>
          <w:rFonts w:ascii="Arial" w:eastAsia="Calibri" w:hAnsi="Arial" w:cs="Arial"/>
          <w:color w:val="000000"/>
          <w:sz w:val="24"/>
          <w:szCs w:val="24"/>
        </w:rPr>
        <w:t xml:space="preserve"> be located in a Locality </w:t>
      </w:r>
      <w:r w:rsidR="00744CF0">
        <w:rPr>
          <w:rFonts w:ascii="Arial" w:eastAsia="Calibri" w:hAnsi="Arial" w:cs="Arial"/>
          <w:color w:val="000000"/>
          <w:sz w:val="24"/>
          <w:szCs w:val="24"/>
        </w:rPr>
        <w:t>that</w:t>
      </w:r>
      <w:r w:rsidR="00744CF0" w:rsidRPr="001D15FD">
        <w:rPr>
          <w:rFonts w:ascii="Arial" w:eastAsia="Calibri" w:hAnsi="Arial" w:cs="Arial"/>
          <w:color w:val="000000"/>
          <w:sz w:val="24"/>
          <w:szCs w:val="24"/>
        </w:rPr>
        <w:t xml:space="preserve"> </w:t>
      </w:r>
      <w:r w:rsidRPr="001D15FD">
        <w:rPr>
          <w:rFonts w:ascii="Arial" w:eastAsia="Calibri" w:hAnsi="Arial" w:cs="Arial"/>
          <w:color w:val="000000"/>
          <w:sz w:val="24"/>
          <w:szCs w:val="24"/>
        </w:rPr>
        <w:t>has an adopted Housing Element that has been found by</w:t>
      </w:r>
      <w:r w:rsidR="00027DFB">
        <w:rPr>
          <w:rFonts w:ascii="Arial" w:eastAsia="Calibri" w:hAnsi="Arial" w:cs="Arial"/>
          <w:color w:val="000000"/>
          <w:sz w:val="24"/>
          <w:szCs w:val="24"/>
        </w:rPr>
        <w:t xml:space="preserve"> HCD</w:t>
      </w:r>
      <w:r w:rsidRPr="001D15FD">
        <w:rPr>
          <w:rFonts w:ascii="Arial" w:eastAsia="Calibri" w:hAnsi="Arial" w:cs="Arial"/>
          <w:color w:val="000000"/>
          <w:sz w:val="24"/>
          <w:szCs w:val="24"/>
        </w:rPr>
        <w:t xml:space="preserve"> to be in substantial compliance with the requirements of </w:t>
      </w:r>
      <w:r w:rsidR="0053008F" w:rsidRPr="001D15FD">
        <w:rPr>
          <w:rFonts w:ascii="Arial" w:eastAsia="Calibri" w:hAnsi="Arial" w:cs="Arial"/>
          <w:color w:val="000000"/>
          <w:sz w:val="24"/>
          <w:szCs w:val="24"/>
        </w:rPr>
        <w:t>Article</w:t>
      </w:r>
      <w:r w:rsidR="0053008F">
        <w:rPr>
          <w:rFonts w:ascii="Arial" w:eastAsia="Calibri" w:hAnsi="Arial" w:cs="Arial"/>
          <w:color w:val="000000"/>
          <w:sz w:val="24"/>
          <w:szCs w:val="24"/>
        </w:rPr>
        <w:t> </w:t>
      </w:r>
      <w:r w:rsidRPr="001D15FD">
        <w:rPr>
          <w:rFonts w:ascii="Arial" w:eastAsia="Calibri" w:hAnsi="Arial" w:cs="Arial"/>
          <w:color w:val="000000"/>
          <w:sz w:val="24"/>
          <w:szCs w:val="24"/>
        </w:rPr>
        <w:t xml:space="preserve">10.6 (commencing with Section 65580) of Chapter 3 of Division 1 of Title 7 of the Government Code. Housing Element compliance must be established as of the NOFA </w:t>
      </w:r>
      <w:r w:rsidR="00115144">
        <w:rPr>
          <w:rFonts w:ascii="Arial" w:eastAsia="Calibri" w:hAnsi="Arial" w:cs="Arial"/>
          <w:color w:val="000000"/>
          <w:sz w:val="24"/>
          <w:szCs w:val="24"/>
        </w:rPr>
        <w:t>Application</w:t>
      </w:r>
      <w:r w:rsidRPr="001D15FD">
        <w:rPr>
          <w:rFonts w:ascii="Arial" w:eastAsia="Calibri" w:hAnsi="Arial" w:cs="Arial"/>
          <w:color w:val="000000"/>
          <w:sz w:val="24"/>
          <w:szCs w:val="24"/>
        </w:rPr>
        <w:t xml:space="preserve"> </w:t>
      </w:r>
      <w:r w:rsidR="00B431A1">
        <w:rPr>
          <w:rFonts w:ascii="Arial" w:eastAsia="Calibri" w:hAnsi="Arial" w:cs="Arial"/>
          <w:color w:val="000000"/>
          <w:sz w:val="24"/>
          <w:szCs w:val="24"/>
        </w:rPr>
        <w:t xml:space="preserve">submittal </w:t>
      </w:r>
      <w:r w:rsidRPr="001D15FD">
        <w:rPr>
          <w:rFonts w:ascii="Arial" w:eastAsia="Calibri" w:hAnsi="Arial" w:cs="Arial"/>
          <w:color w:val="000000"/>
          <w:sz w:val="24"/>
          <w:szCs w:val="24"/>
        </w:rPr>
        <w:t>deadline date.</w:t>
      </w:r>
    </w:p>
    <w:p w14:paraId="0B072FB8" w14:textId="51F3CD5F" w:rsidR="003D0FBD" w:rsidRDefault="00DE041F" w:rsidP="00621179">
      <w:pPr>
        <w:spacing w:after="240" w:line="240" w:lineRule="auto"/>
        <w:ind w:left="720" w:right="-360"/>
        <w:rPr>
          <w:rFonts w:ascii="Arial" w:eastAsia="Calibri" w:hAnsi="Arial" w:cs="Arial"/>
          <w:color w:val="000000"/>
          <w:sz w:val="24"/>
          <w:szCs w:val="24"/>
        </w:rPr>
      </w:pPr>
      <w:r w:rsidRPr="00DE041F">
        <w:rPr>
          <w:rFonts w:ascii="Arial" w:eastAsia="Calibri" w:hAnsi="Arial" w:cs="Arial"/>
          <w:color w:val="000000"/>
          <w:sz w:val="24"/>
          <w:szCs w:val="24"/>
        </w:rPr>
        <w:t>Housing Element compliance status is available on HCD’s website</w:t>
      </w:r>
      <w:r>
        <w:rPr>
          <w:rFonts w:ascii="Arial" w:eastAsia="Calibri" w:hAnsi="Arial" w:cs="Arial"/>
          <w:color w:val="000000"/>
          <w:sz w:val="24"/>
          <w:szCs w:val="24"/>
        </w:rPr>
        <w:t xml:space="preserve"> at </w:t>
      </w:r>
      <w:hyperlink r:id="rId23" w:history="1">
        <w:r w:rsidRPr="00207E6F">
          <w:rPr>
            <w:rStyle w:val="Hyperlink"/>
            <w:rFonts w:ascii="Arial" w:eastAsia="Calibri" w:hAnsi="Arial" w:cs="Arial"/>
            <w:sz w:val="24"/>
            <w:szCs w:val="24"/>
          </w:rPr>
          <w:t>https://www.hcd.ca.gov/community-development/housing-element/docs/status.pdf</w:t>
        </w:r>
      </w:hyperlink>
      <w:r>
        <w:rPr>
          <w:rFonts w:ascii="Arial" w:eastAsia="Calibri" w:hAnsi="Arial" w:cs="Arial"/>
          <w:color w:val="000000"/>
          <w:sz w:val="24"/>
          <w:szCs w:val="24"/>
        </w:rPr>
        <w:t xml:space="preserve">. </w:t>
      </w:r>
    </w:p>
    <w:p w14:paraId="4E23BAE7" w14:textId="0FA34773" w:rsidR="00024400" w:rsidRPr="00315805" w:rsidRDefault="00024400" w:rsidP="00621179">
      <w:pPr>
        <w:pStyle w:val="Heading1"/>
        <w:numPr>
          <w:ilvl w:val="0"/>
          <w:numId w:val="13"/>
        </w:numPr>
        <w:ind w:left="360" w:right="-180"/>
        <w:contextualSpacing w:val="0"/>
        <w:jc w:val="left"/>
        <w:rPr>
          <w:rFonts w:cs="Times New Roman"/>
        </w:rPr>
      </w:pPr>
      <w:bookmarkStart w:id="136" w:name="_Toc47528502"/>
      <w:bookmarkStart w:id="137" w:name="_Toc71201548"/>
      <w:r w:rsidRPr="00315805">
        <w:t xml:space="preserve">Application </w:t>
      </w:r>
      <w:r w:rsidR="0053008F" w:rsidRPr="00315805">
        <w:t xml:space="preserve">submission </w:t>
      </w:r>
      <w:r w:rsidRPr="00315805">
        <w:t xml:space="preserve">and </w:t>
      </w:r>
      <w:r w:rsidR="0053008F" w:rsidRPr="00315805">
        <w:t xml:space="preserve">review </w:t>
      </w:r>
      <w:bookmarkEnd w:id="136"/>
      <w:r w:rsidR="0053008F" w:rsidRPr="00315805">
        <w:t>procedures</w:t>
      </w:r>
      <w:bookmarkEnd w:id="137"/>
    </w:p>
    <w:p w14:paraId="47F01766" w14:textId="47BA5858" w:rsidR="00DC0CD7" w:rsidRPr="004A0827" w:rsidRDefault="00024400" w:rsidP="00621179">
      <w:pPr>
        <w:pStyle w:val="Heading2"/>
        <w:numPr>
          <w:ilvl w:val="0"/>
          <w:numId w:val="6"/>
        </w:numPr>
        <w:ind w:right="-180"/>
        <w:contextualSpacing w:val="0"/>
        <w:rPr>
          <w:rFonts w:cs="Times New Roman"/>
        </w:rPr>
      </w:pPr>
      <w:bookmarkStart w:id="138" w:name="_Toc47528504"/>
      <w:bookmarkStart w:id="139" w:name="_Toc71201549"/>
      <w:r w:rsidRPr="004A0827">
        <w:t xml:space="preserve">Application </w:t>
      </w:r>
      <w:r w:rsidR="00927F25">
        <w:t>s</w:t>
      </w:r>
      <w:r w:rsidRPr="004A0827">
        <w:t xml:space="preserve">ubmission </w:t>
      </w:r>
      <w:r w:rsidR="00927F25">
        <w:t>p</w:t>
      </w:r>
      <w:r w:rsidRPr="004A0827">
        <w:t>rocess</w:t>
      </w:r>
      <w:bookmarkEnd w:id="138"/>
      <w:bookmarkEnd w:id="139"/>
    </w:p>
    <w:p w14:paraId="78C8E9BA" w14:textId="7825E284" w:rsidR="00AC768A" w:rsidRDefault="00FB3DE1" w:rsidP="00621179">
      <w:pPr>
        <w:overflowPunct w:val="0"/>
        <w:autoSpaceDE w:val="0"/>
        <w:autoSpaceDN w:val="0"/>
        <w:adjustRightInd w:val="0"/>
        <w:spacing w:after="240" w:line="240" w:lineRule="auto"/>
        <w:ind w:left="720" w:right="-180"/>
        <w:textAlignment w:val="baseline"/>
        <w:rPr>
          <w:rFonts w:ascii="Arial" w:eastAsia="Times New Roman" w:hAnsi="Arial" w:cs="Times New Roman"/>
          <w:sz w:val="24"/>
        </w:rPr>
      </w:pPr>
      <w:r w:rsidRPr="004A0827">
        <w:rPr>
          <w:rFonts w:ascii="Arial" w:eastAsia="Times New Roman" w:hAnsi="Arial" w:cs="Times New Roman"/>
          <w:sz w:val="24"/>
        </w:rPr>
        <w:t>Application materials must be submitted electronically via the Financial Assistance Application Submittal Tool</w:t>
      </w:r>
      <w:r w:rsidR="00492963">
        <w:rPr>
          <w:rFonts w:ascii="Arial" w:eastAsia="Times New Roman" w:hAnsi="Arial" w:cs="Times New Roman"/>
          <w:sz w:val="24"/>
        </w:rPr>
        <w:t xml:space="preserve"> </w:t>
      </w:r>
      <w:r w:rsidR="00480A85" w:rsidRPr="004A0827">
        <w:rPr>
          <w:rFonts w:ascii="Arial" w:eastAsia="Times New Roman" w:hAnsi="Arial" w:cs="Times New Roman"/>
          <w:sz w:val="24"/>
        </w:rPr>
        <w:t>(FAAST</w:t>
      </w:r>
      <w:r w:rsidR="0002022B">
        <w:rPr>
          <w:rFonts w:ascii="Arial" w:eastAsia="Times New Roman" w:hAnsi="Arial" w:cs="Times New Roman"/>
          <w:sz w:val="24"/>
        </w:rPr>
        <w:t>)</w:t>
      </w:r>
      <w:r w:rsidRPr="004A0827">
        <w:rPr>
          <w:rFonts w:ascii="Arial" w:eastAsia="Times New Roman" w:hAnsi="Arial" w:cs="Times New Roman"/>
          <w:sz w:val="24"/>
        </w:rPr>
        <w:t xml:space="preserve"> system</w:t>
      </w:r>
      <w:r w:rsidR="0097419C" w:rsidRPr="0097419C">
        <w:t xml:space="preserve"> </w:t>
      </w:r>
      <w:hyperlink r:id="rId24" w:history="1">
        <w:r w:rsidR="00AD683A" w:rsidRPr="00902DA5">
          <w:rPr>
            <w:rStyle w:val="Hyperlink"/>
            <w:rFonts w:ascii="Arial" w:eastAsia="Times New Roman" w:hAnsi="Arial"/>
            <w:sz w:val="24"/>
          </w:rPr>
          <w:t>https://faast.waterboards.ca.gov/</w:t>
        </w:r>
      </w:hyperlink>
      <w:r w:rsidR="00D2719F">
        <w:rPr>
          <w:rFonts w:ascii="Arial" w:eastAsia="Times New Roman" w:hAnsi="Arial" w:cs="Times New Roman"/>
          <w:sz w:val="24"/>
        </w:rPr>
        <w:t>.</w:t>
      </w:r>
    </w:p>
    <w:p w14:paraId="491599E5" w14:textId="259FA1EC" w:rsidR="00901916" w:rsidRDefault="002C57B0" w:rsidP="00621179">
      <w:pPr>
        <w:overflowPunct w:val="0"/>
        <w:autoSpaceDE w:val="0"/>
        <w:autoSpaceDN w:val="0"/>
        <w:adjustRightInd w:val="0"/>
        <w:spacing w:after="240" w:line="240" w:lineRule="auto"/>
        <w:ind w:left="720" w:right="-180"/>
        <w:textAlignment w:val="baseline"/>
        <w:rPr>
          <w:rFonts w:ascii="Arial" w:eastAsia="Times New Roman" w:hAnsi="Arial" w:cs="Times New Roman"/>
          <w:sz w:val="24"/>
        </w:rPr>
      </w:pPr>
      <w:r w:rsidRPr="002C57B0">
        <w:rPr>
          <w:rFonts w:ascii="Arial" w:eastAsia="Times New Roman" w:hAnsi="Arial" w:cs="Times New Roman"/>
          <w:sz w:val="24"/>
        </w:rPr>
        <w:t>Original “wet signature” documents are no longer required or accepted</w:t>
      </w:r>
      <w:r>
        <w:rPr>
          <w:rFonts w:ascii="Arial" w:eastAsia="Times New Roman" w:hAnsi="Arial" w:cs="Times New Roman"/>
          <w:sz w:val="24"/>
        </w:rPr>
        <w:t>.</w:t>
      </w:r>
      <w:r w:rsidR="00FB3DE1" w:rsidRPr="00D25288">
        <w:rPr>
          <w:rFonts w:ascii="Arial" w:eastAsia="Times New Roman" w:hAnsi="Arial" w:cs="Times New Roman"/>
          <w:sz w:val="24"/>
        </w:rPr>
        <w:t xml:space="preserve"> </w:t>
      </w:r>
      <w:r w:rsidR="00FB3DE1" w:rsidRPr="00703CEF">
        <w:rPr>
          <w:rFonts w:ascii="Arial" w:eastAsia="Times New Roman" w:hAnsi="Arial" w:cs="Times New Roman"/>
          <w:b/>
          <w:bCs/>
          <w:sz w:val="24"/>
        </w:rPr>
        <w:t xml:space="preserve">Applicants must </w:t>
      </w:r>
      <w:r w:rsidR="00FD2186">
        <w:rPr>
          <w:rFonts w:ascii="Arial" w:eastAsia="Times New Roman" w:hAnsi="Arial" w:cs="Times New Roman"/>
          <w:b/>
          <w:bCs/>
          <w:sz w:val="24"/>
        </w:rPr>
        <w:t>submit</w:t>
      </w:r>
      <w:r w:rsidR="00FB3DE1" w:rsidRPr="00703CEF">
        <w:rPr>
          <w:rFonts w:ascii="Arial" w:eastAsia="Times New Roman" w:hAnsi="Arial" w:cs="Times New Roman"/>
          <w:b/>
          <w:bCs/>
          <w:sz w:val="24"/>
        </w:rPr>
        <w:t xml:space="preserve"> all </w:t>
      </w:r>
      <w:r w:rsidR="00115144">
        <w:rPr>
          <w:rFonts w:ascii="Arial" w:eastAsia="Times New Roman" w:hAnsi="Arial" w:cs="Times New Roman"/>
          <w:b/>
          <w:bCs/>
          <w:sz w:val="24"/>
        </w:rPr>
        <w:t>Application</w:t>
      </w:r>
      <w:r w:rsidR="00FB3DE1" w:rsidRPr="00EE7523">
        <w:rPr>
          <w:rFonts w:ascii="Arial" w:eastAsia="Times New Roman" w:hAnsi="Arial" w:cs="Times New Roman"/>
          <w:b/>
          <w:bCs/>
          <w:sz w:val="24"/>
        </w:rPr>
        <w:t xml:space="preserve"> materials to the FAAST system no later than 5:00 p.m. Pacific </w:t>
      </w:r>
      <w:r w:rsidR="00EB7A6D">
        <w:rPr>
          <w:rFonts w:ascii="Arial" w:eastAsia="Times New Roman" w:hAnsi="Arial" w:cs="Times New Roman"/>
          <w:b/>
          <w:bCs/>
          <w:sz w:val="24"/>
        </w:rPr>
        <w:t xml:space="preserve">Daylight </w:t>
      </w:r>
      <w:r w:rsidR="00FB3DE1" w:rsidRPr="00EE7523">
        <w:rPr>
          <w:rFonts w:ascii="Arial" w:eastAsia="Times New Roman" w:hAnsi="Arial" w:cs="Times New Roman"/>
          <w:b/>
          <w:bCs/>
          <w:sz w:val="24"/>
        </w:rPr>
        <w:t xml:space="preserve">Time on, </w:t>
      </w:r>
      <w:r w:rsidR="00DF6FA6" w:rsidRPr="00FB7C69">
        <w:rPr>
          <w:rFonts w:ascii="Arial" w:eastAsia="Times New Roman" w:hAnsi="Arial" w:cs="Times New Roman"/>
          <w:b/>
          <w:bCs/>
          <w:sz w:val="24"/>
        </w:rPr>
        <w:t>Ju</w:t>
      </w:r>
      <w:r w:rsidR="00FB2E20" w:rsidRPr="00FB7C69">
        <w:rPr>
          <w:rFonts w:ascii="Arial" w:eastAsia="Times New Roman" w:hAnsi="Arial" w:cs="Times New Roman"/>
          <w:b/>
          <w:bCs/>
          <w:sz w:val="24"/>
        </w:rPr>
        <w:t xml:space="preserve">ly </w:t>
      </w:r>
      <w:r w:rsidR="00FA1465">
        <w:rPr>
          <w:rFonts w:ascii="Arial" w:eastAsia="Times New Roman" w:hAnsi="Arial" w:cs="Times New Roman"/>
          <w:b/>
          <w:bCs/>
          <w:sz w:val="24"/>
        </w:rPr>
        <w:t>12</w:t>
      </w:r>
      <w:r w:rsidR="00FB3DE1" w:rsidRPr="00DE6149">
        <w:rPr>
          <w:rFonts w:ascii="Arial" w:eastAsia="Times New Roman" w:hAnsi="Arial" w:cs="Times New Roman"/>
          <w:b/>
          <w:bCs/>
          <w:sz w:val="24"/>
        </w:rPr>
        <w:t>, 202</w:t>
      </w:r>
      <w:r w:rsidR="00CE2DE6" w:rsidRPr="00DE6149">
        <w:rPr>
          <w:rFonts w:ascii="Arial" w:eastAsia="Times New Roman" w:hAnsi="Arial" w:cs="Times New Roman"/>
          <w:b/>
          <w:bCs/>
          <w:sz w:val="24"/>
        </w:rPr>
        <w:t>1</w:t>
      </w:r>
      <w:r w:rsidR="00FB3DE1" w:rsidRPr="00DE6149">
        <w:rPr>
          <w:rFonts w:ascii="Arial" w:eastAsia="Times New Roman" w:hAnsi="Arial" w:cs="Times New Roman"/>
          <w:b/>
          <w:bCs/>
          <w:sz w:val="24"/>
        </w:rPr>
        <w:t>.</w:t>
      </w:r>
      <w:r w:rsidR="00FB3DE1" w:rsidRPr="00EE7523">
        <w:rPr>
          <w:rFonts w:ascii="Arial" w:eastAsia="Times New Roman" w:hAnsi="Arial" w:cs="Times New Roman"/>
          <w:sz w:val="24"/>
        </w:rPr>
        <w:t xml:space="preserve"> Applications that do</w:t>
      </w:r>
      <w:r w:rsidR="00355462">
        <w:rPr>
          <w:rFonts w:ascii="Arial" w:eastAsia="Times New Roman" w:hAnsi="Arial" w:cs="Times New Roman"/>
          <w:sz w:val="24"/>
        </w:rPr>
        <w:t> </w:t>
      </w:r>
      <w:r w:rsidR="00FB3DE1" w:rsidRPr="00EE7523">
        <w:rPr>
          <w:rFonts w:ascii="Arial" w:eastAsia="Times New Roman" w:hAnsi="Arial" w:cs="Times New Roman"/>
          <w:sz w:val="24"/>
        </w:rPr>
        <w:t>not meet the filing deadline requirements will not</w:t>
      </w:r>
      <w:r w:rsidR="00FB3DE1" w:rsidRPr="004A0827">
        <w:rPr>
          <w:rFonts w:ascii="Arial" w:eastAsia="Times New Roman" w:hAnsi="Arial" w:cs="Times New Roman"/>
          <w:sz w:val="24"/>
        </w:rPr>
        <w:t xml:space="preserve"> be eligible for funding. </w:t>
      </w:r>
    </w:p>
    <w:p w14:paraId="54329B84" w14:textId="4D1F9AAA" w:rsidR="00355462" w:rsidRDefault="00FB3DE1" w:rsidP="00621179">
      <w:pPr>
        <w:overflowPunct w:val="0"/>
        <w:autoSpaceDE w:val="0"/>
        <w:autoSpaceDN w:val="0"/>
        <w:adjustRightInd w:val="0"/>
        <w:spacing w:after="240" w:line="240" w:lineRule="auto"/>
        <w:ind w:left="720" w:right="-180"/>
        <w:textAlignment w:val="baseline"/>
        <w:rPr>
          <w:rFonts w:ascii="Arial" w:eastAsia="Times New Roman" w:hAnsi="Arial" w:cs="Times New Roman"/>
          <w:sz w:val="24"/>
        </w:rPr>
      </w:pPr>
      <w:r w:rsidRPr="004A0827">
        <w:rPr>
          <w:rFonts w:ascii="Arial" w:eastAsia="Times New Roman" w:hAnsi="Arial" w:cs="Times New Roman"/>
          <w:sz w:val="24"/>
        </w:rPr>
        <w:t xml:space="preserve">Applications must be on </w:t>
      </w:r>
      <w:r w:rsidR="00027DFB">
        <w:rPr>
          <w:rFonts w:ascii="Arial" w:eastAsia="Times New Roman" w:hAnsi="Arial" w:cs="Times New Roman"/>
          <w:sz w:val="24"/>
        </w:rPr>
        <w:t>HCD</w:t>
      </w:r>
      <w:r w:rsidRPr="004A0827">
        <w:rPr>
          <w:rFonts w:ascii="Arial" w:eastAsia="Times New Roman" w:hAnsi="Arial" w:cs="Times New Roman"/>
          <w:sz w:val="24"/>
        </w:rPr>
        <w:t>’s forms and cannot be altered or modified by the Applicant. Excel forms must be in Excel format, not a PDF document.</w:t>
      </w:r>
      <w:r w:rsidR="00E63697">
        <w:rPr>
          <w:rFonts w:ascii="Arial" w:eastAsia="Times New Roman" w:hAnsi="Arial" w:cs="Times New Roman"/>
          <w:sz w:val="24"/>
        </w:rPr>
        <w:t xml:space="preserve"> </w:t>
      </w:r>
      <w:r w:rsidR="00901916" w:rsidRPr="00901916">
        <w:rPr>
          <w:rFonts w:ascii="Arial" w:eastAsia="Times New Roman" w:hAnsi="Arial" w:cs="Times New Roman"/>
          <w:sz w:val="24"/>
        </w:rPr>
        <w:t>Applications must meet all eligibility requirements upon submission</w:t>
      </w:r>
      <w:r w:rsidR="00B40A3D">
        <w:rPr>
          <w:rFonts w:ascii="Arial" w:eastAsia="Times New Roman" w:hAnsi="Arial" w:cs="Times New Roman"/>
          <w:sz w:val="24"/>
        </w:rPr>
        <w:t xml:space="preserve"> (except as expressly indicated in the </w:t>
      </w:r>
      <w:r w:rsidR="00333243">
        <w:rPr>
          <w:rFonts w:ascii="Arial" w:eastAsia="Times New Roman" w:hAnsi="Arial" w:cs="Times New Roman"/>
          <w:sz w:val="24"/>
        </w:rPr>
        <w:t>Guidelines</w:t>
      </w:r>
      <w:r w:rsidR="00B40A3D">
        <w:rPr>
          <w:rFonts w:ascii="Arial" w:eastAsia="Times New Roman" w:hAnsi="Arial" w:cs="Times New Roman"/>
          <w:sz w:val="24"/>
        </w:rPr>
        <w:t>)</w:t>
      </w:r>
      <w:r w:rsidR="00901916" w:rsidRPr="00901916">
        <w:rPr>
          <w:rFonts w:ascii="Arial" w:eastAsia="Times New Roman" w:hAnsi="Arial" w:cs="Times New Roman"/>
          <w:sz w:val="24"/>
        </w:rPr>
        <w:t xml:space="preserve">. Applications with material internal inconsistencies will not be rated and ranked. It is the Applicant’s responsibility to ensure that the </w:t>
      </w:r>
      <w:r w:rsidR="00115144">
        <w:rPr>
          <w:rFonts w:ascii="Arial" w:eastAsia="Times New Roman" w:hAnsi="Arial" w:cs="Times New Roman"/>
          <w:sz w:val="24"/>
        </w:rPr>
        <w:t>Application</w:t>
      </w:r>
      <w:r w:rsidR="00901916" w:rsidRPr="00901916">
        <w:rPr>
          <w:rFonts w:ascii="Arial" w:eastAsia="Times New Roman" w:hAnsi="Arial" w:cs="Times New Roman"/>
          <w:sz w:val="24"/>
        </w:rPr>
        <w:t xml:space="preserve"> is clear, complete</w:t>
      </w:r>
      <w:r w:rsidR="00FE1F82">
        <w:rPr>
          <w:rFonts w:ascii="Arial" w:eastAsia="Times New Roman" w:hAnsi="Arial" w:cs="Times New Roman"/>
          <w:sz w:val="24"/>
        </w:rPr>
        <w:t>,</w:t>
      </w:r>
      <w:r w:rsidR="00901916" w:rsidRPr="00901916">
        <w:rPr>
          <w:rFonts w:ascii="Arial" w:eastAsia="Times New Roman" w:hAnsi="Arial" w:cs="Times New Roman"/>
          <w:sz w:val="24"/>
        </w:rPr>
        <w:t xml:space="preserve"> and accurate. Program staff may request clarifying information.</w:t>
      </w:r>
      <w:bookmarkStart w:id="140" w:name="_Toc47528505"/>
      <w:bookmarkStart w:id="141" w:name="_Toc54709536"/>
      <w:r w:rsidR="00507F2E">
        <w:rPr>
          <w:rFonts w:ascii="Arial" w:eastAsia="Times New Roman" w:hAnsi="Arial" w:cs="Times New Roman"/>
          <w:sz w:val="24"/>
        </w:rPr>
        <w:t xml:space="preserve"> </w:t>
      </w:r>
    </w:p>
    <w:p w14:paraId="29161405" w14:textId="0EC71CAD" w:rsidR="0096407A" w:rsidRPr="00CB0ADD" w:rsidRDefault="00024400" w:rsidP="00621179">
      <w:pPr>
        <w:pStyle w:val="Heading2"/>
        <w:numPr>
          <w:ilvl w:val="0"/>
          <w:numId w:val="6"/>
        </w:numPr>
        <w:ind w:right="-180"/>
        <w:contextualSpacing w:val="0"/>
      </w:pPr>
      <w:bookmarkStart w:id="142" w:name="_Toc71201550"/>
      <w:r w:rsidRPr="00024400">
        <w:t xml:space="preserve">Application </w:t>
      </w:r>
      <w:r w:rsidR="00927F25">
        <w:t>w</w:t>
      </w:r>
      <w:r w:rsidRPr="00024400">
        <w:t>orkshops</w:t>
      </w:r>
      <w:bookmarkEnd w:id="140"/>
      <w:r w:rsidR="00481E4E">
        <w:t>/</w:t>
      </w:r>
      <w:r w:rsidR="00927F25">
        <w:t>w</w:t>
      </w:r>
      <w:r w:rsidR="00481E4E">
        <w:t>ebinar</w:t>
      </w:r>
      <w:bookmarkEnd w:id="141"/>
      <w:bookmarkEnd w:id="142"/>
    </w:p>
    <w:p w14:paraId="31B6A8B3" w14:textId="47CA980C" w:rsidR="00B936AB" w:rsidRDefault="00027DFB" w:rsidP="00621179">
      <w:pPr>
        <w:overflowPunct w:val="0"/>
        <w:autoSpaceDE w:val="0"/>
        <w:autoSpaceDN w:val="0"/>
        <w:adjustRightInd w:val="0"/>
        <w:spacing w:after="240" w:line="240" w:lineRule="auto"/>
        <w:ind w:left="720" w:right="-180"/>
        <w:textAlignment w:val="baseline"/>
        <w:rPr>
          <w:rFonts w:ascii="Arial" w:eastAsia="Times New Roman" w:hAnsi="Arial" w:cs="Arial"/>
          <w:sz w:val="24"/>
          <w:szCs w:val="20"/>
        </w:rPr>
      </w:pPr>
      <w:r>
        <w:rPr>
          <w:rFonts w:ascii="Arial" w:eastAsia="Times New Roman" w:hAnsi="Arial" w:cs="Arial"/>
          <w:sz w:val="24"/>
          <w:szCs w:val="20"/>
        </w:rPr>
        <w:t>HCD</w:t>
      </w:r>
      <w:r w:rsidR="00024400" w:rsidRPr="00024400">
        <w:rPr>
          <w:rFonts w:ascii="Arial" w:eastAsia="Times New Roman" w:hAnsi="Arial" w:cs="Arial"/>
          <w:sz w:val="24"/>
          <w:szCs w:val="20"/>
        </w:rPr>
        <w:t xml:space="preserve"> will conduct </w:t>
      </w:r>
      <w:r w:rsidR="00481E4E" w:rsidRPr="00901916">
        <w:rPr>
          <w:rFonts w:ascii="Arial" w:eastAsia="Times New Roman" w:hAnsi="Arial" w:cs="Arial"/>
          <w:sz w:val="24"/>
          <w:szCs w:val="20"/>
        </w:rPr>
        <w:t>two</w:t>
      </w:r>
      <w:r w:rsidR="00481E4E" w:rsidRPr="00024400">
        <w:rPr>
          <w:rFonts w:ascii="Arial" w:eastAsia="Times New Roman" w:hAnsi="Arial" w:cs="Arial"/>
          <w:sz w:val="24"/>
          <w:szCs w:val="20"/>
        </w:rPr>
        <w:t xml:space="preserve"> </w:t>
      </w:r>
      <w:r w:rsidR="00115144">
        <w:rPr>
          <w:rFonts w:ascii="Arial" w:eastAsia="Times New Roman" w:hAnsi="Arial" w:cs="Arial"/>
          <w:sz w:val="24"/>
          <w:szCs w:val="20"/>
        </w:rPr>
        <w:t>Application</w:t>
      </w:r>
      <w:r w:rsidR="00024400" w:rsidRPr="00024400">
        <w:rPr>
          <w:rFonts w:ascii="Arial" w:eastAsia="Times New Roman" w:hAnsi="Arial" w:cs="Arial"/>
          <w:sz w:val="24"/>
          <w:szCs w:val="20"/>
        </w:rPr>
        <w:t xml:space="preserve"> </w:t>
      </w:r>
      <w:r w:rsidR="00481E4E">
        <w:rPr>
          <w:rFonts w:ascii="Arial" w:eastAsia="Times New Roman" w:hAnsi="Arial" w:cs="Arial"/>
          <w:sz w:val="24"/>
          <w:szCs w:val="20"/>
        </w:rPr>
        <w:t>webinars</w:t>
      </w:r>
      <w:r w:rsidR="00024400" w:rsidRPr="00024400">
        <w:rPr>
          <w:rFonts w:ascii="Arial" w:eastAsia="Times New Roman" w:hAnsi="Arial" w:cs="Arial"/>
          <w:sz w:val="24"/>
          <w:szCs w:val="20"/>
        </w:rPr>
        <w:t xml:space="preserve">. </w:t>
      </w:r>
      <w:r w:rsidR="00024400" w:rsidRPr="007F12FB">
        <w:rPr>
          <w:rFonts w:ascii="Arial" w:eastAsia="Times New Roman" w:hAnsi="Arial" w:cs="Arial"/>
          <w:sz w:val="24"/>
          <w:szCs w:val="20"/>
        </w:rPr>
        <w:t xml:space="preserve">Please </w:t>
      </w:r>
      <w:r w:rsidR="0013519B" w:rsidRPr="007F12FB">
        <w:rPr>
          <w:rFonts w:ascii="Arial" w:eastAsia="Times New Roman" w:hAnsi="Arial" w:cs="Arial"/>
          <w:sz w:val="24"/>
          <w:szCs w:val="20"/>
        </w:rPr>
        <w:t xml:space="preserve">visit </w:t>
      </w:r>
      <w:bookmarkStart w:id="143" w:name="_Hlk53138902"/>
      <w:r w:rsidR="00B43057" w:rsidRPr="00902DA5">
        <w:rPr>
          <w:rStyle w:val="Hyperlink"/>
          <w:rFonts w:ascii="Arial" w:eastAsia="Times New Roman" w:hAnsi="Arial" w:cs="Arial"/>
          <w:sz w:val="24"/>
          <w:szCs w:val="20"/>
        </w:rPr>
        <w:t>https://www.hcd.ca.gov/grants-funding/active-funding/iigp.shtml</w:t>
      </w:r>
      <w:bookmarkEnd w:id="143"/>
      <w:r w:rsidR="00B43057">
        <w:rPr>
          <w:rStyle w:val="Hyperlink"/>
          <w:rFonts w:ascii="Arial" w:eastAsia="Times New Roman" w:hAnsi="Arial" w:cs="Arial"/>
          <w:color w:val="0033CC"/>
          <w:sz w:val="24"/>
          <w:szCs w:val="20"/>
        </w:rPr>
        <w:t xml:space="preserve"> </w:t>
      </w:r>
      <w:r w:rsidR="007F12FB" w:rsidRPr="00D25288">
        <w:rPr>
          <w:rFonts w:ascii="Arial" w:eastAsia="Times New Roman" w:hAnsi="Arial" w:cs="Arial"/>
          <w:sz w:val="24"/>
          <w:szCs w:val="20"/>
        </w:rPr>
        <w:t xml:space="preserve">on the </w:t>
      </w:r>
      <w:r w:rsidR="00FE1F82">
        <w:rPr>
          <w:rFonts w:ascii="Arial" w:eastAsia="Times New Roman" w:hAnsi="Arial" w:cs="Arial"/>
          <w:sz w:val="24"/>
          <w:szCs w:val="20"/>
        </w:rPr>
        <w:t>p</w:t>
      </w:r>
      <w:r w:rsidR="007F12FB" w:rsidRPr="007F12FB">
        <w:rPr>
          <w:rFonts w:ascii="Arial" w:eastAsia="Times New Roman" w:hAnsi="Arial" w:cs="Arial"/>
          <w:sz w:val="24"/>
          <w:szCs w:val="20"/>
        </w:rPr>
        <w:t>rogram website for the dates and</w:t>
      </w:r>
      <w:r w:rsidR="00901916">
        <w:rPr>
          <w:rFonts w:ascii="Arial" w:eastAsia="Times New Roman" w:hAnsi="Arial" w:cs="Arial"/>
          <w:sz w:val="24"/>
          <w:szCs w:val="20"/>
        </w:rPr>
        <w:t xml:space="preserve"> registration</w:t>
      </w:r>
      <w:r w:rsidR="007F12FB" w:rsidRPr="007F12FB">
        <w:rPr>
          <w:rFonts w:ascii="Arial" w:eastAsia="Times New Roman" w:hAnsi="Arial" w:cs="Arial"/>
          <w:sz w:val="24"/>
          <w:szCs w:val="20"/>
        </w:rPr>
        <w:t xml:space="preserve"> </w:t>
      </w:r>
      <w:r w:rsidR="00901916">
        <w:rPr>
          <w:rFonts w:ascii="Arial" w:eastAsia="Times New Roman" w:hAnsi="Arial" w:cs="Arial"/>
          <w:sz w:val="24"/>
          <w:szCs w:val="20"/>
        </w:rPr>
        <w:t>information</w:t>
      </w:r>
      <w:r w:rsidR="007F12FB" w:rsidRPr="007F12FB">
        <w:rPr>
          <w:rFonts w:ascii="Arial" w:eastAsia="Times New Roman" w:hAnsi="Arial" w:cs="Arial"/>
          <w:sz w:val="24"/>
          <w:szCs w:val="20"/>
        </w:rPr>
        <w:t>.</w:t>
      </w:r>
    </w:p>
    <w:p w14:paraId="6E0855B1" w14:textId="162CAE73" w:rsidR="00EB11E3" w:rsidRPr="00CB0ADD" w:rsidRDefault="00024400" w:rsidP="00621179">
      <w:pPr>
        <w:pStyle w:val="Heading2"/>
        <w:numPr>
          <w:ilvl w:val="0"/>
          <w:numId w:val="6"/>
        </w:numPr>
        <w:ind w:right="-180"/>
        <w:contextualSpacing w:val="0"/>
        <w:rPr>
          <w:szCs w:val="24"/>
        </w:rPr>
      </w:pPr>
      <w:bookmarkStart w:id="144" w:name="_Toc47528506"/>
      <w:bookmarkStart w:id="145" w:name="_Toc71201551"/>
      <w:r w:rsidRPr="00CB0ADD">
        <w:t>Disclosure of Application</w:t>
      </w:r>
      <w:bookmarkStart w:id="146" w:name="_Toc493151044"/>
      <w:bookmarkEnd w:id="144"/>
      <w:bookmarkEnd w:id="145"/>
    </w:p>
    <w:p w14:paraId="010D8918" w14:textId="3E50EDB5" w:rsidR="00024400" w:rsidRDefault="00024400" w:rsidP="00621179">
      <w:pPr>
        <w:autoSpaceDE w:val="0"/>
        <w:autoSpaceDN w:val="0"/>
        <w:adjustRightInd w:val="0"/>
        <w:spacing w:after="240" w:line="240" w:lineRule="auto"/>
        <w:ind w:left="720" w:right="-180"/>
        <w:rPr>
          <w:rFonts w:ascii="Arial" w:eastAsia="Times New Roman" w:hAnsi="Arial" w:cs="Arial"/>
          <w:iCs/>
          <w:sz w:val="24"/>
          <w:szCs w:val="24"/>
        </w:rPr>
      </w:pPr>
      <w:r w:rsidRPr="00CB0ADD">
        <w:rPr>
          <w:rFonts w:ascii="Arial" w:eastAsia="Times New Roman" w:hAnsi="Arial" w:cs="Arial"/>
          <w:iCs/>
          <w:sz w:val="24"/>
          <w:szCs w:val="24"/>
        </w:rPr>
        <w:t xml:space="preserve">Information provided in the </w:t>
      </w:r>
      <w:r w:rsidR="00115144">
        <w:rPr>
          <w:rFonts w:ascii="Arial" w:eastAsia="Times New Roman" w:hAnsi="Arial" w:cs="Arial"/>
          <w:iCs/>
          <w:sz w:val="24"/>
          <w:szCs w:val="24"/>
        </w:rPr>
        <w:t>Application</w:t>
      </w:r>
      <w:r w:rsidRPr="00CB0ADD">
        <w:rPr>
          <w:rFonts w:ascii="Arial" w:eastAsia="Times New Roman" w:hAnsi="Arial" w:cs="Arial"/>
          <w:iCs/>
          <w:sz w:val="24"/>
          <w:szCs w:val="24"/>
        </w:rPr>
        <w:t xml:space="preserve"> will become a public record available </w:t>
      </w:r>
      <w:r w:rsidR="00FE1F82" w:rsidRPr="00CB0ADD">
        <w:rPr>
          <w:rFonts w:ascii="Arial" w:eastAsia="Times New Roman" w:hAnsi="Arial" w:cs="Arial"/>
          <w:iCs/>
          <w:sz w:val="24"/>
          <w:szCs w:val="24"/>
        </w:rPr>
        <w:t>for</w:t>
      </w:r>
      <w:r w:rsidR="00166DE9">
        <w:rPr>
          <w:rFonts w:ascii="Arial" w:eastAsia="Times New Roman" w:hAnsi="Arial" w:cs="Arial"/>
          <w:iCs/>
          <w:sz w:val="24"/>
          <w:szCs w:val="24"/>
        </w:rPr>
        <w:t xml:space="preserve"> </w:t>
      </w:r>
      <w:r w:rsidRPr="00CB0ADD">
        <w:rPr>
          <w:rFonts w:ascii="Arial" w:eastAsia="Times New Roman" w:hAnsi="Arial" w:cs="Arial"/>
          <w:iCs/>
          <w:sz w:val="24"/>
          <w:szCs w:val="24"/>
        </w:rPr>
        <w:t>review by the public, pursuant to the California Public Records Act</w:t>
      </w:r>
      <w:r w:rsidR="00FE1F82">
        <w:rPr>
          <w:rFonts w:ascii="Arial" w:eastAsia="Times New Roman" w:hAnsi="Arial" w:cs="Arial"/>
          <w:iCs/>
          <w:sz w:val="24"/>
          <w:szCs w:val="24"/>
        </w:rPr>
        <w:t xml:space="preserve"> (Act)</w:t>
      </w:r>
      <w:r w:rsidRPr="00CB0ADD">
        <w:rPr>
          <w:rFonts w:ascii="Arial" w:eastAsia="Times New Roman" w:hAnsi="Arial" w:cs="Arial"/>
          <w:iCs/>
          <w:sz w:val="24"/>
          <w:szCs w:val="24"/>
        </w:rPr>
        <w:t xml:space="preserve"> (</w:t>
      </w:r>
      <w:r w:rsidR="00FE1F82" w:rsidRPr="00CB0ADD">
        <w:rPr>
          <w:rFonts w:ascii="Arial" w:eastAsia="Times New Roman" w:hAnsi="Arial" w:cs="Arial"/>
          <w:iCs/>
          <w:sz w:val="24"/>
          <w:szCs w:val="24"/>
        </w:rPr>
        <w:t>Chapter</w:t>
      </w:r>
      <w:r w:rsidR="00FE1F82">
        <w:rPr>
          <w:rFonts w:ascii="Arial" w:eastAsia="Times New Roman" w:hAnsi="Arial" w:cs="Arial"/>
          <w:iCs/>
          <w:sz w:val="24"/>
          <w:szCs w:val="24"/>
        </w:rPr>
        <w:t> </w:t>
      </w:r>
      <w:r w:rsidRPr="00CB0ADD">
        <w:rPr>
          <w:rFonts w:ascii="Arial" w:eastAsia="Times New Roman" w:hAnsi="Arial" w:cs="Arial"/>
          <w:iCs/>
          <w:sz w:val="24"/>
          <w:szCs w:val="24"/>
        </w:rPr>
        <w:t xml:space="preserve">1473, Statutes 1968). As such, any materials provided will be disclosable to any person making a request under this </w:t>
      </w:r>
      <w:r w:rsidR="009A38CD" w:rsidRPr="00CB0ADD">
        <w:rPr>
          <w:rFonts w:ascii="Arial" w:eastAsia="Times New Roman" w:hAnsi="Arial" w:cs="Arial"/>
          <w:iCs/>
          <w:sz w:val="24"/>
          <w:szCs w:val="24"/>
        </w:rPr>
        <w:t>Act</w:t>
      </w:r>
      <w:r w:rsidR="009A38CD" w:rsidRPr="00901916">
        <w:rPr>
          <w:rFonts w:ascii="Arial" w:eastAsia="Times New Roman" w:hAnsi="Arial" w:cs="Arial"/>
          <w:iCs/>
          <w:sz w:val="24"/>
          <w:szCs w:val="24"/>
        </w:rPr>
        <w:t xml:space="preserve"> and</w:t>
      </w:r>
      <w:r w:rsidR="00901916" w:rsidRPr="00901916">
        <w:rPr>
          <w:rFonts w:ascii="Arial" w:eastAsia="Times New Roman" w:hAnsi="Arial" w:cs="Arial"/>
          <w:iCs/>
          <w:sz w:val="24"/>
          <w:szCs w:val="24"/>
        </w:rPr>
        <w:t xml:space="preserve"> will be made publicly available through the FAAST electronic portal</w:t>
      </w:r>
      <w:r w:rsidR="00901916">
        <w:rPr>
          <w:rFonts w:ascii="Arial" w:eastAsia="Times New Roman" w:hAnsi="Arial" w:cs="Arial"/>
          <w:iCs/>
          <w:sz w:val="24"/>
          <w:szCs w:val="24"/>
        </w:rPr>
        <w:t>.</w:t>
      </w:r>
      <w:r w:rsidRPr="00CB0ADD">
        <w:rPr>
          <w:rFonts w:ascii="Arial" w:eastAsia="Times New Roman" w:hAnsi="Arial" w:cs="Arial"/>
          <w:iCs/>
          <w:sz w:val="24"/>
          <w:szCs w:val="24"/>
        </w:rPr>
        <w:t xml:space="preserve"> </w:t>
      </w:r>
      <w:r w:rsidR="00027DFB">
        <w:rPr>
          <w:rFonts w:ascii="Arial" w:eastAsia="Times New Roman" w:hAnsi="Arial" w:cs="Arial"/>
          <w:iCs/>
          <w:sz w:val="24"/>
          <w:szCs w:val="24"/>
        </w:rPr>
        <w:t>HCD</w:t>
      </w:r>
      <w:r w:rsidRPr="00CB0ADD">
        <w:rPr>
          <w:rFonts w:ascii="Arial" w:eastAsia="Times New Roman" w:hAnsi="Arial" w:cs="Arial"/>
          <w:iCs/>
          <w:sz w:val="24"/>
          <w:szCs w:val="24"/>
        </w:rPr>
        <w:t xml:space="preserve"> cautions </w:t>
      </w:r>
      <w:r w:rsidR="00D11D8B">
        <w:rPr>
          <w:rFonts w:ascii="Arial" w:eastAsia="Times New Roman" w:hAnsi="Arial" w:cs="Arial"/>
          <w:iCs/>
          <w:sz w:val="24"/>
          <w:szCs w:val="24"/>
        </w:rPr>
        <w:t>A</w:t>
      </w:r>
      <w:r w:rsidRPr="00CB0ADD">
        <w:rPr>
          <w:rFonts w:ascii="Arial" w:eastAsia="Times New Roman" w:hAnsi="Arial" w:cs="Arial"/>
          <w:iCs/>
          <w:sz w:val="24"/>
          <w:szCs w:val="24"/>
        </w:rPr>
        <w:t>pplicants to use discretion in providing information not specifically requested, including but not limited to, bank account numbers, personal phone numbers</w:t>
      </w:r>
      <w:r w:rsidR="00FE1F82">
        <w:rPr>
          <w:rFonts w:ascii="Arial" w:eastAsia="Times New Roman" w:hAnsi="Arial" w:cs="Arial"/>
          <w:iCs/>
          <w:sz w:val="24"/>
          <w:szCs w:val="24"/>
        </w:rPr>
        <w:t>,</w:t>
      </w:r>
      <w:r w:rsidRPr="00CB0ADD">
        <w:rPr>
          <w:rFonts w:ascii="Arial" w:eastAsia="Times New Roman" w:hAnsi="Arial" w:cs="Arial"/>
          <w:iCs/>
          <w:sz w:val="24"/>
          <w:szCs w:val="24"/>
        </w:rPr>
        <w:t xml:space="preserve"> and home addresses. By providing this information to </w:t>
      </w:r>
      <w:r w:rsidR="00027DFB">
        <w:rPr>
          <w:rFonts w:ascii="Arial" w:eastAsia="Times New Roman" w:hAnsi="Arial" w:cs="Arial"/>
          <w:iCs/>
          <w:sz w:val="24"/>
          <w:szCs w:val="24"/>
        </w:rPr>
        <w:t>HCD</w:t>
      </w:r>
      <w:r w:rsidRPr="00CB0ADD">
        <w:rPr>
          <w:rFonts w:ascii="Arial" w:eastAsia="Times New Roman" w:hAnsi="Arial" w:cs="Arial"/>
          <w:iCs/>
          <w:sz w:val="24"/>
          <w:szCs w:val="24"/>
        </w:rPr>
        <w:t xml:space="preserve">, the </w:t>
      </w:r>
      <w:r w:rsidR="00D11D8B">
        <w:rPr>
          <w:rFonts w:ascii="Arial" w:eastAsia="Times New Roman" w:hAnsi="Arial" w:cs="Arial"/>
          <w:iCs/>
          <w:sz w:val="24"/>
          <w:szCs w:val="24"/>
        </w:rPr>
        <w:t>A</w:t>
      </w:r>
      <w:r w:rsidR="00D11D8B" w:rsidRPr="00CB0ADD">
        <w:rPr>
          <w:rFonts w:ascii="Arial" w:eastAsia="Times New Roman" w:hAnsi="Arial" w:cs="Arial"/>
          <w:iCs/>
          <w:sz w:val="24"/>
          <w:szCs w:val="24"/>
        </w:rPr>
        <w:t xml:space="preserve">pplicant </w:t>
      </w:r>
      <w:r w:rsidRPr="00CB0ADD">
        <w:rPr>
          <w:rFonts w:ascii="Arial" w:eastAsia="Times New Roman" w:hAnsi="Arial" w:cs="Arial"/>
          <w:iCs/>
          <w:sz w:val="24"/>
          <w:szCs w:val="24"/>
        </w:rPr>
        <w:t>is waiving any claim of confidentiality and consents to the disclosure of submitted material upon request.</w:t>
      </w:r>
      <w:bookmarkEnd w:id="146"/>
    </w:p>
    <w:p w14:paraId="38048304" w14:textId="440B73BF" w:rsidR="00A8660C" w:rsidRPr="00720FF4" w:rsidRDefault="002E1749" w:rsidP="00621179">
      <w:pPr>
        <w:pStyle w:val="Heading1"/>
        <w:numPr>
          <w:ilvl w:val="0"/>
          <w:numId w:val="13"/>
        </w:numPr>
        <w:ind w:left="360" w:right="-180"/>
        <w:contextualSpacing w:val="0"/>
        <w:jc w:val="left"/>
      </w:pPr>
      <w:bookmarkStart w:id="147" w:name="_Toc47528507"/>
      <w:bookmarkStart w:id="148" w:name="_Toc54709538"/>
      <w:bookmarkStart w:id="149" w:name="_Toc71201552"/>
      <w:r w:rsidRPr="00720FF4">
        <w:t>Appeals</w:t>
      </w:r>
      <w:bookmarkEnd w:id="147"/>
      <w:bookmarkEnd w:id="148"/>
      <w:bookmarkEnd w:id="149"/>
    </w:p>
    <w:p w14:paraId="3691F5BA" w14:textId="57601887" w:rsidR="00830B36" w:rsidRPr="00901916" w:rsidRDefault="002E1749" w:rsidP="00621179">
      <w:pPr>
        <w:pStyle w:val="Heading2"/>
        <w:numPr>
          <w:ilvl w:val="0"/>
          <w:numId w:val="8"/>
        </w:numPr>
        <w:ind w:right="-180"/>
        <w:contextualSpacing w:val="0"/>
        <w:rPr>
          <w:bCs/>
        </w:rPr>
      </w:pPr>
      <w:bookmarkStart w:id="150" w:name="_Toc47528508"/>
      <w:bookmarkStart w:id="151" w:name="_Toc71201553"/>
      <w:r w:rsidRPr="00901916">
        <w:rPr>
          <w:bCs/>
        </w:rPr>
        <w:t xml:space="preserve">Basis of </w:t>
      </w:r>
      <w:r w:rsidR="00927F25">
        <w:rPr>
          <w:bCs/>
        </w:rPr>
        <w:t>a</w:t>
      </w:r>
      <w:r w:rsidRPr="00901916">
        <w:rPr>
          <w:bCs/>
        </w:rPr>
        <w:t>ppeals</w:t>
      </w:r>
      <w:bookmarkEnd w:id="150"/>
      <w:bookmarkEnd w:id="151"/>
    </w:p>
    <w:p w14:paraId="68D28B95" w14:textId="01B2E1B6" w:rsidR="00830B36" w:rsidRDefault="00530511" w:rsidP="00621179">
      <w:pPr>
        <w:pStyle w:val="ListParagraph"/>
        <w:numPr>
          <w:ilvl w:val="0"/>
          <w:numId w:val="31"/>
        </w:numPr>
        <w:spacing w:line="240" w:lineRule="auto"/>
        <w:ind w:left="1080"/>
      </w:pPr>
      <w:bookmarkStart w:id="152" w:name="_Toc47528269"/>
      <w:bookmarkStart w:id="153" w:name="_Toc47528509"/>
      <w:bookmarkStart w:id="154" w:name="_Toc47529172"/>
      <w:bookmarkStart w:id="155" w:name="_Toc47530627"/>
      <w:bookmarkStart w:id="156" w:name="_Toc54709540"/>
      <w:bookmarkStart w:id="157" w:name="_Toc71194301"/>
      <w:r w:rsidRPr="00833D56">
        <w:t xml:space="preserve">Upon receipt of </w:t>
      </w:r>
      <w:r w:rsidR="00027DFB">
        <w:t>HCD</w:t>
      </w:r>
      <w:r w:rsidRPr="00C76370">
        <w:t>’</w:t>
      </w:r>
      <w:r w:rsidRPr="00A36F1F">
        <w:t xml:space="preserve">s notice that an </w:t>
      </w:r>
      <w:r w:rsidR="00115144">
        <w:t>Application</w:t>
      </w:r>
      <w:r w:rsidRPr="00A36F1F">
        <w:t xml:space="preserve"> has been</w:t>
      </w:r>
      <w:r>
        <w:t xml:space="preserve"> determined to be incomplete, ineligi</w:t>
      </w:r>
      <w:r w:rsidR="0096503C">
        <w:t>b</w:t>
      </w:r>
      <w:r>
        <w:t xml:space="preserve">le, </w:t>
      </w:r>
      <w:r w:rsidR="00F45360">
        <w:t xml:space="preserve">has </w:t>
      </w:r>
      <w:r>
        <w:t xml:space="preserve">fail </w:t>
      </w:r>
      <w:r w:rsidRPr="00721517">
        <w:t>threshold</w:t>
      </w:r>
      <w:r>
        <w:t xml:space="preserve"> review, or ha</w:t>
      </w:r>
      <w:r w:rsidR="000256DC">
        <w:t>s</w:t>
      </w:r>
      <w:r>
        <w:t xml:space="preserve"> a reduction to the </w:t>
      </w:r>
      <w:r w:rsidR="00612185">
        <w:t>self-score</w:t>
      </w:r>
      <w:r>
        <w:t xml:space="preserve">, Applicants under this NOFA may appeal such decision(s) to </w:t>
      </w:r>
      <w:r w:rsidR="00027DFB">
        <w:t>HCD</w:t>
      </w:r>
      <w:r>
        <w:t xml:space="preserve"> pursuant to this section</w:t>
      </w:r>
      <w:bookmarkEnd w:id="152"/>
      <w:bookmarkEnd w:id="153"/>
      <w:bookmarkEnd w:id="154"/>
      <w:bookmarkEnd w:id="155"/>
      <w:bookmarkEnd w:id="156"/>
      <w:bookmarkEnd w:id="157"/>
      <w:r w:rsidR="00BB7365">
        <w:t>.</w:t>
      </w:r>
    </w:p>
    <w:p w14:paraId="4689ABA7" w14:textId="77777777" w:rsidR="00BB7365" w:rsidRDefault="00BB7365" w:rsidP="00BB7365">
      <w:pPr>
        <w:pStyle w:val="ListParagraph"/>
        <w:spacing w:line="240" w:lineRule="auto"/>
        <w:ind w:left="1080"/>
      </w:pPr>
    </w:p>
    <w:p w14:paraId="74EFB159" w14:textId="7DF1F4A6" w:rsidR="00BB7365" w:rsidRDefault="00D95210" w:rsidP="00BB7365">
      <w:pPr>
        <w:pStyle w:val="ListParagraph"/>
        <w:numPr>
          <w:ilvl w:val="0"/>
          <w:numId w:val="31"/>
        </w:numPr>
        <w:spacing w:line="240" w:lineRule="auto"/>
        <w:ind w:left="1080"/>
      </w:pPr>
      <w:bookmarkStart w:id="158" w:name="_Toc47528270"/>
      <w:bookmarkStart w:id="159" w:name="_Toc47528510"/>
      <w:bookmarkStart w:id="160" w:name="_Toc47529173"/>
      <w:bookmarkStart w:id="161" w:name="_Toc47530628"/>
      <w:bookmarkStart w:id="162" w:name="_Toc54709541"/>
      <w:bookmarkStart w:id="163" w:name="_Toc71194302"/>
      <w:r w:rsidRPr="00721517">
        <w:t xml:space="preserve">No Applicant shall have the right to appeal a decision of </w:t>
      </w:r>
      <w:r w:rsidR="00027DFB" w:rsidRPr="00721517">
        <w:t>HCD</w:t>
      </w:r>
      <w:r w:rsidRPr="00721517">
        <w:t xml:space="preserve"> relating to another A</w:t>
      </w:r>
      <w:r w:rsidR="0096503C" w:rsidRPr="00721517">
        <w:t>pp</w:t>
      </w:r>
      <w:r w:rsidRPr="00721517">
        <w:t>licant’s eli</w:t>
      </w:r>
      <w:r w:rsidR="0096503C" w:rsidRPr="00721517">
        <w:t>gi</w:t>
      </w:r>
      <w:r w:rsidRPr="00721517">
        <w:t>bility, point score, award, denial of award, or any other matter related thereto.</w:t>
      </w:r>
      <w:bookmarkEnd w:id="158"/>
      <w:bookmarkEnd w:id="159"/>
      <w:bookmarkEnd w:id="160"/>
      <w:bookmarkEnd w:id="161"/>
      <w:bookmarkEnd w:id="162"/>
      <w:bookmarkEnd w:id="163"/>
    </w:p>
    <w:p w14:paraId="7DF8167A" w14:textId="77777777" w:rsidR="00BB7365" w:rsidRDefault="00BB7365" w:rsidP="00BB7365">
      <w:pPr>
        <w:pStyle w:val="ListParagraph"/>
      </w:pPr>
    </w:p>
    <w:p w14:paraId="1CBBB6CC" w14:textId="4BBDA066" w:rsidR="00D95210" w:rsidRPr="00721517" w:rsidRDefault="00D95210" w:rsidP="00621179">
      <w:pPr>
        <w:pStyle w:val="ListParagraph"/>
        <w:numPr>
          <w:ilvl w:val="0"/>
          <w:numId w:val="31"/>
        </w:numPr>
        <w:spacing w:line="240" w:lineRule="auto"/>
        <w:ind w:left="1080"/>
      </w:pPr>
      <w:bookmarkStart w:id="164" w:name="_Toc47528271"/>
      <w:bookmarkStart w:id="165" w:name="_Toc47528511"/>
      <w:bookmarkStart w:id="166" w:name="_Toc47529174"/>
      <w:bookmarkStart w:id="167" w:name="_Toc47530629"/>
      <w:bookmarkStart w:id="168" w:name="_Toc54709542"/>
      <w:bookmarkStart w:id="169" w:name="_Toc71194303"/>
      <w:r w:rsidRPr="00721517">
        <w:t xml:space="preserve">The appeal process provided herein applies solely to </w:t>
      </w:r>
      <w:r w:rsidR="00A359DF" w:rsidRPr="00721517">
        <w:t xml:space="preserve">the </w:t>
      </w:r>
      <w:r w:rsidRPr="00721517">
        <w:t xml:space="preserve">decision of </w:t>
      </w:r>
      <w:r w:rsidR="00027DFB" w:rsidRPr="00721517">
        <w:t>HCD</w:t>
      </w:r>
      <w:r w:rsidRPr="00721517">
        <w:t xml:space="preserve"> m</w:t>
      </w:r>
      <w:r w:rsidR="0096503C" w:rsidRPr="00721517">
        <w:t>ade in this program NOFA and does not apply to any decisions made with respect to any previously issued NOFAs or decisions to be made pursuant to future program NOFAs.</w:t>
      </w:r>
      <w:bookmarkEnd w:id="164"/>
      <w:bookmarkEnd w:id="165"/>
      <w:bookmarkEnd w:id="166"/>
      <w:bookmarkEnd w:id="167"/>
      <w:bookmarkEnd w:id="168"/>
      <w:bookmarkEnd w:id="169"/>
    </w:p>
    <w:p w14:paraId="7C2EBCB6" w14:textId="2EFDD4EF" w:rsidR="00A36F1F" w:rsidRPr="00CB0ADD" w:rsidRDefault="002E1749" w:rsidP="00621179">
      <w:pPr>
        <w:pStyle w:val="Heading2"/>
        <w:numPr>
          <w:ilvl w:val="0"/>
          <w:numId w:val="8"/>
        </w:numPr>
        <w:ind w:right="-180"/>
        <w:contextualSpacing w:val="0"/>
        <w:rPr>
          <w:b w:val="0"/>
          <w:bCs/>
        </w:rPr>
      </w:pPr>
      <w:bookmarkStart w:id="170" w:name="_Toc47528512"/>
      <w:bookmarkStart w:id="171" w:name="_Toc71201554"/>
      <w:r w:rsidRPr="00C76370">
        <w:t>A</w:t>
      </w:r>
      <w:r w:rsidRPr="0063588D">
        <w:t xml:space="preserve">ppeal </w:t>
      </w:r>
      <w:r w:rsidR="00FE1F82">
        <w:t>p</w:t>
      </w:r>
      <w:r w:rsidRPr="0063588D">
        <w:t xml:space="preserve">rocess and </w:t>
      </w:r>
      <w:r w:rsidR="00FE1F82">
        <w:t>d</w:t>
      </w:r>
      <w:r w:rsidRPr="0063588D">
        <w:t>eadlines</w:t>
      </w:r>
      <w:bookmarkEnd w:id="170"/>
      <w:bookmarkEnd w:id="171"/>
    </w:p>
    <w:p w14:paraId="35129C32" w14:textId="3AE34F4C" w:rsidR="00B86B9A" w:rsidRDefault="00D20DF1" w:rsidP="00621179">
      <w:pPr>
        <w:pStyle w:val="ListParagraph"/>
        <w:numPr>
          <w:ilvl w:val="0"/>
          <w:numId w:val="32"/>
        </w:numPr>
        <w:spacing w:after="240" w:line="240" w:lineRule="auto"/>
        <w:ind w:left="1080"/>
        <w:contextualSpacing w:val="0"/>
      </w:pPr>
      <w:bookmarkStart w:id="172" w:name="_Toc47528273"/>
      <w:bookmarkStart w:id="173" w:name="_Toc47528513"/>
      <w:bookmarkStart w:id="174" w:name="_Toc47529176"/>
      <w:bookmarkStart w:id="175" w:name="_Toc47530631"/>
      <w:bookmarkStart w:id="176" w:name="_Toc54709544"/>
      <w:bookmarkStart w:id="177" w:name="_Toc71194305"/>
      <w:r w:rsidRPr="00721517">
        <w:t xml:space="preserve">To file an appeal, Applicants must submit to </w:t>
      </w:r>
      <w:r w:rsidR="00027DFB" w:rsidRPr="00721517">
        <w:t>HCD</w:t>
      </w:r>
      <w:r w:rsidR="00E02ECB" w:rsidRPr="00721517">
        <w:t xml:space="preserve"> </w:t>
      </w:r>
      <w:r w:rsidRPr="00721517">
        <w:t xml:space="preserve">a written </w:t>
      </w:r>
      <w:r w:rsidR="004A6C7E" w:rsidRPr="00721517">
        <w:t>request</w:t>
      </w:r>
      <w:r w:rsidR="00FE1F82" w:rsidRPr="00721517">
        <w:t>,</w:t>
      </w:r>
      <w:r w:rsidRPr="00721517">
        <w:t xml:space="preserve"> which states all relevant facts, arguments, and evidence upon which the appeal is based. Furthermore, the Applicant must provide a detailed reference to the area or areas of the </w:t>
      </w:r>
      <w:r w:rsidR="00115144" w:rsidRPr="00721517">
        <w:t>Application</w:t>
      </w:r>
      <w:r w:rsidRPr="00721517">
        <w:t xml:space="preserve"> that provide clarification and substantiation for the basis of the appeal. No new or additional information will be considered if this information would result in a competitive advantage to an Applicant. Once the written appeal is submitted to </w:t>
      </w:r>
      <w:r w:rsidR="00027DFB" w:rsidRPr="00721517">
        <w:t>HCD</w:t>
      </w:r>
      <w:r w:rsidRPr="00721517">
        <w:t xml:space="preserve">, no further information of materials will be accepted or considered thereafter. Appeals are to be submitted to </w:t>
      </w:r>
      <w:r w:rsidR="00027DFB" w:rsidRPr="00721517">
        <w:t>HCD</w:t>
      </w:r>
      <w:r w:rsidRPr="00721517">
        <w:t xml:space="preserve"> </w:t>
      </w:r>
      <w:r w:rsidR="00FA3355" w:rsidRPr="00721517">
        <w:t xml:space="preserve">at </w:t>
      </w:r>
      <w:hyperlink r:id="rId25" w:history="1">
        <w:r w:rsidR="000B60CF" w:rsidRPr="00721517">
          <w:rPr>
            <w:rStyle w:val="Hyperlink"/>
            <w:color w:val="auto"/>
            <w:u w:val="none"/>
          </w:rPr>
          <w:t>infill@hcd.ca.gov</w:t>
        </w:r>
      </w:hyperlink>
      <w:r w:rsidR="003A3D8D" w:rsidRPr="00721517">
        <w:t xml:space="preserve"> </w:t>
      </w:r>
      <w:r w:rsidRPr="00721517">
        <w:t xml:space="preserve">according to the deadline set forth in </w:t>
      </w:r>
      <w:r w:rsidR="00A52A53" w:rsidRPr="00721517">
        <w:t>HCD</w:t>
      </w:r>
      <w:r w:rsidRPr="00721517">
        <w:t xml:space="preserve"> review letters.</w:t>
      </w:r>
      <w:bookmarkEnd w:id="172"/>
      <w:bookmarkEnd w:id="173"/>
      <w:bookmarkEnd w:id="174"/>
      <w:bookmarkEnd w:id="175"/>
      <w:bookmarkEnd w:id="176"/>
      <w:bookmarkEnd w:id="177"/>
      <w:r w:rsidR="005000B6" w:rsidRPr="00721517">
        <w:t xml:space="preserve"> </w:t>
      </w:r>
    </w:p>
    <w:p w14:paraId="0D329B54" w14:textId="229A34CC" w:rsidR="005122A9" w:rsidRDefault="000C6327" w:rsidP="00621179">
      <w:pPr>
        <w:pStyle w:val="ListParagraph"/>
        <w:numPr>
          <w:ilvl w:val="0"/>
          <w:numId w:val="32"/>
        </w:numPr>
        <w:spacing w:line="240" w:lineRule="auto"/>
        <w:ind w:left="1080"/>
      </w:pPr>
      <w:bookmarkStart w:id="178" w:name="_Toc47528274"/>
      <w:bookmarkStart w:id="179" w:name="_Toc47528514"/>
      <w:bookmarkStart w:id="180" w:name="_Toc47529177"/>
      <w:bookmarkStart w:id="181" w:name="_Toc47530632"/>
      <w:bookmarkStart w:id="182" w:name="_Toc54709545"/>
      <w:bookmarkStart w:id="183" w:name="_Toc71194306"/>
      <w:r w:rsidRPr="00721517">
        <w:t xml:space="preserve">Appeals must be received by </w:t>
      </w:r>
      <w:r w:rsidR="00027DFB" w:rsidRPr="00721517">
        <w:t>HCD</w:t>
      </w:r>
      <w:r w:rsidRPr="00721517">
        <w:t xml:space="preserve"> no later than five (5) business days from the date of </w:t>
      </w:r>
      <w:r w:rsidR="00027DFB" w:rsidRPr="00721517">
        <w:t>HCD</w:t>
      </w:r>
      <w:r w:rsidRPr="00721517">
        <w:t xml:space="preserve">’s threshold review, or initial score letters, representing </w:t>
      </w:r>
      <w:r w:rsidR="00027DFB" w:rsidRPr="00721517">
        <w:t>HCD</w:t>
      </w:r>
      <w:r w:rsidRPr="00721517">
        <w:t xml:space="preserve">’s decision made in response to the </w:t>
      </w:r>
      <w:r w:rsidR="00115144" w:rsidRPr="00721517">
        <w:t>Application</w:t>
      </w:r>
      <w:r w:rsidRPr="00721517">
        <w:t>.</w:t>
      </w:r>
      <w:bookmarkStart w:id="184" w:name="_Toc47528515"/>
      <w:bookmarkEnd w:id="178"/>
      <w:bookmarkEnd w:id="179"/>
      <w:bookmarkEnd w:id="180"/>
      <w:bookmarkEnd w:id="181"/>
      <w:bookmarkEnd w:id="182"/>
      <w:bookmarkEnd w:id="183"/>
    </w:p>
    <w:p w14:paraId="411B9F55" w14:textId="218FB43A" w:rsidR="00D20DF1" w:rsidRPr="00CB0ADD" w:rsidRDefault="002E1749" w:rsidP="00621179">
      <w:pPr>
        <w:pStyle w:val="Heading2"/>
        <w:numPr>
          <w:ilvl w:val="0"/>
          <w:numId w:val="8"/>
        </w:numPr>
        <w:ind w:right="-180"/>
        <w:contextualSpacing w:val="0"/>
        <w:rPr>
          <w:b w:val="0"/>
          <w:bCs/>
        </w:rPr>
      </w:pPr>
      <w:bookmarkStart w:id="185" w:name="_Toc71201555"/>
      <w:r w:rsidRPr="00C76370">
        <w:t>Decision</w:t>
      </w:r>
      <w:bookmarkEnd w:id="184"/>
      <w:bookmarkEnd w:id="185"/>
    </w:p>
    <w:p w14:paraId="790860F8" w14:textId="44C722FC" w:rsidR="00A8660C" w:rsidRDefault="00037C53" w:rsidP="00621179">
      <w:pPr>
        <w:pStyle w:val="ListParagraph"/>
        <w:spacing w:line="240" w:lineRule="auto"/>
      </w:pPr>
      <w:bookmarkStart w:id="186" w:name="_Toc47528516"/>
      <w:bookmarkStart w:id="187" w:name="_Toc47529179"/>
      <w:bookmarkStart w:id="188" w:name="_Toc47530634"/>
      <w:bookmarkStart w:id="189" w:name="_Toc54709547"/>
      <w:bookmarkStart w:id="190" w:name="_Toc71194308"/>
      <w:r w:rsidRPr="00CB0ADD">
        <w:t xml:space="preserve">Any </w:t>
      </w:r>
      <w:r>
        <w:t xml:space="preserve">request to appeal </w:t>
      </w:r>
      <w:r w:rsidR="00027DFB">
        <w:t>HCD</w:t>
      </w:r>
      <w:r>
        <w:t xml:space="preserve">’s decision regarding an </w:t>
      </w:r>
      <w:r w:rsidR="00115144">
        <w:t>Application</w:t>
      </w:r>
      <w:r>
        <w:t xml:space="preserve"> shall be reviewed for compliance with th</w:t>
      </w:r>
      <w:r w:rsidR="000B60CF">
        <w:t>is NOFA and th</w:t>
      </w:r>
      <w:r>
        <w:t xml:space="preserve">e Guidelines. All decisions rendered shall be final, binding, and conclusive, and shall constitute the final action of </w:t>
      </w:r>
      <w:r w:rsidR="00027DFB">
        <w:t>HCD</w:t>
      </w:r>
      <w:r>
        <w:t>.</w:t>
      </w:r>
      <w:bookmarkEnd w:id="186"/>
      <w:bookmarkEnd w:id="187"/>
      <w:bookmarkEnd w:id="188"/>
      <w:bookmarkEnd w:id="189"/>
      <w:bookmarkEnd w:id="190"/>
    </w:p>
    <w:p w14:paraId="40E59EB6" w14:textId="77777777" w:rsidR="0029423D" w:rsidRDefault="0029423D">
      <w:pPr>
        <w:rPr>
          <w:rFonts w:ascii="Arial" w:eastAsia="Times New Roman" w:hAnsi="Arial" w:cs="Arial"/>
          <w:b/>
          <w:sz w:val="24"/>
          <w:szCs w:val="20"/>
        </w:rPr>
      </w:pPr>
      <w:bookmarkStart w:id="191" w:name="_Toc47528517"/>
      <w:bookmarkStart w:id="192" w:name="_Toc71201556"/>
      <w:r>
        <w:br w:type="page"/>
      </w:r>
    </w:p>
    <w:p w14:paraId="15257A84" w14:textId="0EC5449B" w:rsidR="00024400" w:rsidRPr="00720FF4" w:rsidRDefault="00024400" w:rsidP="00621179">
      <w:pPr>
        <w:pStyle w:val="Heading1"/>
        <w:numPr>
          <w:ilvl w:val="0"/>
          <w:numId w:val="13"/>
        </w:numPr>
        <w:ind w:left="360" w:right="-180"/>
        <w:contextualSpacing w:val="0"/>
        <w:jc w:val="left"/>
      </w:pPr>
      <w:r w:rsidRPr="00720FF4">
        <w:t xml:space="preserve">Award </w:t>
      </w:r>
      <w:r w:rsidR="00FE1F82" w:rsidRPr="00720FF4">
        <w:t>a</w:t>
      </w:r>
      <w:r w:rsidRPr="00720FF4">
        <w:t xml:space="preserve">nnouncements and </w:t>
      </w:r>
      <w:r w:rsidR="00FE1F82" w:rsidRPr="00720FF4">
        <w:t>c</w:t>
      </w:r>
      <w:r w:rsidRPr="00720FF4">
        <w:t>ontracts</w:t>
      </w:r>
      <w:bookmarkEnd w:id="191"/>
      <w:bookmarkEnd w:id="192"/>
    </w:p>
    <w:p w14:paraId="0174DB83" w14:textId="34C2A672" w:rsidR="00DA4D78" w:rsidRPr="00CB0ADD" w:rsidRDefault="00024400" w:rsidP="00621179">
      <w:pPr>
        <w:pStyle w:val="Heading2"/>
        <w:numPr>
          <w:ilvl w:val="0"/>
          <w:numId w:val="9"/>
        </w:numPr>
        <w:ind w:right="-180"/>
        <w:contextualSpacing w:val="0"/>
        <w:rPr>
          <w:rFonts w:cs="Times New Roman"/>
        </w:rPr>
      </w:pPr>
      <w:bookmarkStart w:id="193" w:name="_Toc47528519"/>
      <w:bookmarkStart w:id="194" w:name="_Toc71201557"/>
      <w:r w:rsidRPr="00024400">
        <w:t xml:space="preserve">Award </w:t>
      </w:r>
      <w:r w:rsidR="00FE1F82">
        <w:t>a</w:t>
      </w:r>
      <w:r w:rsidRPr="00024400">
        <w:t>nnouncements</w:t>
      </w:r>
      <w:bookmarkEnd w:id="193"/>
      <w:bookmarkEnd w:id="194"/>
    </w:p>
    <w:p w14:paraId="6DC9A31F" w14:textId="7455F458" w:rsidR="00024400" w:rsidRDefault="00027DFB" w:rsidP="00621179">
      <w:pPr>
        <w:overflowPunct w:val="0"/>
        <w:autoSpaceDE w:val="0"/>
        <w:autoSpaceDN w:val="0"/>
        <w:adjustRightInd w:val="0"/>
        <w:spacing w:after="240" w:line="240" w:lineRule="auto"/>
        <w:ind w:left="720" w:right="-180"/>
        <w:textAlignment w:val="baseline"/>
        <w:rPr>
          <w:rFonts w:ascii="Arial" w:eastAsia="Times New Roman" w:hAnsi="Arial" w:cs="Times New Roman"/>
          <w:sz w:val="24"/>
        </w:rPr>
      </w:pPr>
      <w:r>
        <w:rPr>
          <w:rFonts w:ascii="Arial" w:eastAsia="Times New Roman" w:hAnsi="Arial" w:cs="Times New Roman"/>
          <w:sz w:val="24"/>
        </w:rPr>
        <w:t>HCD</w:t>
      </w:r>
      <w:r w:rsidR="00C74828" w:rsidRPr="00A8660C">
        <w:rPr>
          <w:rFonts w:ascii="Arial" w:eastAsia="Times New Roman" w:hAnsi="Arial" w:cs="Times New Roman"/>
          <w:sz w:val="24"/>
        </w:rPr>
        <w:t xml:space="preserve"> </w:t>
      </w:r>
      <w:r w:rsidR="00C40D97">
        <w:rPr>
          <w:rFonts w:ascii="Arial" w:eastAsia="Times New Roman" w:hAnsi="Arial" w:cs="Times New Roman"/>
          <w:sz w:val="24"/>
        </w:rPr>
        <w:t xml:space="preserve">will </w:t>
      </w:r>
      <w:r w:rsidR="00C74828" w:rsidRPr="00A8660C">
        <w:rPr>
          <w:rFonts w:ascii="Arial" w:eastAsia="Times New Roman" w:hAnsi="Arial" w:cs="Times New Roman"/>
          <w:sz w:val="24"/>
        </w:rPr>
        <w:t>announ</w:t>
      </w:r>
      <w:r w:rsidR="00C40D97">
        <w:rPr>
          <w:rFonts w:ascii="Arial" w:eastAsia="Times New Roman" w:hAnsi="Arial" w:cs="Times New Roman"/>
          <w:sz w:val="24"/>
        </w:rPr>
        <w:t>ce</w:t>
      </w:r>
      <w:r w:rsidR="00C74828" w:rsidRPr="00A8660C">
        <w:rPr>
          <w:rFonts w:ascii="Arial" w:eastAsia="Times New Roman" w:hAnsi="Arial" w:cs="Times New Roman"/>
          <w:sz w:val="24"/>
        </w:rPr>
        <w:t xml:space="preserve"> program awards </w:t>
      </w:r>
      <w:r w:rsidR="00FA0610" w:rsidRPr="00A8660C">
        <w:rPr>
          <w:rFonts w:ascii="Arial" w:eastAsia="Times New Roman" w:hAnsi="Arial" w:cs="Times New Roman"/>
          <w:sz w:val="24"/>
        </w:rPr>
        <w:t>o</w:t>
      </w:r>
      <w:r w:rsidR="00C74828" w:rsidRPr="00A8660C">
        <w:rPr>
          <w:rFonts w:ascii="Arial" w:eastAsia="Times New Roman" w:hAnsi="Arial" w:cs="Times New Roman"/>
          <w:sz w:val="24"/>
        </w:rPr>
        <w:t xml:space="preserve">n </w:t>
      </w:r>
      <w:r w:rsidR="00FA0610" w:rsidRPr="00A8660C">
        <w:rPr>
          <w:rFonts w:ascii="Arial" w:eastAsia="Times New Roman" w:hAnsi="Arial" w:cs="Times New Roman"/>
          <w:sz w:val="24"/>
        </w:rPr>
        <w:t xml:space="preserve">the IIG </w:t>
      </w:r>
      <w:r w:rsidR="009A38CD" w:rsidRPr="00A8660C">
        <w:rPr>
          <w:rFonts w:ascii="Arial" w:eastAsia="Times New Roman" w:hAnsi="Arial" w:cs="Times New Roman"/>
          <w:sz w:val="24"/>
        </w:rPr>
        <w:t>website</w:t>
      </w:r>
      <w:r w:rsidR="00C40D97">
        <w:rPr>
          <w:rFonts w:ascii="Arial" w:eastAsia="Times New Roman" w:hAnsi="Arial" w:cs="Times New Roman"/>
          <w:sz w:val="24"/>
        </w:rPr>
        <w:t>:</w:t>
      </w:r>
      <w:r w:rsidR="008820AD" w:rsidRPr="00A8660C">
        <w:rPr>
          <w:rFonts w:ascii="Arial" w:eastAsia="Times New Roman" w:hAnsi="Arial" w:cs="Times New Roman"/>
          <w:sz w:val="24"/>
        </w:rPr>
        <w:t xml:space="preserve"> </w:t>
      </w:r>
      <w:hyperlink r:id="rId26" w:anchor="awarded" w:history="1">
        <w:r w:rsidR="00A62C3A" w:rsidRPr="00902DA5">
          <w:rPr>
            <w:rStyle w:val="Hyperlink"/>
            <w:rFonts w:ascii="Arial" w:eastAsia="Times New Roman" w:hAnsi="Arial"/>
            <w:sz w:val="24"/>
          </w:rPr>
          <w:t>www.hcd.ca.gov/grants-funding/active-funding/iigp.shtml#awarded</w:t>
        </w:r>
      </w:hyperlink>
      <w:r w:rsidR="00A62C3A">
        <w:rPr>
          <w:rFonts w:ascii="Arial" w:eastAsia="Times New Roman" w:hAnsi="Arial" w:cs="Times New Roman"/>
          <w:sz w:val="24"/>
        </w:rPr>
        <w:t xml:space="preserve"> </w:t>
      </w:r>
      <w:r w:rsidR="00F76445">
        <w:rPr>
          <w:rFonts w:ascii="Arial" w:eastAsia="Times New Roman" w:hAnsi="Arial" w:cs="Times New Roman"/>
          <w:sz w:val="24"/>
        </w:rPr>
        <w:t xml:space="preserve"> </w:t>
      </w:r>
    </w:p>
    <w:p w14:paraId="3DC03E6D" w14:textId="5EE25726" w:rsidR="00DA4D78" w:rsidRPr="00CB0ADD" w:rsidRDefault="00024400" w:rsidP="00621179">
      <w:pPr>
        <w:pStyle w:val="Heading2"/>
        <w:numPr>
          <w:ilvl w:val="0"/>
          <w:numId w:val="9"/>
        </w:numPr>
        <w:ind w:right="-180"/>
        <w:contextualSpacing w:val="0"/>
        <w:rPr>
          <w:rFonts w:cs="Times New Roman"/>
        </w:rPr>
      </w:pPr>
      <w:bookmarkStart w:id="195" w:name="_Toc47528520"/>
      <w:bookmarkStart w:id="196" w:name="_Toc71201558"/>
      <w:r w:rsidRPr="00024400">
        <w:t>Contracts</w:t>
      </w:r>
      <w:bookmarkEnd w:id="195"/>
      <w:bookmarkEnd w:id="196"/>
    </w:p>
    <w:p w14:paraId="3AD515A2" w14:textId="3B9668B9" w:rsidR="004534DF" w:rsidRPr="00024400" w:rsidRDefault="00B2766E" w:rsidP="00621179">
      <w:pPr>
        <w:pStyle w:val="ListParagraph"/>
        <w:spacing w:line="240" w:lineRule="auto"/>
        <w:rPr>
          <w:rFonts w:cs="Arial"/>
          <w:b/>
          <w:szCs w:val="20"/>
        </w:rPr>
      </w:pPr>
      <w:bookmarkStart w:id="197" w:name="_Toc54709551"/>
      <w:bookmarkStart w:id="198" w:name="_Toc71194312"/>
      <w:r w:rsidRPr="00B2766E">
        <w:t xml:space="preserve">Successful Applicants </w:t>
      </w:r>
      <w:r w:rsidR="00872A71">
        <w:t>(Recipient</w:t>
      </w:r>
      <w:r w:rsidRPr="00B2766E">
        <w:t xml:space="preserve">) will enter into one or more Standard Agreements with </w:t>
      </w:r>
      <w:r w:rsidR="00027DFB">
        <w:t>HCD</w:t>
      </w:r>
      <w:r w:rsidRPr="00B2766E">
        <w:t>. The Standard Agreement contains relevant terms and conditions for funding of the award</w:t>
      </w:r>
      <w:bookmarkEnd w:id="197"/>
      <w:r w:rsidR="00FE1F82">
        <w:t>.</w:t>
      </w:r>
      <w:bookmarkEnd w:id="198"/>
    </w:p>
    <w:p w14:paraId="073EC7D2" w14:textId="48DA1331" w:rsidR="00024400" w:rsidRPr="00720FF4" w:rsidRDefault="00162FD8" w:rsidP="00621179">
      <w:pPr>
        <w:pStyle w:val="Heading1"/>
        <w:numPr>
          <w:ilvl w:val="0"/>
          <w:numId w:val="13"/>
        </w:numPr>
        <w:ind w:left="360" w:right="-180"/>
        <w:contextualSpacing w:val="0"/>
        <w:jc w:val="left"/>
        <w:rPr>
          <w:bCs/>
        </w:rPr>
      </w:pPr>
      <w:bookmarkStart w:id="199" w:name="_Toc71201559"/>
      <w:r w:rsidRPr="00720FF4">
        <w:rPr>
          <w:bCs/>
        </w:rPr>
        <w:t xml:space="preserve">Other </w:t>
      </w:r>
      <w:r w:rsidR="00FE1F82" w:rsidRPr="00720FF4">
        <w:rPr>
          <w:bCs/>
        </w:rPr>
        <w:t>s</w:t>
      </w:r>
      <w:r w:rsidRPr="00720FF4">
        <w:rPr>
          <w:bCs/>
        </w:rPr>
        <w:t xml:space="preserve">tate </w:t>
      </w:r>
      <w:r w:rsidR="00FE1F82" w:rsidRPr="00720FF4">
        <w:rPr>
          <w:bCs/>
        </w:rPr>
        <w:t>r</w:t>
      </w:r>
      <w:r w:rsidRPr="00720FF4">
        <w:rPr>
          <w:bCs/>
        </w:rPr>
        <w:t>equirements</w:t>
      </w:r>
      <w:bookmarkEnd w:id="199"/>
    </w:p>
    <w:p w14:paraId="62D85CEF" w14:textId="4BA6F10E" w:rsidR="00965545" w:rsidRPr="00901916" w:rsidRDefault="00965545" w:rsidP="00621179">
      <w:pPr>
        <w:pStyle w:val="Heading2"/>
        <w:numPr>
          <w:ilvl w:val="0"/>
          <w:numId w:val="10"/>
        </w:numPr>
        <w:ind w:right="-180"/>
        <w:contextualSpacing w:val="0"/>
        <w:rPr>
          <w:bCs/>
        </w:rPr>
      </w:pPr>
      <w:bookmarkStart w:id="200" w:name="_Toc71201560"/>
      <w:bookmarkStart w:id="201" w:name="_Toc494442426"/>
      <w:bookmarkStart w:id="202" w:name="_Toc47528523"/>
      <w:r w:rsidRPr="00901916">
        <w:rPr>
          <w:bCs/>
        </w:rPr>
        <w:t>Relocation</w:t>
      </w:r>
      <w:bookmarkEnd w:id="200"/>
    </w:p>
    <w:p w14:paraId="21723742" w14:textId="044BFE66" w:rsidR="00965545" w:rsidRDefault="00965545" w:rsidP="00621179">
      <w:pPr>
        <w:autoSpaceDE w:val="0"/>
        <w:autoSpaceDN w:val="0"/>
        <w:adjustRightInd w:val="0"/>
        <w:spacing w:after="240" w:line="240" w:lineRule="auto"/>
        <w:ind w:left="720" w:right="-180"/>
        <w:rPr>
          <w:rFonts w:ascii="Arial" w:eastAsia="Times New Roman" w:hAnsi="Arial" w:cs="Times New Roman"/>
          <w:iCs/>
          <w:sz w:val="24"/>
        </w:rPr>
      </w:pPr>
      <w:r w:rsidRPr="005B5609">
        <w:rPr>
          <w:rFonts w:ascii="Arial" w:eastAsia="Times New Roman" w:hAnsi="Arial" w:cs="Times New Roman"/>
          <w:iCs/>
          <w:sz w:val="24"/>
        </w:rPr>
        <w:t xml:space="preserve">Both the Applicant and </w:t>
      </w:r>
      <w:r w:rsidR="00027DFB">
        <w:rPr>
          <w:rFonts w:ascii="Arial" w:eastAsia="Times New Roman" w:hAnsi="Arial" w:cs="Times New Roman"/>
          <w:iCs/>
          <w:sz w:val="24"/>
        </w:rPr>
        <w:t>HCD</w:t>
      </w:r>
      <w:r w:rsidRPr="005B5609">
        <w:rPr>
          <w:rFonts w:ascii="Arial" w:eastAsia="Times New Roman" w:hAnsi="Arial" w:cs="Times New Roman"/>
          <w:iCs/>
          <w:sz w:val="24"/>
        </w:rPr>
        <w:t xml:space="preserve"> must comply with applicable Relocation Law, which is detailed pursuant to Government Code </w:t>
      </w:r>
      <w:r w:rsidR="00B0495E">
        <w:rPr>
          <w:rFonts w:ascii="Arial" w:eastAsia="Times New Roman" w:hAnsi="Arial" w:cs="Times New Roman"/>
          <w:iCs/>
          <w:sz w:val="24"/>
        </w:rPr>
        <w:t>s</w:t>
      </w:r>
      <w:r w:rsidRPr="005B5609">
        <w:rPr>
          <w:rFonts w:ascii="Arial" w:eastAsia="Times New Roman" w:hAnsi="Arial" w:cs="Times New Roman"/>
          <w:iCs/>
          <w:sz w:val="24"/>
        </w:rPr>
        <w:t xml:space="preserve">ection 7260 et seq., the California Code of Regulations, title 25, </w:t>
      </w:r>
      <w:r w:rsidR="005923D7">
        <w:rPr>
          <w:rFonts w:ascii="Arial" w:eastAsia="Times New Roman" w:hAnsi="Arial" w:cs="Times New Roman"/>
          <w:iCs/>
          <w:sz w:val="24"/>
        </w:rPr>
        <w:t>s</w:t>
      </w:r>
      <w:r w:rsidRPr="005B5609">
        <w:rPr>
          <w:rFonts w:ascii="Arial" w:eastAsia="Times New Roman" w:hAnsi="Arial" w:cs="Times New Roman"/>
          <w:iCs/>
          <w:sz w:val="24"/>
        </w:rPr>
        <w:t>ection 6000 et seq., federal law</w:t>
      </w:r>
      <w:r w:rsidR="006846F1">
        <w:rPr>
          <w:rFonts w:ascii="Arial" w:eastAsia="Times New Roman" w:hAnsi="Arial" w:cs="Times New Roman"/>
          <w:iCs/>
          <w:sz w:val="24"/>
        </w:rPr>
        <w:t>,</w:t>
      </w:r>
      <w:r w:rsidRPr="005B5609">
        <w:rPr>
          <w:rFonts w:ascii="Arial" w:eastAsia="Times New Roman" w:hAnsi="Arial" w:cs="Times New Roman"/>
          <w:iCs/>
          <w:sz w:val="24"/>
        </w:rPr>
        <w:t xml:space="preserve"> i</w:t>
      </w:r>
      <w:r w:rsidR="006846F1">
        <w:rPr>
          <w:rFonts w:ascii="Arial" w:eastAsia="Times New Roman" w:hAnsi="Arial" w:cs="Times New Roman"/>
          <w:iCs/>
          <w:sz w:val="24"/>
        </w:rPr>
        <w:t>f</w:t>
      </w:r>
      <w:r w:rsidRPr="005B5609">
        <w:rPr>
          <w:rFonts w:ascii="Arial" w:eastAsia="Times New Roman" w:hAnsi="Arial" w:cs="Times New Roman"/>
          <w:iCs/>
          <w:sz w:val="24"/>
        </w:rPr>
        <w:t xml:space="preserve"> applicable (depending on project financing), 49 </w:t>
      </w:r>
      <w:r w:rsidR="00FE1F82">
        <w:rPr>
          <w:rFonts w:ascii="Arial" w:eastAsia="Times New Roman" w:hAnsi="Arial" w:cs="Times New Roman"/>
          <w:iCs/>
          <w:sz w:val="24"/>
        </w:rPr>
        <w:t>Code of Federal Regulations</w:t>
      </w:r>
      <w:r w:rsidR="00FE1F82" w:rsidRPr="005B5609">
        <w:rPr>
          <w:rFonts w:ascii="Arial" w:eastAsia="Times New Roman" w:hAnsi="Arial" w:cs="Times New Roman"/>
          <w:iCs/>
          <w:sz w:val="24"/>
        </w:rPr>
        <w:t xml:space="preserve"> </w:t>
      </w:r>
      <w:r w:rsidRPr="005B5609">
        <w:rPr>
          <w:rFonts w:ascii="Arial" w:eastAsia="Times New Roman" w:hAnsi="Arial" w:cs="Times New Roman"/>
          <w:iCs/>
          <w:sz w:val="24"/>
        </w:rPr>
        <w:t>Part</w:t>
      </w:r>
      <w:r w:rsidR="00703CEF">
        <w:rPr>
          <w:rFonts w:ascii="Arial" w:eastAsia="Times New Roman" w:hAnsi="Arial" w:cs="Times New Roman"/>
          <w:iCs/>
          <w:sz w:val="24"/>
        </w:rPr>
        <w:t> </w:t>
      </w:r>
      <w:r w:rsidRPr="005B5609">
        <w:rPr>
          <w:rFonts w:ascii="Arial" w:eastAsia="Times New Roman" w:hAnsi="Arial" w:cs="Times New Roman"/>
          <w:iCs/>
          <w:sz w:val="24"/>
        </w:rPr>
        <w:t xml:space="preserve">24 of the Uniform Relocation Assistance and Real Property Acquisition for Federal and Federally Assisted Programs (URA) (collectively referred to herein forth as “Relocation” or “Relocation Law”). </w:t>
      </w:r>
    </w:p>
    <w:p w14:paraId="6F9FC8C9" w14:textId="1E64513E" w:rsidR="00965545" w:rsidRDefault="00965545" w:rsidP="00621179">
      <w:pPr>
        <w:autoSpaceDE w:val="0"/>
        <w:autoSpaceDN w:val="0"/>
        <w:adjustRightInd w:val="0"/>
        <w:spacing w:after="240" w:line="240" w:lineRule="auto"/>
        <w:ind w:left="720" w:right="-180"/>
        <w:rPr>
          <w:rFonts w:ascii="Arial" w:eastAsia="Times New Roman" w:hAnsi="Arial" w:cs="Times New Roman"/>
          <w:iCs/>
          <w:sz w:val="24"/>
        </w:rPr>
      </w:pPr>
      <w:r w:rsidRPr="005B5609">
        <w:rPr>
          <w:rFonts w:ascii="Arial" w:eastAsia="Times New Roman" w:hAnsi="Arial" w:cs="Times New Roman"/>
          <w:iCs/>
          <w:sz w:val="24"/>
        </w:rPr>
        <w:t>Relocation Law provides important protections and assistance for displaced persons and entities affected by the acquisition, rehabilitation, or demolition of real property for government</w:t>
      </w:r>
      <w:r w:rsidR="00A0496E">
        <w:rPr>
          <w:rFonts w:ascii="Arial" w:eastAsia="Times New Roman" w:hAnsi="Arial" w:cs="Times New Roman"/>
          <w:iCs/>
          <w:sz w:val="24"/>
        </w:rPr>
        <w:t>-</w:t>
      </w:r>
      <w:r w:rsidRPr="005B5609">
        <w:rPr>
          <w:rFonts w:ascii="Arial" w:eastAsia="Times New Roman" w:hAnsi="Arial" w:cs="Times New Roman"/>
          <w:iCs/>
          <w:sz w:val="24"/>
        </w:rPr>
        <w:t xml:space="preserve">funded projects. Relocation Law ensures that those displaced individuals and entities whose real property is acquired, or who move (even if temporarily) as a direct result of projects receiving government funds, are treated fairly and equitably and receive assistance in moving from the property they occupy. </w:t>
      </w:r>
      <w:r w:rsidR="00027DFB">
        <w:rPr>
          <w:rFonts w:ascii="Arial" w:eastAsia="Times New Roman" w:hAnsi="Arial" w:cs="Times New Roman"/>
          <w:iCs/>
          <w:sz w:val="24"/>
        </w:rPr>
        <w:t>HCD</w:t>
      </w:r>
      <w:r w:rsidRPr="005B5609">
        <w:rPr>
          <w:rFonts w:ascii="Arial" w:eastAsia="Times New Roman" w:hAnsi="Arial" w:cs="Times New Roman"/>
          <w:iCs/>
          <w:sz w:val="24"/>
        </w:rPr>
        <w:t xml:space="preserve"> seeks to ensure that displaced persons, which includes tenants, businesses</w:t>
      </w:r>
      <w:r w:rsidR="00A0496E">
        <w:rPr>
          <w:rFonts w:ascii="Arial" w:eastAsia="Times New Roman" w:hAnsi="Arial" w:cs="Times New Roman"/>
          <w:iCs/>
          <w:sz w:val="24"/>
        </w:rPr>
        <w:t>,</w:t>
      </w:r>
      <w:r w:rsidRPr="005B5609">
        <w:rPr>
          <w:rFonts w:ascii="Arial" w:eastAsia="Times New Roman" w:hAnsi="Arial" w:cs="Times New Roman"/>
          <w:iCs/>
          <w:sz w:val="24"/>
        </w:rPr>
        <w:t xml:space="preserve"> and homeowners, do not suffer disproportionately as a result of programs designed for the benefit of the public as a whole. </w:t>
      </w:r>
    </w:p>
    <w:p w14:paraId="33252B13" w14:textId="726B2FF2" w:rsidR="00965545" w:rsidRDefault="00965545" w:rsidP="00621179">
      <w:pPr>
        <w:autoSpaceDE w:val="0"/>
        <w:autoSpaceDN w:val="0"/>
        <w:adjustRightInd w:val="0"/>
        <w:spacing w:after="240" w:line="240" w:lineRule="auto"/>
        <w:ind w:left="720" w:right="-180"/>
        <w:rPr>
          <w:rFonts w:ascii="Arial" w:eastAsia="Times New Roman" w:hAnsi="Arial" w:cs="Times New Roman"/>
          <w:iCs/>
          <w:sz w:val="24"/>
        </w:rPr>
      </w:pPr>
      <w:r w:rsidRPr="005B5609">
        <w:rPr>
          <w:rFonts w:ascii="Arial" w:eastAsia="Times New Roman" w:hAnsi="Arial" w:cs="Times New Roman"/>
          <w:iCs/>
          <w:sz w:val="24"/>
        </w:rPr>
        <w:t xml:space="preserve">At the NOFA </w:t>
      </w:r>
      <w:r w:rsidR="00115144">
        <w:rPr>
          <w:rFonts w:ascii="Arial" w:eastAsia="Times New Roman" w:hAnsi="Arial" w:cs="Times New Roman"/>
          <w:iCs/>
          <w:sz w:val="24"/>
        </w:rPr>
        <w:t>Application</w:t>
      </w:r>
      <w:r w:rsidRPr="005B5609">
        <w:rPr>
          <w:rFonts w:ascii="Arial" w:eastAsia="Times New Roman" w:hAnsi="Arial" w:cs="Times New Roman"/>
          <w:iCs/>
          <w:sz w:val="24"/>
        </w:rPr>
        <w:t xml:space="preserve"> stage, it is too premature to conduct a detailed Relocation review. At this stage</w:t>
      </w:r>
      <w:r w:rsidR="0028539C">
        <w:rPr>
          <w:rFonts w:ascii="Arial" w:eastAsia="Times New Roman" w:hAnsi="Arial" w:cs="Times New Roman"/>
          <w:iCs/>
          <w:sz w:val="24"/>
        </w:rPr>
        <w:t>,</w:t>
      </w:r>
      <w:r w:rsidRPr="005B5609">
        <w:rPr>
          <w:rFonts w:ascii="Arial" w:eastAsia="Times New Roman" w:hAnsi="Arial" w:cs="Times New Roman"/>
          <w:iCs/>
          <w:sz w:val="24"/>
        </w:rPr>
        <w:t xml:space="preserve"> </w:t>
      </w:r>
      <w:r w:rsidR="00027DFB">
        <w:rPr>
          <w:rFonts w:ascii="Arial" w:eastAsia="Times New Roman" w:hAnsi="Arial" w:cs="Times New Roman"/>
          <w:iCs/>
          <w:sz w:val="24"/>
        </w:rPr>
        <w:t>HCD</w:t>
      </w:r>
      <w:r w:rsidRPr="005B5609">
        <w:rPr>
          <w:rFonts w:ascii="Arial" w:eastAsia="Times New Roman" w:hAnsi="Arial" w:cs="Times New Roman"/>
          <w:iCs/>
          <w:sz w:val="24"/>
        </w:rPr>
        <w:t xml:space="preserve"> only</w:t>
      </w:r>
      <w:r w:rsidR="00FF4F2B">
        <w:rPr>
          <w:rFonts w:ascii="Arial" w:eastAsia="Times New Roman" w:hAnsi="Arial" w:cs="Times New Roman"/>
          <w:iCs/>
          <w:sz w:val="24"/>
        </w:rPr>
        <w:t xml:space="preserve"> </w:t>
      </w:r>
      <w:r w:rsidRPr="005B5609">
        <w:rPr>
          <w:rFonts w:ascii="Arial" w:eastAsia="Times New Roman" w:hAnsi="Arial" w:cs="Times New Roman"/>
          <w:iCs/>
          <w:sz w:val="24"/>
        </w:rPr>
        <w:t>confirm</w:t>
      </w:r>
      <w:r w:rsidR="00FF4F2B">
        <w:rPr>
          <w:rFonts w:ascii="Arial" w:eastAsia="Times New Roman" w:hAnsi="Arial" w:cs="Times New Roman"/>
          <w:iCs/>
          <w:sz w:val="24"/>
        </w:rPr>
        <w:t>s</w:t>
      </w:r>
      <w:r w:rsidRPr="005B5609">
        <w:rPr>
          <w:rFonts w:ascii="Arial" w:eastAsia="Times New Roman" w:hAnsi="Arial" w:cs="Times New Roman"/>
          <w:iCs/>
          <w:sz w:val="24"/>
        </w:rPr>
        <w:t xml:space="preserve"> that Relocation</w:t>
      </w:r>
      <w:r w:rsidR="00FF4F2B">
        <w:rPr>
          <w:rFonts w:ascii="Arial" w:eastAsia="Times New Roman" w:hAnsi="Arial" w:cs="Times New Roman"/>
          <w:iCs/>
          <w:sz w:val="24"/>
        </w:rPr>
        <w:t xml:space="preserve"> expenses are</w:t>
      </w:r>
      <w:r w:rsidRPr="005B5609">
        <w:rPr>
          <w:rFonts w:ascii="Arial" w:eastAsia="Times New Roman" w:hAnsi="Arial" w:cs="Times New Roman"/>
          <w:iCs/>
          <w:sz w:val="24"/>
        </w:rPr>
        <w:t xml:space="preserve"> properly budgeted. Due to the importance of satisfying Relocation Law, the Applicant is encouraged to employ the services of a Relocation consultant to procure a good faith estimate of the potential Relocation cost, which may</w:t>
      </w:r>
      <w:r w:rsidR="007646F7">
        <w:rPr>
          <w:rFonts w:ascii="Arial" w:eastAsia="Times New Roman" w:hAnsi="Arial" w:cs="Times New Roman"/>
          <w:iCs/>
          <w:sz w:val="24"/>
        </w:rPr>
        <w:t>,</w:t>
      </w:r>
      <w:r w:rsidRPr="005B5609">
        <w:rPr>
          <w:rFonts w:ascii="Arial" w:eastAsia="Times New Roman" w:hAnsi="Arial" w:cs="Times New Roman"/>
          <w:iCs/>
          <w:sz w:val="24"/>
        </w:rPr>
        <w:t xml:space="preserve"> or may not</w:t>
      </w:r>
      <w:r w:rsidR="007646F7">
        <w:rPr>
          <w:rFonts w:ascii="Arial" w:eastAsia="Times New Roman" w:hAnsi="Arial" w:cs="Times New Roman"/>
          <w:iCs/>
          <w:sz w:val="24"/>
        </w:rPr>
        <w:t>,</w:t>
      </w:r>
      <w:r w:rsidRPr="005B5609">
        <w:rPr>
          <w:rFonts w:ascii="Arial" w:eastAsia="Times New Roman" w:hAnsi="Arial" w:cs="Times New Roman"/>
          <w:iCs/>
          <w:sz w:val="24"/>
        </w:rPr>
        <w:t xml:space="preserve"> necessitate a Relocation plan. </w:t>
      </w:r>
      <w:r w:rsidR="00027DFB">
        <w:rPr>
          <w:rFonts w:ascii="Arial" w:eastAsia="Times New Roman" w:hAnsi="Arial" w:cs="Times New Roman"/>
          <w:iCs/>
          <w:sz w:val="24"/>
        </w:rPr>
        <w:t>HCD</w:t>
      </w:r>
      <w:r w:rsidRPr="005B5609">
        <w:rPr>
          <w:rFonts w:ascii="Arial" w:eastAsia="Times New Roman" w:hAnsi="Arial" w:cs="Times New Roman"/>
          <w:iCs/>
          <w:sz w:val="24"/>
        </w:rPr>
        <w:t xml:space="preserve"> has found that the services of a professional Relocation consultant may save a</w:t>
      </w:r>
      <w:r w:rsidR="0069237D">
        <w:rPr>
          <w:rFonts w:ascii="Arial" w:eastAsia="Times New Roman" w:hAnsi="Arial" w:cs="Times New Roman"/>
          <w:iCs/>
          <w:sz w:val="24"/>
        </w:rPr>
        <w:t xml:space="preserve"> Recipient</w:t>
      </w:r>
      <w:r w:rsidRPr="005B5609">
        <w:rPr>
          <w:rFonts w:ascii="Arial" w:eastAsia="Times New Roman" w:hAnsi="Arial" w:cs="Times New Roman"/>
          <w:iCs/>
          <w:sz w:val="24"/>
        </w:rPr>
        <w:t xml:space="preserve"> money and time in the loan process. </w:t>
      </w:r>
    </w:p>
    <w:p w14:paraId="2B4ECF25" w14:textId="151B4D27" w:rsidR="00B25C10" w:rsidRDefault="00965545" w:rsidP="00621179">
      <w:pPr>
        <w:spacing w:after="240" w:line="240" w:lineRule="auto"/>
        <w:ind w:left="720" w:right="-180"/>
        <w:rPr>
          <w:rFonts w:ascii="Arial" w:eastAsia="Times New Roman" w:hAnsi="Arial" w:cs="Times New Roman"/>
          <w:iCs/>
          <w:sz w:val="24"/>
        </w:rPr>
      </w:pPr>
      <w:r w:rsidRPr="005B5609">
        <w:rPr>
          <w:rFonts w:ascii="Arial" w:eastAsia="Times New Roman" w:hAnsi="Arial" w:cs="Times New Roman"/>
          <w:iCs/>
          <w:sz w:val="24"/>
        </w:rPr>
        <w:t>The importance of satisfying Relocation</w:t>
      </w:r>
      <w:r w:rsidR="00BA1AA5">
        <w:rPr>
          <w:rFonts w:ascii="Arial" w:eastAsia="Times New Roman" w:hAnsi="Arial" w:cs="Times New Roman"/>
          <w:iCs/>
          <w:sz w:val="24"/>
        </w:rPr>
        <w:t xml:space="preserve"> Law</w:t>
      </w:r>
      <w:r w:rsidRPr="005B5609">
        <w:rPr>
          <w:rFonts w:ascii="Arial" w:eastAsia="Times New Roman" w:hAnsi="Arial" w:cs="Times New Roman"/>
          <w:iCs/>
          <w:sz w:val="24"/>
        </w:rPr>
        <w:t xml:space="preserve"> cannot be understated. Failure to follow the Relocation </w:t>
      </w:r>
      <w:r w:rsidR="00BA1AA5">
        <w:rPr>
          <w:rFonts w:ascii="Arial" w:eastAsia="Times New Roman" w:hAnsi="Arial" w:cs="Times New Roman"/>
          <w:iCs/>
          <w:sz w:val="24"/>
        </w:rPr>
        <w:t xml:space="preserve">Law </w:t>
      </w:r>
      <w:r w:rsidRPr="005B5609">
        <w:rPr>
          <w:rFonts w:ascii="Arial" w:eastAsia="Times New Roman" w:hAnsi="Arial" w:cs="Times New Roman"/>
          <w:iCs/>
          <w:sz w:val="24"/>
        </w:rPr>
        <w:t xml:space="preserve">requirements will result in the project not being funded by </w:t>
      </w:r>
      <w:r w:rsidR="00027DFB">
        <w:rPr>
          <w:rFonts w:ascii="Arial" w:eastAsia="Times New Roman" w:hAnsi="Arial" w:cs="Times New Roman"/>
          <w:iCs/>
          <w:sz w:val="24"/>
        </w:rPr>
        <w:t>HCD</w:t>
      </w:r>
      <w:r w:rsidRPr="005B5609">
        <w:rPr>
          <w:rFonts w:ascii="Arial" w:eastAsia="Times New Roman" w:hAnsi="Arial" w:cs="Times New Roman"/>
          <w:iCs/>
          <w:sz w:val="24"/>
        </w:rPr>
        <w:t xml:space="preserve">. Applicants cannot circumvent Relocation Law to avoid Relocation payment assistance by simply not renewing leases, which is not permissible under Relocation Law. At the construction loan close stage, </w:t>
      </w:r>
      <w:r w:rsidR="00027DFB">
        <w:rPr>
          <w:rFonts w:ascii="Arial" w:eastAsia="Times New Roman" w:hAnsi="Arial" w:cs="Times New Roman"/>
          <w:iCs/>
          <w:sz w:val="24"/>
        </w:rPr>
        <w:t>HCD</w:t>
      </w:r>
      <w:r w:rsidRPr="005B5609">
        <w:rPr>
          <w:rFonts w:ascii="Arial" w:eastAsia="Times New Roman" w:hAnsi="Arial" w:cs="Times New Roman"/>
          <w:iCs/>
          <w:sz w:val="24"/>
        </w:rPr>
        <w:t xml:space="preserve"> will notify all lenders that failure to satisfy Relocation</w:t>
      </w:r>
      <w:r w:rsidR="00DF423F">
        <w:rPr>
          <w:rFonts w:ascii="Arial" w:eastAsia="Times New Roman" w:hAnsi="Arial" w:cs="Times New Roman"/>
          <w:iCs/>
          <w:sz w:val="24"/>
        </w:rPr>
        <w:t xml:space="preserve"> Law</w:t>
      </w:r>
      <w:r w:rsidRPr="005B5609">
        <w:rPr>
          <w:rFonts w:ascii="Arial" w:eastAsia="Times New Roman" w:hAnsi="Arial" w:cs="Times New Roman"/>
          <w:iCs/>
          <w:sz w:val="24"/>
        </w:rPr>
        <w:t xml:space="preserve">, particularly the improper displacement of individuals or entities, could jeopardize </w:t>
      </w:r>
      <w:r w:rsidR="00FE5066">
        <w:rPr>
          <w:rFonts w:ascii="Arial" w:eastAsia="Times New Roman" w:hAnsi="Arial" w:cs="Times New Roman"/>
          <w:iCs/>
          <w:sz w:val="24"/>
        </w:rPr>
        <w:t>HCD</w:t>
      </w:r>
      <w:r w:rsidRPr="005B5609">
        <w:rPr>
          <w:rFonts w:ascii="Arial" w:eastAsia="Times New Roman" w:hAnsi="Arial" w:cs="Times New Roman"/>
          <w:iCs/>
          <w:sz w:val="24"/>
        </w:rPr>
        <w:t xml:space="preserve"> funding.</w:t>
      </w:r>
    </w:p>
    <w:p w14:paraId="32E329D7" w14:textId="0B70452E" w:rsidR="00B1062A" w:rsidRPr="00CB0ADD" w:rsidRDefault="00024400" w:rsidP="00621179">
      <w:pPr>
        <w:pStyle w:val="Heading2"/>
        <w:numPr>
          <w:ilvl w:val="0"/>
          <w:numId w:val="10"/>
        </w:numPr>
        <w:ind w:right="-180"/>
        <w:contextualSpacing w:val="0"/>
        <w:rPr>
          <w:rFonts w:cs="Times New Roman"/>
          <w:iCs/>
        </w:rPr>
      </w:pPr>
      <w:bookmarkStart w:id="203" w:name="_Toc71201561"/>
      <w:r w:rsidRPr="00C76370">
        <w:t xml:space="preserve">State </w:t>
      </w:r>
      <w:r w:rsidR="007646F7">
        <w:t>p</w:t>
      </w:r>
      <w:r w:rsidRPr="00C76370">
        <w:t xml:space="preserve">revailing </w:t>
      </w:r>
      <w:r w:rsidR="007646F7">
        <w:t>w</w:t>
      </w:r>
      <w:r w:rsidRPr="00C76370">
        <w:t>ages</w:t>
      </w:r>
      <w:bookmarkStart w:id="204" w:name="_Toc493151048"/>
      <w:bookmarkEnd w:id="201"/>
      <w:bookmarkEnd w:id="202"/>
      <w:bookmarkEnd w:id="203"/>
    </w:p>
    <w:p w14:paraId="59F041AD" w14:textId="198EF31D" w:rsidR="00F30D5C" w:rsidRDefault="00024400" w:rsidP="00621179">
      <w:pPr>
        <w:spacing w:after="240" w:line="240" w:lineRule="auto"/>
        <w:ind w:left="720" w:right="-180"/>
        <w:rPr>
          <w:rFonts w:ascii="Arial" w:eastAsia="Times New Roman" w:hAnsi="Arial" w:cs="Times New Roman"/>
          <w:bCs/>
          <w:iCs/>
          <w:sz w:val="24"/>
        </w:rPr>
      </w:pPr>
      <w:bookmarkStart w:id="205" w:name="_Hlk62022461"/>
      <w:r w:rsidRPr="00CB0ADD">
        <w:rPr>
          <w:rFonts w:ascii="Arial" w:eastAsia="Times New Roman" w:hAnsi="Arial" w:cs="Times New Roman"/>
          <w:iCs/>
          <w:sz w:val="24"/>
        </w:rPr>
        <w:t xml:space="preserve">Program funds </w:t>
      </w:r>
      <w:bookmarkEnd w:id="204"/>
      <w:r w:rsidRPr="00CB0ADD">
        <w:rPr>
          <w:rFonts w:ascii="Arial" w:eastAsia="Times New Roman" w:hAnsi="Arial" w:cs="Times New Roman"/>
          <w:iCs/>
          <w:sz w:val="24"/>
        </w:rPr>
        <w:t xml:space="preserve">awarded under this NOFA are subject to </w:t>
      </w:r>
      <w:r w:rsidR="007646F7">
        <w:rPr>
          <w:rFonts w:ascii="Arial" w:eastAsia="Times New Roman" w:hAnsi="Arial" w:cs="Times New Roman"/>
          <w:iCs/>
          <w:sz w:val="24"/>
        </w:rPr>
        <w:t>s</w:t>
      </w:r>
      <w:r w:rsidRPr="00CB0ADD">
        <w:rPr>
          <w:rFonts w:ascii="Arial" w:eastAsia="Times New Roman" w:hAnsi="Arial" w:cs="Times New Roman"/>
          <w:iCs/>
          <w:sz w:val="24"/>
        </w:rPr>
        <w:t xml:space="preserve">tate prevailing wage law, as set forth in Labor Code </w:t>
      </w:r>
      <w:r w:rsidR="00A5429C">
        <w:rPr>
          <w:rFonts w:ascii="Arial" w:eastAsia="Times New Roman" w:hAnsi="Arial" w:cs="Times New Roman"/>
          <w:iCs/>
          <w:sz w:val="24"/>
        </w:rPr>
        <w:t>s</w:t>
      </w:r>
      <w:r w:rsidRPr="00CB0ADD">
        <w:rPr>
          <w:rFonts w:ascii="Arial" w:eastAsia="Times New Roman" w:hAnsi="Arial" w:cs="Times New Roman"/>
          <w:iCs/>
          <w:sz w:val="24"/>
        </w:rPr>
        <w:t xml:space="preserve">ection 1720 et </w:t>
      </w:r>
      <w:r w:rsidR="00B25C10" w:rsidRPr="00CB0ADD">
        <w:rPr>
          <w:rFonts w:ascii="Arial" w:eastAsia="Times New Roman" w:hAnsi="Arial" w:cs="Times New Roman"/>
          <w:iCs/>
          <w:sz w:val="24"/>
        </w:rPr>
        <w:t>seq. and</w:t>
      </w:r>
      <w:r w:rsidRPr="00CB0ADD">
        <w:rPr>
          <w:rFonts w:ascii="Arial" w:eastAsia="Times New Roman" w:hAnsi="Arial" w:cs="Times New Roman"/>
          <w:iCs/>
          <w:sz w:val="24"/>
        </w:rPr>
        <w:t xml:space="preserve"> require the payment of prevailing wages unless the project meets one of the exceptions of Labor Code </w:t>
      </w:r>
      <w:r w:rsidR="00A5429C">
        <w:rPr>
          <w:rFonts w:ascii="Arial" w:eastAsia="Times New Roman" w:hAnsi="Arial" w:cs="Times New Roman"/>
          <w:iCs/>
          <w:sz w:val="24"/>
        </w:rPr>
        <w:t>s</w:t>
      </w:r>
      <w:r w:rsidR="007646F7">
        <w:rPr>
          <w:rFonts w:ascii="Arial" w:eastAsia="Times New Roman" w:hAnsi="Arial" w:cs="Times New Roman"/>
          <w:iCs/>
          <w:sz w:val="24"/>
        </w:rPr>
        <w:t xml:space="preserve">ection </w:t>
      </w:r>
      <w:r w:rsidRPr="00CB0ADD">
        <w:rPr>
          <w:rFonts w:ascii="Arial" w:eastAsia="Times New Roman" w:hAnsi="Arial" w:cs="Times New Roman"/>
          <w:iCs/>
          <w:sz w:val="24"/>
        </w:rPr>
        <w:t xml:space="preserve">1720 (c) as determined by </w:t>
      </w:r>
      <w:r w:rsidR="00D7302C">
        <w:rPr>
          <w:rFonts w:ascii="Arial" w:eastAsia="Times New Roman" w:hAnsi="Arial" w:cs="Times New Roman"/>
          <w:iCs/>
          <w:sz w:val="24"/>
        </w:rPr>
        <w:t>the Department</w:t>
      </w:r>
      <w:r w:rsidR="00D7302C" w:rsidRPr="00CB0ADD">
        <w:rPr>
          <w:rFonts w:ascii="Arial" w:eastAsia="Times New Roman" w:hAnsi="Arial" w:cs="Times New Roman"/>
          <w:iCs/>
          <w:sz w:val="24"/>
        </w:rPr>
        <w:t xml:space="preserve"> </w:t>
      </w:r>
      <w:r w:rsidRPr="00CB0ADD">
        <w:rPr>
          <w:rFonts w:ascii="Arial" w:eastAsia="Times New Roman" w:hAnsi="Arial" w:cs="Times New Roman"/>
          <w:iCs/>
          <w:sz w:val="24"/>
        </w:rPr>
        <w:t xml:space="preserve">of Industrial Relations. </w:t>
      </w:r>
      <w:r w:rsidRPr="0045333C">
        <w:rPr>
          <w:rFonts w:ascii="Arial" w:eastAsia="Times New Roman" w:hAnsi="Arial" w:cs="Times New Roman"/>
          <w:bCs/>
          <w:iCs/>
          <w:sz w:val="24"/>
        </w:rPr>
        <w:t>Applicants are urged to seek professional advice as to how to comply with State prevailing wage law.</w:t>
      </w:r>
    </w:p>
    <w:p w14:paraId="38B5E442" w14:textId="15BCEBC8" w:rsidR="00161575" w:rsidRDefault="0069237D" w:rsidP="00621179">
      <w:pPr>
        <w:pStyle w:val="Heading2"/>
        <w:numPr>
          <w:ilvl w:val="0"/>
          <w:numId w:val="30"/>
        </w:numPr>
      </w:pPr>
      <w:bookmarkStart w:id="206" w:name="_Toc71201562"/>
      <w:bookmarkEnd w:id="205"/>
      <w:r w:rsidRPr="00381BFF">
        <w:t>Article XXX</w:t>
      </w:r>
      <w:r w:rsidR="00265A05" w:rsidRPr="00381BFF">
        <w:t>IV</w:t>
      </w:r>
      <w:bookmarkEnd w:id="206"/>
    </w:p>
    <w:p w14:paraId="0D79AECA" w14:textId="778D663B" w:rsidR="00115831" w:rsidRDefault="003B1205" w:rsidP="00621179">
      <w:pPr>
        <w:spacing w:after="240" w:line="240" w:lineRule="auto"/>
        <w:ind w:left="720" w:right="-180"/>
        <w:rPr>
          <w:rFonts w:ascii="Arial" w:eastAsia="Times New Roman" w:hAnsi="Arial" w:cs="Times New Roman"/>
          <w:iCs/>
          <w:sz w:val="24"/>
        </w:rPr>
      </w:pPr>
      <w:r>
        <w:rPr>
          <w:rFonts w:ascii="Arial" w:eastAsia="Times New Roman" w:hAnsi="Arial" w:cs="Times New Roman"/>
          <w:iCs/>
          <w:sz w:val="24"/>
        </w:rPr>
        <w:t xml:space="preserve">IIG </w:t>
      </w:r>
      <w:r w:rsidR="0020054B">
        <w:rPr>
          <w:rFonts w:ascii="Arial" w:eastAsia="Times New Roman" w:hAnsi="Arial" w:cs="Times New Roman"/>
          <w:iCs/>
          <w:sz w:val="24"/>
        </w:rPr>
        <w:t>program fund</w:t>
      </w:r>
      <w:r w:rsidR="0031335A">
        <w:rPr>
          <w:rFonts w:ascii="Arial" w:eastAsia="Times New Roman" w:hAnsi="Arial" w:cs="Times New Roman"/>
          <w:iCs/>
          <w:sz w:val="24"/>
        </w:rPr>
        <w:t xml:space="preserve">s </w:t>
      </w:r>
      <w:r w:rsidR="005A6CE7">
        <w:rPr>
          <w:rFonts w:ascii="Arial" w:eastAsia="Times New Roman" w:hAnsi="Arial" w:cs="Times New Roman"/>
          <w:iCs/>
          <w:sz w:val="24"/>
        </w:rPr>
        <w:t>are not subject to</w:t>
      </w:r>
      <w:r w:rsidR="00B35E67" w:rsidRPr="00B35E67">
        <w:rPr>
          <w:rFonts w:ascii="Arial" w:eastAsia="Times New Roman" w:hAnsi="Arial" w:cs="Times New Roman"/>
          <w:iCs/>
          <w:sz w:val="24"/>
        </w:rPr>
        <w:t xml:space="preserve"> Article XXXIV, </w:t>
      </w:r>
      <w:r w:rsidR="003F3AB8">
        <w:rPr>
          <w:rFonts w:ascii="Arial" w:eastAsia="Times New Roman" w:hAnsi="Arial" w:cs="Times New Roman"/>
          <w:iCs/>
          <w:sz w:val="24"/>
        </w:rPr>
        <w:t>s</w:t>
      </w:r>
      <w:r w:rsidR="00B35E67" w:rsidRPr="00B35E67">
        <w:rPr>
          <w:rFonts w:ascii="Arial" w:eastAsia="Times New Roman" w:hAnsi="Arial" w:cs="Times New Roman"/>
          <w:iCs/>
          <w:sz w:val="24"/>
        </w:rPr>
        <w:t xml:space="preserve">ection 1 of the California Constitution, as clarified by the Public Housing Election Implementation Law (HSC </w:t>
      </w:r>
      <w:r w:rsidR="003F3AB8">
        <w:rPr>
          <w:rFonts w:ascii="Arial" w:eastAsia="Times New Roman" w:hAnsi="Arial" w:cs="Times New Roman"/>
          <w:iCs/>
          <w:sz w:val="24"/>
        </w:rPr>
        <w:t>s</w:t>
      </w:r>
      <w:r w:rsidR="00B35E67" w:rsidRPr="00B35E67">
        <w:rPr>
          <w:rFonts w:ascii="Arial" w:eastAsia="Times New Roman" w:hAnsi="Arial" w:cs="Times New Roman"/>
          <w:iCs/>
          <w:sz w:val="24"/>
        </w:rPr>
        <w:t>ection</w:t>
      </w:r>
      <w:r w:rsidR="00A8161D">
        <w:rPr>
          <w:rFonts w:ascii="Arial" w:eastAsia="Times New Roman" w:hAnsi="Arial" w:cs="Times New Roman"/>
          <w:iCs/>
          <w:sz w:val="24"/>
        </w:rPr>
        <w:t>s</w:t>
      </w:r>
      <w:r w:rsidR="00B35E67" w:rsidRPr="00B35E67">
        <w:rPr>
          <w:rFonts w:ascii="Arial" w:eastAsia="Times New Roman" w:hAnsi="Arial" w:cs="Times New Roman"/>
          <w:iCs/>
          <w:sz w:val="24"/>
        </w:rPr>
        <w:t xml:space="preserve"> 37000 - 37002). </w:t>
      </w:r>
      <w:r w:rsidR="00AD0B18">
        <w:rPr>
          <w:rFonts w:ascii="Arial" w:eastAsia="Times New Roman" w:hAnsi="Arial" w:cs="Times New Roman"/>
          <w:iCs/>
          <w:sz w:val="24"/>
        </w:rPr>
        <w:t>The IIG program funds do not directly fund the</w:t>
      </w:r>
      <w:r w:rsidR="003432C5">
        <w:rPr>
          <w:rFonts w:ascii="Arial" w:eastAsia="Times New Roman" w:hAnsi="Arial" w:cs="Times New Roman"/>
          <w:iCs/>
          <w:sz w:val="24"/>
        </w:rPr>
        <w:t xml:space="preserve"> housing units</w:t>
      </w:r>
      <w:r w:rsidR="00FF437A">
        <w:rPr>
          <w:rFonts w:ascii="Arial" w:eastAsia="Times New Roman" w:hAnsi="Arial" w:cs="Times New Roman"/>
          <w:iCs/>
          <w:sz w:val="24"/>
        </w:rPr>
        <w:t>, but rather fund the infrastructure that supports the housing units.</w:t>
      </w:r>
      <w:r w:rsidR="00962B2F">
        <w:rPr>
          <w:rFonts w:ascii="Arial" w:eastAsia="Times New Roman" w:hAnsi="Arial" w:cs="Times New Roman"/>
          <w:iCs/>
          <w:sz w:val="24"/>
        </w:rPr>
        <w:t xml:space="preserve"> </w:t>
      </w:r>
      <w:r w:rsidR="000479EF">
        <w:rPr>
          <w:rFonts w:ascii="Arial" w:eastAsia="Times New Roman" w:hAnsi="Arial" w:cs="Times New Roman"/>
          <w:iCs/>
          <w:sz w:val="24"/>
        </w:rPr>
        <w:t>Ot</w:t>
      </w:r>
      <w:r w:rsidR="00D27927">
        <w:rPr>
          <w:rFonts w:ascii="Arial" w:eastAsia="Times New Roman" w:hAnsi="Arial" w:cs="Times New Roman"/>
          <w:iCs/>
          <w:sz w:val="24"/>
        </w:rPr>
        <w:t xml:space="preserve">her </w:t>
      </w:r>
      <w:r w:rsidR="0005735B">
        <w:rPr>
          <w:rFonts w:ascii="Arial" w:eastAsia="Times New Roman" w:hAnsi="Arial" w:cs="Times New Roman"/>
          <w:iCs/>
          <w:sz w:val="24"/>
        </w:rPr>
        <w:t xml:space="preserve">HCD </w:t>
      </w:r>
      <w:r w:rsidR="00FF4557">
        <w:rPr>
          <w:rFonts w:ascii="Arial" w:eastAsia="Times New Roman" w:hAnsi="Arial" w:cs="Times New Roman"/>
          <w:iCs/>
          <w:sz w:val="24"/>
        </w:rPr>
        <w:t xml:space="preserve">funding sources may </w:t>
      </w:r>
      <w:r w:rsidR="00152EE5">
        <w:rPr>
          <w:rFonts w:ascii="Arial" w:eastAsia="Times New Roman" w:hAnsi="Arial" w:cs="Times New Roman"/>
          <w:iCs/>
          <w:sz w:val="24"/>
        </w:rPr>
        <w:t xml:space="preserve">require </w:t>
      </w:r>
      <w:r w:rsidR="00B35E67" w:rsidRPr="00B35E67">
        <w:rPr>
          <w:rFonts w:ascii="Arial" w:eastAsia="Times New Roman" w:hAnsi="Arial" w:cs="Times New Roman"/>
          <w:iCs/>
          <w:sz w:val="24"/>
        </w:rPr>
        <w:t>Article XXXIV</w:t>
      </w:r>
      <w:r w:rsidR="00DD5BD6">
        <w:rPr>
          <w:rFonts w:ascii="Arial" w:eastAsia="Times New Roman" w:hAnsi="Arial" w:cs="Times New Roman"/>
          <w:iCs/>
          <w:sz w:val="24"/>
        </w:rPr>
        <w:t xml:space="preserve"> compliance</w:t>
      </w:r>
      <w:r w:rsidR="00BA19D1">
        <w:rPr>
          <w:rFonts w:ascii="Arial" w:eastAsia="Times New Roman" w:hAnsi="Arial" w:cs="Times New Roman"/>
          <w:iCs/>
          <w:sz w:val="24"/>
        </w:rPr>
        <w:t>.</w:t>
      </w:r>
      <w:r w:rsidR="00B35E67" w:rsidRPr="00B35E67">
        <w:rPr>
          <w:rFonts w:ascii="Arial" w:eastAsia="Times New Roman" w:hAnsi="Arial" w:cs="Times New Roman"/>
          <w:iCs/>
          <w:sz w:val="24"/>
        </w:rPr>
        <w:t xml:space="preserve"> </w:t>
      </w:r>
    </w:p>
    <w:p w14:paraId="3C7DADA4" w14:textId="02AD1D70" w:rsidR="00154D5D" w:rsidRPr="00720FF4" w:rsidRDefault="00024400" w:rsidP="00621179">
      <w:pPr>
        <w:pStyle w:val="Heading1"/>
        <w:numPr>
          <w:ilvl w:val="0"/>
          <w:numId w:val="13"/>
        </w:numPr>
        <w:ind w:left="360" w:right="-180"/>
        <w:contextualSpacing w:val="0"/>
        <w:jc w:val="left"/>
        <w:rPr>
          <w:b w:val="0"/>
        </w:rPr>
      </w:pPr>
      <w:bookmarkStart w:id="207" w:name="_Toc47528524"/>
      <w:bookmarkStart w:id="208" w:name="_Toc71201563"/>
      <w:r w:rsidRPr="00720FF4">
        <w:t xml:space="preserve">Other </w:t>
      </w:r>
      <w:r w:rsidR="007646F7" w:rsidRPr="00720FF4">
        <w:t>t</w:t>
      </w:r>
      <w:r w:rsidRPr="00720FF4">
        <w:t xml:space="preserve">erms and </w:t>
      </w:r>
      <w:r w:rsidR="007646F7" w:rsidRPr="00720FF4">
        <w:t>c</w:t>
      </w:r>
      <w:r w:rsidRPr="00720FF4">
        <w:t>onditions</w:t>
      </w:r>
      <w:bookmarkEnd w:id="207"/>
      <w:bookmarkEnd w:id="208"/>
    </w:p>
    <w:p w14:paraId="75C60C1E" w14:textId="3F69CA37" w:rsidR="00154D5D" w:rsidRPr="009A4252" w:rsidRDefault="00154D5D" w:rsidP="00621179">
      <w:pPr>
        <w:pStyle w:val="Heading2"/>
        <w:numPr>
          <w:ilvl w:val="0"/>
          <w:numId w:val="11"/>
        </w:numPr>
        <w:tabs>
          <w:tab w:val="clear" w:pos="1260"/>
        </w:tabs>
        <w:ind w:right="-180"/>
        <w:contextualSpacing w:val="0"/>
      </w:pPr>
      <w:bookmarkStart w:id="209" w:name="_Toc47528525"/>
      <w:bookmarkStart w:id="210" w:name="_Toc71201564"/>
      <w:r w:rsidRPr="009A4252">
        <w:t xml:space="preserve">Right to </w:t>
      </w:r>
      <w:r w:rsidR="007646F7">
        <w:t>m</w:t>
      </w:r>
      <w:r w:rsidRPr="009A4252">
        <w:t xml:space="preserve">odify or </w:t>
      </w:r>
      <w:r w:rsidR="007646F7">
        <w:t>s</w:t>
      </w:r>
      <w:r w:rsidRPr="009A4252">
        <w:t>uspend</w:t>
      </w:r>
      <w:bookmarkEnd w:id="209"/>
      <w:bookmarkEnd w:id="210"/>
    </w:p>
    <w:p w14:paraId="78B92435" w14:textId="5F5616D9" w:rsidR="00CC245B" w:rsidRPr="00471486" w:rsidRDefault="00027DFB" w:rsidP="00621179">
      <w:pPr>
        <w:spacing w:after="240" w:line="240" w:lineRule="auto"/>
        <w:ind w:left="720"/>
        <w:rPr>
          <w:rFonts w:ascii="Arial" w:hAnsi="Arial" w:cs="Arial"/>
          <w:b/>
          <w:sz w:val="24"/>
          <w:szCs w:val="24"/>
        </w:rPr>
      </w:pPr>
      <w:bookmarkStart w:id="211" w:name="_Toc54709557"/>
      <w:r w:rsidRPr="00471486">
        <w:rPr>
          <w:rFonts w:ascii="Arial" w:hAnsi="Arial" w:cs="Arial"/>
          <w:sz w:val="24"/>
          <w:szCs w:val="24"/>
        </w:rPr>
        <w:t>HCD</w:t>
      </w:r>
      <w:r w:rsidR="00B2766E" w:rsidRPr="00471486">
        <w:rPr>
          <w:rFonts w:ascii="Arial" w:hAnsi="Arial" w:cs="Arial"/>
          <w:sz w:val="24"/>
          <w:szCs w:val="24"/>
        </w:rPr>
        <w:t xml:space="preserve"> reserves the right, at its sole discretion, to suspend, amend, or modify the provisions of this NOFA at any time, including without limitation, the amount of funds available hereunder. If such an action occurs, </w:t>
      </w:r>
      <w:r w:rsidRPr="00471486">
        <w:rPr>
          <w:rFonts w:ascii="Arial" w:hAnsi="Arial" w:cs="Arial"/>
          <w:sz w:val="24"/>
          <w:szCs w:val="24"/>
        </w:rPr>
        <w:t>HCD</w:t>
      </w:r>
      <w:r w:rsidR="00B2766E" w:rsidRPr="00471486">
        <w:rPr>
          <w:rFonts w:ascii="Arial" w:hAnsi="Arial" w:cs="Arial"/>
          <w:sz w:val="24"/>
          <w:szCs w:val="24"/>
        </w:rPr>
        <w:t xml:space="preserve"> will notify interested parties and will post the revisions to </w:t>
      </w:r>
      <w:r w:rsidRPr="00471486">
        <w:rPr>
          <w:rFonts w:ascii="Arial" w:hAnsi="Arial" w:cs="Arial"/>
          <w:sz w:val="24"/>
          <w:szCs w:val="24"/>
        </w:rPr>
        <w:t>HCD</w:t>
      </w:r>
      <w:r w:rsidR="00B2766E" w:rsidRPr="00471486">
        <w:rPr>
          <w:rFonts w:ascii="Arial" w:hAnsi="Arial" w:cs="Arial"/>
          <w:sz w:val="24"/>
          <w:szCs w:val="24"/>
        </w:rPr>
        <w:t xml:space="preserve">’s website. Subscriptions to </w:t>
      </w:r>
      <w:r w:rsidRPr="00471486">
        <w:rPr>
          <w:rFonts w:ascii="Arial" w:hAnsi="Arial" w:cs="Arial"/>
          <w:sz w:val="24"/>
          <w:szCs w:val="24"/>
        </w:rPr>
        <w:t>HCD</w:t>
      </w:r>
      <w:r w:rsidR="00B2766E" w:rsidRPr="00471486">
        <w:rPr>
          <w:rFonts w:ascii="Arial" w:hAnsi="Arial" w:cs="Arial"/>
          <w:sz w:val="24"/>
          <w:szCs w:val="24"/>
        </w:rPr>
        <w:t>’s email list are available at:</w:t>
      </w:r>
      <w:r w:rsidR="0014771C" w:rsidRPr="00471486">
        <w:rPr>
          <w:rFonts w:ascii="Arial" w:hAnsi="Arial" w:cs="Arial"/>
          <w:sz w:val="24"/>
          <w:szCs w:val="24"/>
        </w:rPr>
        <w:t xml:space="preserve"> </w:t>
      </w:r>
      <w:hyperlink r:id="rId27" w:history="1">
        <w:r w:rsidR="003D1859" w:rsidRPr="00471486">
          <w:rPr>
            <w:rStyle w:val="Hyperlink"/>
            <w:rFonts w:ascii="Arial" w:hAnsi="Arial" w:cs="Arial"/>
            <w:iCs/>
            <w:sz w:val="24"/>
            <w:szCs w:val="24"/>
          </w:rPr>
          <w:t>www.hcd.ca.gov/hcd_ssi/subscribe-form.html</w:t>
        </w:r>
      </w:hyperlink>
      <w:r w:rsidR="003D1859" w:rsidRPr="00471486">
        <w:rPr>
          <w:rFonts w:ascii="Arial" w:hAnsi="Arial" w:cs="Arial"/>
          <w:sz w:val="24"/>
          <w:szCs w:val="24"/>
        </w:rPr>
        <w:t xml:space="preserve"> </w:t>
      </w:r>
      <w:bookmarkStart w:id="212" w:name="_Toc47528527"/>
      <w:bookmarkStart w:id="213" w:name="_Toc47530645"/>
      <w:bookmarkEnd w:id="211"/>
    </w:p>
    <w:p w14:paraId="19F1F85B" w14:textId="3CF352CA" w:rsidR="00024400" w:rsidRPr="009A4252" w:rsidRDefault="00154D5D" w:rsidP="00621179">
      <w:pPr>
        <w:pStyle w:val="Heading2"/>
        <w:numPr>
          <w:ilvl w:val="0"/>
          <w:numId w:val="11"/>
        </w:numPr>
        <w:tabs>
          <w:tab w:val="clear" w:pos="1260"/>
        </w:tabs>
        <w:ind w:right="-180"/>
        <w:contextualSpacing w:val="0"/>
        <w:rPr>
          <w:rFonts w:cs="Times New Roman"/>
          <w:b w:val="0"/>
          <w:u w:val="single"/>
        </w:rPr>
      </w:pPr>
      <w:bookmarkStart w:id="214" w:name="_Toc71201565"/>
      <w:r w:rsidRPr="009A4252">
        <w:t>Conflicts</w:t>
      </w:r>
      <w:bookmarkEnd w:id="212"/>
      <w:bookmarkEnd w:id="213"/>
      <w:bookmarkEnd w:id="214"/>
    </w:p>
    <w:p w14:paraId="7DC73E75" w14:textId="589B8296" w:rsidR="0063588D" w:rsidRPr="00AF1C7B" w:rsidRDefault="00B2766E" w:rsidP="00621179">
      <w:pPr>
        <w:spacing w:after="240" w:line="240" w:lineRule="auto"/>
        <w:ind w:left="720" w:right="-187"/>
        <w:rPr>
          <w:rFonts w:ascii="Arial" w:eastAsia="Times New Roman" w:hAnsi="Arial" w:cs="Arial"/>
          <w:sz w:val="24"/>
          <w:szCs w:val="20"/>
        </w:rPr>
      </w:pPr>
      <w:r w:rsidRPr="009A4252">
        <w:rPr>
          <w:rFonts w:ascii="Arial" w:eastAsia="Times New Roman" w:hAnsi="Arial" w:cs="Arial"/>
          <w:iCs/>
          <w:sz w:val="24"/>
          <w:szCs w:val="20"/>
        </w:rPr>
        <w:t xml:space="preserve">In the event of any conflict between the terms of this NOFA and either applicable state or federal law or regulation, the terms of the applicable state or federal law or regulation shall control. Applicants are deemed to have fully read and understand all applicable state and federal laws, regulations, and guidelines pertaining to the </w:t>
      </w:r>
      <w:r w:rsidR="00AF1C7B" w:rsidRPr="009A4252">
        <w:rPr>
          <w:rFonts w:ascii="Arial" w:eastAsia="Times New Roman" w:hAnsi="Arial" w:cs="Arial"/>
          <w:iCs/>
          <w:sz w:val="24"/>
          <w:szCs w:val="20"/>
        </w:rPr>
        <w:t>IIG</w:t>
      </w:r>
      <w:r w:rsidRPr="009A4252">
        <w:rPr>
          <w:rFonts w:ascii="Arial" w:eastAsia="Times New Roman" w:hAnsi="Arial" w:cs="Arial"/>
          <w:iCs/>
          <w:sz w:val="24"/>
          <w:szCs w:val="20"/>
        </w:rPr>
        <w:t xml:space="preserve"> </w:t>
      </w:r>
      <w:r w:rsidR="00A2611F">
        <w:rPr>
          <w:rFonts w:ascii="Arial" w:eastAsia="Times New Roman" w:hAnsi="Arial" w:cs="Arial"/>
          <w:iCs/>
          <w:sz w:val="24"/>
          <w:szCs w:val="20"/>
        </w:rPr>
        <w:t>p</w:t>
      </w:r>
      <w:r w:rsidRPr="009A4252">
        <w:rPr>
          <w:rFonts w:ascii="Arial" w:eastAsia="Times New Roman" w:hAnsi="Arial" w:cs="Arial"/>
          <w:iCs/>
          <w:sz w:val="24"/>
          <w:szCs w:val="20"/>
        </w:rPr>
        <w:t xml:space="preserve">rogram, and understand and agree that </w:t>
      </w:r>
      <w:r w:rsidR="00027DFB">
        <w:rPr>
          <w:rFonts w:ascii="Arial" w:eastAsia="Times New Roman" w:hAnsi="Arial" w:cs="Arial"/>
          <w:iCs/>
          <w:sz w:val="24"/>
          <w:szCs w:val="20"/>
        </w:rPr>
        <w:t>HCD</w:t>
      </w:r>
      <w:r w:rsidRPr="009A4252">
        <w:rPr>
          <w:rFonts w:ascii="Arial" w:eastAsia="Times New Roman" w:hAnsi="Arial" w:cs="Arial"/>
          <w:iCs/>
          <w:sz w:val="24"/>
          <w:szCs w:val="20"/>
        </w:rPr>
        <w:t xml:space="preserve"> shall not be responsible for any errors or omissions in the preparation of this NOFA</w:t>
      </w:r>
      <w:r w:rsidR="000621F2">
        <w:rPr>
          <w:rFonts w:ascii="Arial" w:eastAsia="Times New Roman" w:hAnsi="Arial" w:cs="Arial"/>
          <w:iCs/>
          <w:sz w:val="24"/>
          <w:szCs w:val="20"/>
        </w:rPr>
        <w:t>.</w:t>
      </w:r>
    </w:p>
    <w:sectPr w:rsidR="0063588D" w:rsidRPr="00AF1C7B" w:rsidSect="009C6D6A">
      <w:footerReference w:type="default" r:id="rId28"/>
      <w:pgSz w:w="12240" w:h="15840"/>
      <w:pgMar w:top="1080" w:right="1440" w:bottom="1260" w:left="1440" w:header="72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A5E07" w14:textId="77777777" w:rsidR="003911CC" w:rsidRDefault="003911CC">
      <w:pPr>
        <w:spacing w:after="0" w:line="240" w:lineRule="auto"/>
      </w:pPr>
      <w:r>
        <w:separator/>
      </w:r>
    </w:p>
  </w:endnote>
  <w:endnote w:type="continuationSeparator" w:id="0">
    <w:p w14:paraId="2275EBEE" w14:textId="77777777" w:rsidR="003911CC" w:rsidRDefault="003911CC">
      <w:pPr>
        <w:spacing w:after="0" w:line="240" w:lineRule="auto"/>
      </w:pPr>
      <w:r>
        <w:continuationSeparator/>
      </w:r>
    </w:p>
  </w:endnote>
  <w:endnote w:type="continuationNotice" w:id="1">
    <w:p w14:paraId="1E0F190F" w14:textId="77777777" w:rsidR="003911CC" w:rsidRDefault="00391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FE0CE" w14:textId="002F21A6" w:rsidR="00471486" w:rsidRPr="009C6D6A" w:rsidRDefault="00471486" w:rsidP="009C6D6A">
    <w:pPr>
      <w:pStyle w:val="Footer"/>
      <w:tabs>
        <w:tab w:val="clear" w:pos="4680"/>
        <w:tab w:val="left" w:pos="8100"/>
      </w:tabs>
      <w:rPr>
        <w:rFonts w:cs="Arial"/>
        <w:sz w:val="20"/>
        <w:szCs w:val="20"/>
      </w:rPr>
    </w:pPr>
    <w:r w:rsidRPr="009C6D6A">
      <w:rPr>
        <w:rFonts w:cs="Arial"/>
        <w:sz w:val="20"/>
        <w:szCs w:val="20"/>
      </w:rPr>
      <w:t xml:space="preserve">Department of Housing and Community Development </w:t>
    </w:r>
    <w:r>
      <w:rPr>
        <w:rFonts w:cs="Arial"/>
        <w:sz w:val="20"/>
        <w:szCs w:val="20"/>
      </w:rPr>
      <w:tab/>
    </w:r>
    <w:r w:rsidRPr="009C6D6A">
      <w:rPr>
        <w:rFonts w:cs="Arial"/>
        <w:sz w:val="20"/>
        <w:szCs w:val="20"/>
      </w:rPr>
      <w:t xml:space="preserve">Page </w:t>
    </w:r>
    <w:sdt>
      <w:sdtPr>
        <w:rPr>
          <w:rFonts w:cs="Arial"/>
          <w:sz w:val="20"/>
          <w:szCs w:val="20"/>
        </w:rPr>
        <w:id w:val="-21327482"/>
        <w:docPartObj>
          <w:docPartGallery w:val="Page Numbers (Bottom of Page)"/>
          <w:docPartUnique/>
        </w:docPartObj>
      </w:sdtPr>
      <w:sdtEndPr>
        <w:rPr>
          <w:noProof/>
        </w:rPr>
      </w:sdtEndPr>
      <w:sdtContent>
        <w:r w:rsidRPr="009C6D6A">
          <w:rPr>
            <w:rFonts w:cs="Arial"/>
            <w:sz w:val="20"/>
            <w:szCs w:val="20"/>
          </w:rPr>
          <w:fldChar w:fldCharType="begin"/>
        </w:r>
        <w:r w:rsidRPr="009C6D6A">
          <w:rPr>
            <w:rFonts w:cs="Arial"/>
            <w:sz w:val="20"/>
            <w:szCs w:val="20"/>
          </w:rPr>
          <w:instrText xml:space="preserve"> PAGE   \* MERGEFORMAT </w:instrText>
        </w:r>
        <w:r w:rsidRPr="009C6D6A">
          <w:rPr>
            <w:rFonts w:cs="Arial"/>
            <w:sz w:val="20"/>
            <w:szCs w:val="20"/>
          </w:rPr>
          <w:fldChar w:fldCharType="separate"/>
        </w:r>
        <w:r w:rsidR="0054493A">
          <w:rPr>
            <w:rFonts w:cs="Arial"/>
            <w:noProof/>
            <w:sz w:val="20"/>
            <w:szCs w:val="20"/>
          </w:rPr>
          <w:t>12</w:t>
        </w:r>
        <w:r w:rsidRPr="009C6D6A">
          <w:rPr>
            <w:rFonts w:cs="Arial"/>
            <w:noProof/>
            <w:sz w:val="20"/>
            <w:szCs w:val="20"/>
          </w:rPr>
          <w:fldChar w:fldCharType="end"/>
        </w:r>
        <w:r w:rsidRPr="009C6D6A">
          <w:rPr>
            <w:rFonts w:cs="Arial"/>
            <w:noProof/>
            <w:sz w:val="20"/>
            <w:szCs w:val="20"/>
          </w:rPr>
          <w:t xml:space="preserve"> of 1</w:t>
        </w:r>
        <w:r w:rsidR="00621179">
          <w:rPr>
            <w:rFonts w:cs="Arial"/>
            <w:noProof/>
            <w:sz w:val="20"/>
            <w:szCs w:val="20"/>
          </w:rPr>
          <w:t>1</w:t>
        </w:r>
      </w:sdtContent>
    </w:sdt>
  </w:p>
  <w:p w14:paraId="1453CCEF" w14:textId="26E52A05" w:rsidR="00471486" w:rsidRPr="009C6D6A" w:rsidRDefault="00471486" w:rsidP="0020343A">
    <w:pPr>
      <w:spacing w:line="240" w:lineRule="auto"/>
      <w:rPr>
        <w:rFonts w:ascii="Arial" w:eastAsia="Times New Roman" w:hAnsi="Arial" w:cs="Arial"/>
        <w:i/>
        <w:iCs/>
        <w:color w:val="8496B0" w:themeColor="text2" w:themeTint="99"/>
        <w:sz w:val="20"/>
        <w:szCs w:val="20"/>
      </w:rPr>
    </w:pPr>
    <w:r w:rsidRPr="009C6D6A">
      <w:rPr>
        <w:rFonts w:ascii="Arial" w:hAnsi="Arial" w:cs="Arial"/>
        <w:sz w:val="20"/>
        <w:szCs w:val="20"/>
      </w:rPr>
      <w:t xml:space="preserve">Infill Infrastructure Grant – </w:t>
    </w:r>
    <w:r w:rsidR="00FC5449">
      <w:rPr>
        <w:rFonts w:ascii="Arial" w:hAnsi="Arial" w:cs="Arial"/>
        <w:sz w:val="20"/>
        <w:szCs w:val="20"/>
      </w:rPr>
      <w:t>Round 7</w:t>
    </w:r>
    <w:r w:rsidRPr="009C6D6A">
      <w:rPr>
        <w:rFonts w:ascii="Arial" w:hAnsi="Arial" w:cs="Arial"/>
        <w:sz w:val="20"/>
        <w:szCs w:val="20"/>
      </w:rPr>
      <w:t xml:space="preserve"> NOFA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E7B4D" w14:textId="77777777" w:rsidR="003911CC" w:rsidRDefault="003911CC">
      <w:pPr>
        <w:spacing w:after="0" w:line="240" w:lineRule="auto"/>
      </w:pPr>
      <w:r>
        <w:separator/>
      </w:r>
    </w:p>
  </w:footnote>
  <w:footnote w:type="continuationSeparator" w:id="0">
    <w:p w14:paraId="7D30D839" w14:textId="77777777" w:rsidR="003911CC" w:rsidRDefault="003911CC">
      <w:pPr>
        <w:spacing w:after="0" w:line="240" w:lineRule="auto"/>
      </w:pPr>
      <w:r>
        <w:continuationSeparator/>
      </w:r>
    </w:p>
  </w:footnote>
  <w:footnote w:type="continuationNotice" w:id="1">
    <w:p w14:paraId="25A70989" w14:textId="77777777" w:rsidR="003911CC" w:rsidRDefault="003911CC">
      <w:pPr>
        <w:spacing w:after="0" w:line="240" w:lineRule="auto"/>
      </w:pPr>
    </w:p>
  </w:footnote>
  <w:footnote w:id="2">
    <w:p w14:paraId="1A729C8A" w14:textId="20BDC348" w:rsidR="00471486" w:rsidRPr="00B936AB" w:rsidRDefault="00471486" w:rsidP="00B936AB">
      <w:pPr>
        <w:spacing w:after="200" w:line="240" w:lineRule="auto"/>
        <w:ind w:left="547" w:hanging="187"/>
        <w:rPr>
          <w:rFonts w:ascii="Arial" w:hAnsi="Arial" w:cs="Arial"/>
        </w:rPr>
      </w:pPr>
      <w:r w:rsidRPr="008440DA">
        <w:rPr>
          <w:rStyle w:val="FootnoteReference"/>
          <w:rFonts w:ascii="Arial" w:hAnsi="Arial"/>
          <w:sz w:val="24"/>
          <w:szCs w:val="24"/>
        </w:rPr>
        <w:footnoteRef/>
      </w:r>
      <w:r w:rsidRPr="008440DA">
        <w:rPr>
          <w:rFonts w:ascii="Arial" w:hAnsi="Arial"/>
          <w:sz w:val="24"/>
          <w:szCs w:val="24"/>
        </w:rPr>
        <w:t xml:space="preserve"> </w:t>
      </w:r>
      <w:r w:rsidRPr="00DC3000">
        <w:rPr>
          <w:rFonts w:ascii="Arial" w:hAnsi="Arial" w:cs="Arial"/>
          <w:sz w:val="20"/>
          <w:szCs w:val="20"/>
        </w:rPr>
        <w:t>200% Fair Market Rent (FMR) Unit: A 200 percent FMR Unit is a rental unit with a proposed monthly rent, which is equal to or greater than 200 percent of its county’s FMR as defined by HUD.</w:t>
      </w:r>
      <w:r w:rsidRPr="00FB7C69">
        <w:rPr>
          <w:rFonts w:ascii="Arial" w:hAnsi="Arial" w:cs="Arial"/>
        </w:rPr>
        <w:t xml:space="preserve"> </w:t>
      </w:r>
    </w:p>
  </w:footnote>
  <w:footnote w:id="3">
    <w:p w14:paraId="11C3F3AB" w14:textId="09169FA4" w:rsidR="00471486" w:rsidRDefault="00471486" w:rsidP="009A11F7">
      <w:pPr>
        <w:spacing w:after="0" w:line="240" w:lineRule="auto"/>
        <w:ind w:left="547" w:hanging="187"/>
      </w:pPr>
      <w:r w:rsidRPr="00FB7C69">
        <w:rPr>
          <w:rStyle w:val="FootnoteReference"/>
          <w:rFonts w:ascii="Courier" w:eastAsia="Times New Roman" w:hAnsi="Courier" w:cs="Times New Roman"/>
        </w:rPr>
        <w:t>2</w:t>
      </w:r>
      <w:r w:rsidRPr="00742C1A">
        <w:rPr>
          <w:rStyle w:val="FootnoteReference"/>
          <w:rFonts w:ascii="Arial" w:hAnsi="Arial"/>
        </w:rPr>
        <w:t xml:space="preserve"> </w:t>
      </w:r>
      <w:r w:rsidRPr="00DC3000">
        <w:rPr>
          <w:rFonts w:ascii="Arial" w:hAnsi="Arial" w:cs="Arial"/>
          <w:sz w:val="20"/>
          <w:szCs w:val="20"/>
        </w:rPr>
        <w:t xml:space="preserve">IIG Unrestricted: An unrestricted unit for the purposes of calculating grant amounts in the IIG program is any unit not restricted at the other levels identified in Section 302(a), but also not meeting any of the above definitions. </w:t>
      </w:r>
      <w:r w:rsidRPr="00DC3000">
        <w:rPr>
          <w:rFonts w:ascii="Arial" w:hAnsi="Arial" w:cs="Arial"/>
          <w:sz w:val="20"/>
          <w:szCs w:val="20"/>
          <w:vertAlign w:val="superscript"/>
        </w:rPr>
        <w:t>*</w:t>
      </w:r>
      <w:r w:rsidRPr="00DC3000">
        <w:rPr>
          <w:rFonts w:ascii="Arial" w:hAnsi="Arial" w:cs="Arial"/>
          <w:sz w:val="20"/>
          <w:szCs w:val="20"/>
        </w:rPr>
        <w:t xml:space="preserve">Increase based on December </w:t>
      </w:r>
      <w:r w:rsidRPr="00DC3000">
        <w:rPr>
          <w:rFonts w:ascii="Arial" w:hAnsi="Arial" w:cs="Arial"/>
          <w:color w:val="333333"/>
          <w:sz w:val="20"/>
          <w:szCs w:val="20"/>
          <w:shd w:val="clear" w:color="auto" w:fill="FFFFFF"/>
        </w:rPr>
        <w:t>Consumer Price Index</w:t>
      </w:r>
      <w:r w:rsidRPr="00DC3000">
        <w:rPr>
          <w:rFonts w:ascii="Arial" w:hAnsi="Arial" w:cs="Arial"/>
          <w:sz w:val="20"/>
          <w:szCs w:val="20"/>
        </w:rPr>
        <w:t xml:space="preserve"> per U.S. Bureau of Labor Statistics </w:t>
      </w:r>
      <w:hyperlink r:id="rId1" w:history="1">
        <w:r w:rsidRPr="00DC3000">
          <w:rPr>
            <w:rStyle w:val="Hyperlink"/>
            <w:rFonts w:ascii="Arial" w:hAnsi="Arial" w:cs="Arial"/>
            <w:sz w:val="20"/>
            <w:szCs w:val="20"/>
          </w:rPr>
          <w:t>https://data.bls.gov/pdq/SurveyOutputServlet?data_tool=dropmap&amp;series_id=CUUR0400SA0,CUUS0400SA0</w:t>
        </w:r>
      </w:hyperlink>
      <w:r>
        <w:rPr>
          <w:rFonts w:ascii="Arial" w:hAnsi="Arial" w:cs="Arial"/>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80530"/>
    <w:multiLevelType w:val="hybridMultilevel"/>
    <w:tmpl w:val="29063C40"/>
    <w:lvl w:ilvl="0" w:tplc="E870C510">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601E2"/>
    <w:multiLevelType w:val="hybridMultilevel"/>
    <w:tmpl w:val="279CFE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40C45B8"/>
    <w:multiLevelType w:val="hybridMultilevel"/>
    <w:tmpl w:val="4208AE96"/>
    <w:lvl w:ilvl="0" w:tplc="A7DE9E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793BD9"/>
    <w:multiLevelType w:val="hybridMultilevel"/>
    <w:tmpl w:val="50461780"/>
    <w:lvl w:ilvl="0" w:tplc="270E8B0C">
      <w:start w:val="1"/>
      <w:numFmt w:val="upperLetter"/>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038471C"/>
    <w:multiLevelType w:val="hybridMultilevel"/>
    <w:tmpl w:val="9E56F7E2"/>
    <w:lvl w:ilvl="0" w:tplc="270E8B0C">
      <w:start w:val="1"/>
      <w:numFmt w:val="upperLetter"/>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1FA2BE8"/>
    <w:multiLevelType w:val="hybridMultilevel"/>
    <w:tmpl w:val="7A323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04156C"/>
    <w:multiLevelType w:val="hybridMultilevel"/>
    <w:tmpl w:val="07FA78CC"/>
    <w:lvl w:ilvl="0" w:tplc="7C3C7078">
      <w:start w:val="2"/>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F0BFB"/>
    <w:multiLevelType w:val="hybridMultilevel"/>
    <w:tmpl w:val="58729F10"/>
    <w:lvl w:ilvl="0" w:tplc="04090001">
      <w:start w:val="1"/>
      <w:numFmt w:val="bullet"/>
      <w:lvlText w:val=""/>
      <w:lvlJc w:val="left"/>
      <w:pPr>
        <w:ind w:left="1350" w:hanging="360"/>
      </w:pPr>
      <w:rPr>
        <w:rFonts w:ascii="Symbol" w:hAnsi="Symbol"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55155D2"/>
    <w:multiLevelType w:val="hybridMultilevel"/>
    <w:tmpl w:val="CE6A3BCE"/>
    <w:lvl w:ilvl="0" w:tplc="270E8B0C">
      <w:start w:val="1"/>
      <w:numFmt w:val="upperLetter"/>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C40549B"/>
    <w:multiLevelType w:val="hybridMultilevel"/>
    <w:tmpl w:val="01EAB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E54A2C"/>
    <w:multiLevelType w:val="hybridMultilevel"/>
    <w:tmpl w:val="840EA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451EE6"/>
    <w:multiLevelType w:val="hybridMultilevel"/>
    <w:tmpl w:val="1540A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F82E13"/>
    <w:multiLevelType w:val="hybridMultilevel"/>
    <w:tmpl w:val="4F54A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DB0849"/>
    <w:multiLevelType w:val="hybridMultilevel"/>
    <w:tmpl w:val="36467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AEE5C94"/>
    <w:multiLevelType w:val="hybridMultilevel"/>
    <w:tmpl w:val="EF285552"/>
    <w:lvl w:ilvl="0" w:tplc="83FAA5D6">
      <w:start w:val="1"/>
      <w:numFmt w:val="lowerRoman"/>
      <w:lvlText w:val="(%1)"/>
      <w:lvlJc w:val="left"/>
      <w:pPr>
        <w:ind w:left="2160" w:hanging="720"/>
      </w:pPr>
      <w:rPr>
        <w:rFonts w:ascii="Arial" w:hAnsi="Arial" w:cs="Arial" w:hint="default"/>
        <w:sz w:val="24"/>
        <w:szCs w:val="24"/>
      </w:rPr>
    </w:lvl>
    <w:lvl w:ilvl="1" w:tplc="B75616BE">
      <w:start w:val="1"/>
      <w:numFmt w:val="lowerLetter"/>
      <w:lvlText w:val="%2."/>
      <w:lvlJc w:val="left"/>
      <w:pPr>
        <w:ind w:left="2520" w:hanging="360"/>
      </w:pPr>
      <w:rPr>
        <w:sz w:val="24"/>
        <w:szCs w:val="24"/>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4BE14688"/>
    <w:multiLevelType w:val="hybridMultilevel"/>
    <w:tmpl w:val="7B1E9386"/>
    <w:lvl w:ilvl="0" w:tplc="D5F26716">
      <w:start w:val="1"/>
      <w:numFmt w:val="upperLetter"/>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D6C6E7C"/>
    <w:multiLevelType w:val="hybridMultilevel"/>
    <w:tmpl w:val="BBB22408"/>
    <w:lvl w:ilvl="0" w:tplc="FFFFFFFF">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3F34832"/>
    <w:multiLevelType w:val="hybridMultilevel"/>
    <w:tmpl w:val="DF404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8246AB"/>
    <w:multiLevelType w:val="hybridMultilevel"/>
    <w:tmpl w:val="8772BC26"/>
    <w:lvl w:ilvl="0" w:tplc="270E8B0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1787E"/>
    <w:multiLevelType w:val="hybridMultilevel"/>
    <w:tmpl w:val="B734D17A"/>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761D7B"/>
    <w:multiLevelType w:val="hybridMultilevel"/>
    <w:tmpl w:val="568A7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5723BD"/>
    <w:multiLevelType w:val="hybridMultilevel"/>
    <w:tmpl w:val="94D6485E"/>
    <w:lvl w:ilvl="0" w:tplc="270E8B0C">
      <w:start w:val="1"/>
      <w:numFmt w:val="upperLetter"/>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673A6E5D"/>
    <w:multiLevelType w:val="hybridMultilevel"/>
    <w:tmpl w:val="39F4A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E1683A"/>
    <w:multiLevelType w:val="hybridMultilevel"/>
    <w:tmpl w:val="DE1C63EA"/>
    <w:lvl w:ilvl="0" w:tplc="9E64D89A">
      <w:start w:val="1"/>
      <w:numFmt w:val="decimal"/>
      <w:lvlText w:val="(%1)"/>
      <w:lvlJc w:val="left"/>
      <w:pPr>
        <w:ind w:left="3240" w:hanging="720"/>
      </w:pPr>
      <w:rPr>
        <w:rFonts w:ascii="Arial" w:hAnsi="Arial" w:cs="Arial" w:hint="default"/>
        <w:sz w:val="24"/>
        <w:szCs w:val="24"/>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4" w15:restartNumberingAfterBreak="0">
    <w:nsid w:val="6BE74457"/>
    <w:multiLevelType w:val="hybridMultilevel"/>
    <w:tmpl w:val="315051F0"/>
    <w:lvl w:ilvl="0" w:tplc="78C23AA2">
      <w:start w:val="1"/>
      <w:numFmt w:val="upperRoman"/>
      <w:lvlText w:val="%1."/>
      <w:lvlJc w:val="left"/>
      <w:pPr>
        <w:ind w:left="1440" w:hanging="720"/>
      </w:pPr>
      <w:rPr>
        <w:rFonts w:hint="default"/>
      </w:rPr>
    </w:lvl>
    <w:lvl w:ilvl="1" w:tplc="0B562040">
      <w:start w:val="1"/>
      <w:numFmt w:val="decimal"/>
      <w:lvlText w:val="(%2)"/>
      <w:lvlJc w:val="left"/>
      <w:pPr>
        <w:ind w:left="1800" w:hanging="360"/>
      </w:pPr>
      <w:rPr>
        <w:rFonts w:hint="default"/>
      </w:rPr>
    </w:lvl>
    <w:lvl w:ilvl="2" w:tplc="E49003FC">
      <w:start w:val="1"/>
      <w:numFmt w:val="upperLetter"/>
      <w:lvlText w:val="(%3)"/>
      <w:lvlJc w:val="left"/>
      <w:pPr>
        <w:ind w:left="2730" w:hanging="3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6405E3"/>
    <w:multiLevelType w:val="hybridMultilevel"/>
    <w:tmpl w:val="3D881050"/>
    <w:lvl w:ilvl="0" w:tplc="A9E07976">
      <w:start w:val="1"/>
      <w:numFmt w:val="upperLetter"/>
      <w:pStyle w:val="Heading2"/>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7F105791"/>
    <w:multiLevelType w:val="hybridMultilevel"/>
    <w:tmpl w:val="92A65BB6"/>
    <w:lvl w:ilvl="0" w:tplc="3EFE0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
  </w:num>
  <w:num w:numId="3">
    <w:abstractNumId w:val="0"/>
  </w:num>
  <w:num w:numId="4">
    <w:abstractNumId w:val="24"/>
  </w:num>
  <w:num w:numId="5">
    <w:abstractNumId w:val="15"/>
    <w:lvlOverride w:ilvl="0">
      <w:startOverride w:val="1"/>
    </w:lvlOverride>
  </w:num>
  <w:num w:numId="6">
    <w:abstractNumId w:val="18"/>
  </w:num>
  <w:num w:numId="7">
    <w:abstractNumId w:val="25"/>
  </w:num>
  <w:num w:numId="8">
    <w:abstractNumId w:val="4"/>
  </w:num>
  <w:num w:numId="9">
    <w:abstractNumId w:val="21"/>
  </w:num>
  <w:num w:numId="10">
    <w:abstractNumId w:val="8"/>
  </w:num>
  <w:num w:numId="11">
    <w:abstractNumId w:val="3"/>
  </w:num>
  <w:num w:numId="12">
    <w:abstractNumId w:val="7"/>
  </w:num>
  <w:num w:numId="13">
    <w:abstractNumId w:val="6"/>
  </w:num>
  <w:num w:numId="14">
    <w:abstractNumId w:val="26"/>
  </w:num>
  <w:num w:numId="15">
    <w:abstractNumId w:val="12"/>
  </w:num>
  <w:num w:numId="16">
    <w:abstractNumId w:val="11"/>
  </w:num>
  <w:num w:numId="17">
    <w:abstractNumId w:val="22"/>
  </w:num>
  <w:num w:numId="18">
    <w:abstractNumId w:val="5"/>
  </w:num>
  <w:num w:numId="19">
    <w:abstractNumId w:val="13"/>
  </w:num>
  <w:num w:numId="20">
    <w:abstractNumId w:val="10"/>
  </w:num>
  <w:num w:numId="21">
    <w:abstractNumId w:val="1"/>
  </w:num>
  <w:num w:numId="22">
    <w:abstractNumId w:val="19"/>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num>
  <w:num w:numId="27">
    <w:abstractNumId w:val="25"/>
  </w:num>
  <w:num w:numId="28">
    <w:abstractNumId w:val="17"/>
  </w:num>
  <w:num w:numId="29">
    <w:abstractNumId w:val="25"/>
    <w:lvlOverride w:ilvl="0">
      <w:startOverride w:val="1"/>
    </w:lvlOverride>
  </w:num>
  <w:num w:numId="30">
    <w:abstractNumId w:val="25"/>
    <w:lvlOverride w:ilvl="0">
      <w:startOverride w:val="3"/>
    </w:lvlOverride>
  </w:num>
  <w:num w:numId="31">
    <w:abstractNumId w:val="20"/>
  </w:num>
  <w:num w:numId="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proofState w:spelling="clean" w:grammar="clean"/>
  <w:documentProtection w:edit="readOnly" w:formatting="1" w:enforcement="1" w:cryptProviderType="rsaAES" w:cryptAlgorithmClass="hash" w:cryptAlgorithmType="typeAny" w:cryptAlgorithmSid="14" w:cryptSpinCount="100000" w:hash="K5TcRn1oQ8tTokyAG8QC0WxpRYFUDxvaCkCJSQ5k7g4shr/Jztjshb5CQt3hYdwqh8KQB10QjkEN+WymZS1oEA==" w:salt="X2TLo8dFxn/Bng01IdTVB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00"/>
    <w:rsid w:val="0000014D"/>
    <w:rsid w:val="00000B6E"/>
    <w:rsid w:val="00001A4E"/>
    <w:rsid w:val="00002690"/>
    <w:rsid w:val="00003784"/>
    <w:rsid w:val="000064FF"/>
    <w:rsid w:val="00006FD1"/>
    <w:rsid w:val="000071B2"/>
    <w:rsid w:val="000078DF"/>
    <w:rsid w:val="00007B85"/>
    <w:rsid w:val="00012F00"/>
    <w:rsid w:val="00013B28"/>
    <w:rsid w:val="00013D9E"/>
    <w:rsid w:val="000150F2"/>
    <w:rsid w:val="000168C2"/>
    <w:rsid w:val="000168E8"/>
    <w:rsid w:val="00017447"/>
    <w:rsid w:val="0001772F"/>
    <w:rsid w:val="00017B34"/>
    <w:rsid w:val="00017C0E"/>
    <w:rsid w:val="0002022B"/>
    <w:rsid w:val="00024400"/>
    <w:rsid w:val="000256DC"/>
    <w:rsid w:val="00025FB8"/>
    <w:rsid w:val="0002603F"/>
    <w:rsid w:val="000267C6"/>
    <w:rsid w:val="00027DFB"/>
    <w:rsid w:val="00030986"/>
    <w:rsid w:val="00030D37"/>
    <w:rsid w:val="00031138"/>
    <w:rsid w:val="00032509"/>
    <w:rsid w:val="00032FC1"/>
    <w:rsid w:val="00035D9A"/>
    <w:rsid w:val="00036097"/>
    <w:rsid w:val="000366B7"/>
    <w:rsid w:val="00037C53"/>
    <w:rsid w:val="00040801"/>
    <w:rsid w:val="0004190F"/>
    <w:rsid w:val="00042D29"/>
    <w:rsid w:val="0004478B"/>
    <w:rsid w:val="000479EF"/>
    <w:rsid w:val="00050636"/>
    <w:rsid w:val="00051F1D"/>
    <w:rsid w:val="0005209B"/>
    <w:rsid w:val="00056B13"/>
    <w:rsid w:val="0005735B"/>
    <w:rsid w:val="0006106E"/>
    <w:rsid w:val="000621F2"/>
    <w:rsid w:val="000625FB"/>
    <w:rsid w:val="000633B3"/>
    <w:rsid w:val="000636B4"/>
    <w:rsid w:val="00064AAE"/>
    <w:rsid w:val="00064B92"/>
    <w:rsid w:val="00065E8C"/>
    <w:rsid w:val="000663A6"/>
    <w:rsid w:val="00066D61"/>
    <w:rsid w:val="000704F0"/>
    <w:rsid w:val="00070B28"/>
    <w:rsid w:val="00071646"/>
    <w:rsid w:val="00071C15"/>
    <w:rsid w:val="00072431"/>
    <w:rsid w:val="00075B33"/>
    <w:rsid w:val="00077FBF"/>
    <w:rsid w:val="00080402"/>
    <w:rsid w:val="00084397"/>
    <w:rsid w:val="000872B9"/>
    <w:rsid w:val="000875EF"/>
    <w:rsid w:val="0009234E"/>
    <w:rsid w:val="00092C00"/>
    <w:rsid w:val="000976C7"/>
    <w:rsid w:val="00097E2B"/>
    <w:rsid w:val="000A0155"/>
    <w:rsid w:val="000A146C"/>
    <w:rsid w:val="000A1634"/>
    <w:rsid w:val="000A18A8"/>
    <w:rsid w:val="000A1EAB"/>
    <w:rsid w:val="000A2099"/>
    <w:rsid w:val="000A3F18"/>
    <w:rsid w:val="000A4EB0"/>
    <w:rsid w:val="000A670E"/>
    <w:rsid w:val="000A75F1"/>
    <w:rsid w:val="000B2A88"/>
    <w:rsid w:val="000B3808"/>
    <w:rsid w:val="000B43D8"/>
    <w:rsid w:val="000B441B"/>
    <w:rsid w:val="000B60CF"/>
    <w:rsid w:val="000B65C4"/>
    <w:rsid w:val="000C1B91"/>
    <w:rsid w:val="000C25E9"/>
    <w:rsid w:val="000C2A15"/>
    <w:rsid w:val="000C536A"/>
    <w:rsid w:val="000C62D2"/>
    <w:rsid w:val="000C6327"/>
    <w:rsid w:val="000D066D"/>
    <w:rsid w:val="000D3004"/>
    <w:rsid w:val="000D418F"/>
    <w:rsid w:val="000D42CF"/>
    <w:rsid w:val="000D496F"/>
    <w:rsid w:val="000D5966"/>
    <w:rsid w:val="000D67BF"/>
    <w:rsid w:val="000D73EE"/>
    <w:rsid w:val="000D7E17"/>
    <w:rsid w:val="000E0743"/>
    <w:rsid w:val="000E098C"/>
    <w:rsid w:val="000E245B"/>
    <w:rsid w:val="000E3704"/>
    <w:rsid w:val="000E46C8"/>
    <w:rsid w:val="000E6465"/>
    <w:rsid w:val="000F04E9"/>
    <w:rsid w:val="000F1ECF"/>
    <w:rsid w:val="000F5765"/>
    <w:rsid w:val="00100C4B"/>
    <w:rsid w:val="00100EB3"/>
    <w:rsid w:val="00100ECE"/>
    <w:rsid w:val="00105243"/>
    <w:rsid w:val="00106985"/>
    <w:rsid w:val="00106C95"/>
    <w:rsid w:val="0010755A"/>
    <w:rsid w:val="00107A2A"/>
    <w:rsid w:val="00107A3F"/>
    <w:rsid w:val="0011007A"/>
    <w:rsid w:val="001100E5"/>
    <w:rsid w:val="0011235F"/>
    <w:rsid w:val="001128CE"/>
    <w:rsid w:val="00113B2F"/>
    <w:rsid w:val="00113CC2"/>
    <w:rsid w:val="00115144"/>
    <w:rsid w:val="001153A4"/>
    <w:rsid w:val="00115831"/>
    <w:rsid w:val="00116AB4"/>
    <w:rsid w:val="0011792B"/>
    <w:rsid w:val="00120AAD"/>
    <w:rsid w:val="001211E8"/>
    <w:rsid w:val="00122A33"/>
    <w:rsid w:val="00123192"/>
    <w:rsid w:val="00124DF0"/>
    <w:rsid w:val="00125CA3"/>
    <w:rsid w:val="001308FA"/>
    <w:rsid w:val="00134477"/>
    <w:rsid w:val="0013519B"/>
    <w:rsid w:val="00140484"/>
    <w:rsid w:val="00141F4A"/>
    <w:rsid w:val="001426D5"/>
    <w:rsid w:val="00142759"/>
    <w:rsid w:val="00143C4F"/>
    <w:rsid w:val="00144887"/>
    <w:rsid w:val="00144C52"/>
    <w:rsid w:val="001469AD"/>
    <w:rsid w:val="00146B7E"/>
    <w:rsid w:val="0014771C"/>
    <w:rsid w:val="0015071D"/>
    <w:rsid w:val="00150B0C"/>
    <w:rsid w:val="00152EE5"/>
    <w:rsid w:val="00154D5D"/>
    <w:rsid w:val="00157DA7"/>
    <w:rsid w:val="001600FA"/>
    <w:rsid w:val="00160DDD"/>
    <w:rsid w:val="00161575"/>
    <w:rsid w:val="0016211F"/>
    <w:rsid w:val="00162FD8"/>
    <w:rsid w:val="00164C38"/>
    <w:rsid w:val="00164C4E"/>
    <w:rsid w:val="00166D9A"/>
    <w:rsid w:val="00166DE9"/>
    <w:rsid w:val="001679A7"/>
    <w:rsid w:val="00167BCD"/>
    <w:rsid w:val="00167ED5"/>
    <w:rsid w:val="00170F71"/>
    <w:rsid w:val="00170FD7"/>
    <w:rsid w:val="0017312D"/>
    <w:rsid w:val="00177C0B"/>
    <w:rsid w:val="001801FA"/>
    <w:rsid w:val="00180F58"/>
    <w:rsid w:val="00182AB5"/>
    <w:rsid w:val="001845C9"/>
    <w:rsid w:val="00190DF2"/>
    <w:rsid w:val="00192771"/>
    <w:rsid w:val="00196517"/>
    <w:rsid w:val="00197EAE"/>
    <w:rsid w:val="001A5404"/>
    <w:rsid w:val="001A5A1B"/>
    <w:rsid w:val="001A6259"/>
    <w:rsid w:val="001A755B"/>
    <w:rsid w:val="001B3FE4"/>
    <w:rsid w:val="001B42CB"/>
    <w:rsid w:val="001B5E4D"/>
    <w:rsid w:val="001B6E60"/>
    <w:rsid w:val="001B7689"/>
    <w:rsid w:val="001B7D87"/>
    <w:rsid w:val="001B7F37"/>
    <w:rsid w:val="001C0FE6"/>
    <w:rsid w:val="001C1CC5"/>
    <w:rsid w:val="001C3ADF"/>
    <w:rsid w:val="001C42E4"/>
    <w:rsid w:val="001C4ED7"/>
    <w:rsid w:val="001C5039"/>
    <w:rsid w:val="001C6799"/>
    <w:rsid w:val="001C6E69"/>
    <w:rsid w:val="001C784F"/>
    <w:rsid w:val="001C7A60"/>
    <w:rsid w:val="001D15FD"/>
    <w:rsid w:val="001D4E4C"/>
    <w:rsid w:val="001D5457"/>
    <w:rsid w:val="001E0444"/>
    <w:rsid w:val="001E0D29"/>
    <w:rsid w:val="001E0E3D"/>
    <w:rsid w:val="001E1EA6"/>
    <w:rsid w:val="001E2491"/>
    <w:rsid w:val="001E2609"/>
    <w:rsid w:val="001E28C8"/>
    <w:rsid w:val="001E2EFD"/>
    <w:rsid w:val="001E3AF8"/>
    <w:rsid w:val="001E3D0B"/>
    <w:rsid w:val="001E550C"/>
    <w:rsid w:val="001E5E67"/>
    <w:rsid w:val="001E6476"/>
    <w:rsid w:val="001E6AFF"/>
    <w:rsid w:val="001F0DE9"/>
    <w:rsid w:val="001F3A7A"/>
    <w:rsid w:val="001F4009"/>
    <w:rsid w:val="001F55B3"/>
    <w:rsid w:val="001F5DDB"/>
    <w:rsid w:val="001F64B5"/>
    <w:rsid w:val="001F7653"/>
    <w:rsid w:val="001F76E8"/>
    <w:rsid w:val="001F7DCC"/>
    <w:rsid w:val="0020054B"/>
    <w:rsid w:val="0020318F"/>
    <w:rsid w:val="0020343A"/>
    <w:rsid w:val="00204595"/>
    <w:rsid w:val="002045F4"/>
    <w:rsid w:val="00206581"/>
    <w:rsid w:val="00207EA9"/>
    <w:rsid w:val="0021159B"/>
    <w:rsid w:val="00211950"/>
    <w:rsid w:val="00214BE5"/>
    <w:rsid w:val="00217939"/>
    <w:rsid w:val="0022282B"/>
    <w:rsid w:val="00224585"/>
    <w:rsid w:val="0022540E"/>
    <w:rsid w:val="002254EE"/>
    <w:rsid w:val="00225F73"/>
    <w:rsid w:val="0023006D"/>
    <w:rsid w:val="002309B6"/>
    <w:rsid w:val="00230D1E"/>
    <w:rsid w:val="00232A0B"/>
    <w:rsid w:val="0023340D"/>
    <w:rsid w:val="002337ED"/>
    <w:rsid w:val="0023550B"/>
    <w:rsid w:val="0023599A"/>
    <w:rsid w:val="00235AFE"/>
    <w:rsid w:val="00235E45"/>
    <w:rsid w:val="00236833"/>
    <w:rsid w:val="00236A51"/>
    <w:rsid w:val="00236B00"/>
    <w:rsid w:val="00236FC4"/>
    <w:rsid w:val="00240C2C"/>
    <w:rsid w:val="002412D3"/>
    <w:rsid w:val="002417D7"/>
    <w:rsid w:val="002448C2"/>
    <w:rsid w:val="00244A4F"/>
    <w:rsid w:val="00246003"/>
    <w:rsid w:val="002469CC"/>
    <w:rsid w:val="00247404"/>
    <w:rsid w:val="0024790B"/>
    <w:rsid w:val="00247BC1"/>
    <w:rsid w:val="00250423"/>
    <w:rsid w:val="00251394"/>
    <w:rsid w:val="00251840"/>
    <w:rsid w:val="00252503"/>
    <w:rsid w:val="0025320E"/>
    <w:rsid w:val="00254CA3"/>
    <w:rsid w:val="0025564A"/>
    <w:rsid w:val="002562ED"/>
    <w:rsid w:val="00256483"/>
    <w:rsid w:val="00260D75"/>
    <w:rsid w:val="00261D8B"/>
    <w:rsid w:val="0026234A"/>
    <w:rsid w:val="0026245B"/>
    <w:rsid w:val="00265954"/>
    <w:rsid w:val="00265A05"/>
    <w:rsid w:val="00274456"/>
    <w:rsid w:val="002753B8"/>
    <w:rsid w:val="00277F64"/>
    <w:rsid w:val="0028070B"/>
    <w:rsid w:val="00281083"/>
    <w:rsid w:val="00282121"/>
    <w:rsid w:val="002826F7"/>
    <w:rsid w:val="002846A4"/>
    <w:rsid w:val="0028539C"/>
    <w:rsid w:val="00287221"/>
    <w:rsid w:val="00291D46"/>
    <w:rsid w:val="00291EA5"/>
    <w:rsid w:val="0029278C"/>
    <w:rsid w:val="0029370D"/>
    <w:rsid w:val="0029423D"/>
    <w:rsid w:val="002954CE"/>
    <w:rsid w:val="00295ABB"/>
    <w:rsid w:val="00295EBE"/>
    <w:rsid w:val="002A18CB"/>
    <w:rsid w:val="002A2023"/>
    <w:rsid w:val="002A369B"/>
    <w:rsid w:val="002A50D1"/>
    <w:rsid w:val="002A7F4E"/>
    <w:rsid w:val="002B12F9"/>
    <w:rsid w:val="002B4088"/>
    <w:rsid w:val="002B5FB4"/>
    <w:rsid w:val="002C05BC"/>
    <w:rsid w:val="002C06D1"/>
    <w:rsid w:val="002C4B20"/>
    <w:rsid w:val="002C4F89"/>
    <w:rsid w:val="002C57B0"/>
    <w:rsid w:val="002C5E28"/>
    <w:rsid w:val="002C5EFA"/>
    <w:rsid w:val="002C6617"/>
    <w:rsid w:val="002C69BD"/>
    <w:rsid w:val="002C79E6"/>
    <w:rsid w:val="002D20A6"/>
    <w:rsid w:val="002D43CF"/>
    <w:rsid w:val="002D485B"/>
    <w:rsid w:val="002D4C33"/>
    <w:rsid w:val="002D7941"/>
    <w:rsid w:val="002E0486"/>
    <w:rsid w:val="002E04E0"/>
    <w:rsid w:val="002E16B5"/>
    <w:rsid w:val="002E1749"/>
    <w:rsid w:val="002E19FD"/>
    <w:rsid w:val="002E5371"/>
    <w:rsid w:val="002E5753"/>
    <w:rsid w:val="002E792B"/>
    <w:rsid w:val="002F0324"/>
    <w:rsid w:val="002F069F"/>
    <w:rsid w:val="002F3899"/>
    <w:rsid w:val="002F4FE6"/>
    <w:rsid w:val="002F52E4"/>
    <w:rsid w:val="002F6236"/>
    <w:rsid w:val="002F650D"/>
    <w:rsid w:val="00300C5E"/>
    <w:rsid w:val="003012BA"/>
    <w:rsid w:val="0030136C"/>
    <w:rsid w:val="003036A7"/>
    <w:rsid w:val="003040D2"/>
    <w:rsid w:val="003040DD"/>
    <w:rsid w:val="00304E06"/>
    <w:rsid w:val="00305F7A"/>
    <w:rsid w:val="00306806"/>
    <w:rsid w:val="00311244"/>
    <w:rsid w:val="0031185F"/>
    <w:rsid w:val="00312184"/>
    <w:rsid w:val="0031249F"/>
    <w:rsid w:val="0031335A"/>
    <w:rsid w:val="00313BC6"/>
    <w:rsid w:val="00314AF3"/>
    <w:rsid w:val="00314B67"/>
    <w:rsid w:val="00314D27"/>
    <w:rsid w:val="00315805"/>
    <w:rsid w:val="00315808"/>
    <w:rsid w:val="00315CE7"/>
    <w:rsid w:val="00316A99"/>
    <w:rsid w:val="0031724A"/>
    <w:rsid w:val="00322E28"/>
    <w:rsid w:val="00324129"/>
    <w:rsid w:val="00324309"/>
    <w:rsid w:val="003244FB"/>
    <w:rsid w:val="003274A1"/>
    <w:rsid w:val="00330CA2"/>
    <w:rsid w:val="00332199"/>
    <w:rsid w:val="003323FC"/>
    <w:rsid w:val="00333243"/>
    <w:rsid w:val="00334210"/>
    <w:rsid w:val="00336B0D"/>
    <w:rsid w:val="00336DD4"/>
    <w:rsid w:val="00337469"/>
    <w:rsid w:val="00341BF6"/>
    <w:rsid w:val="00342842"/>
    <w:rsid w:val="003432C5"/>
    <w:rsid w:val="0034351F"/>
    <w:rsid w:val="0035013E"/>
    <w:rsid w:val="00351EF4"/>
    <w:rsid w:val="0035317A"/>
    <w:rsid w:val="00353E39"/>
    <w:rsid w:val="003552D9"/>
    <w:rsid w:val="00355462"/>
    <w:rsid w:val="00356706"/>
    <w:rsid w:val="00357A37"/>
    <w:rsid w:val="00360E48"/>
    <w:rsid w:val="00364393"/>
    <w:rsid w:val="003649DD"/>
    <w:rsid w:val="003660AD"/>
    <w:rsid w:val="00366FC6"/>
    <w:rsid w:val="00367590"/>
    <w:rsid w:val="0037036B"/>
    <w:rsid w:val="003728B9"/>
    <w:rsid w:val="00373ADB"/>
    <w:rsid w:val="00374467"/>
    <w:rsid w:val="0038033B"/>
    <w:rsid w:val="00380F2E"/>
    <w:rsid w:val="00381BFF"/>
    <w:rsid w:val="00382F92"/>
    <w:rsid w:val="003834EC"/>
    <w:rsid w:val="00384189"/>
    <w:rsid w:val="003846D9"/>
    <w:rsid w:val="00384A9E"/>
    <w:rsid w:val="00384B86"/>
    <w:rsid w:val="0038680E"/>
    <w:rsid w:val="00386B51"/>
    <w:rsid w:val="0039102F"/>
    <w:rsid w:val="003911CC"/>
    <w:rsid w:val="00392232"/>
    <w:rsid w:val="00392249"/>
    <w:rsid w:val="00393365"/>
    <w:rsid w:val="00396F09"/>
    <w:rsid w:val="00397C95"/>
    <w:rsid w:val="003A0D3F"/>
    <w:rsid w:val="003A24C9"/>
    <w:rsid w:val="003A2B16"/>
    <w:rsid w:val="003A36D4"/>
    <w:rsid w:val="003A3D8D"/>
    <w:rsid w:val="003A4531"/>
    <w:rsid w:val="003A46EB"/>
    <w:rsid w:val="003A4F50"/>
    <w:rsid w:val="003A5205"/>
    <w:rsid w:val="003A7BA6"/>
    <w:rsid w:val="003B0072"/>
    <w:rsid w:val="003B1205"/>
    <w:rsid w:val="003B3E2D"/>
    <w:rsid w:val="003B41F2"/>
    <w:rsid w:val="003B63BA"/>
    <w:rsid w:val="003B6CC4"/>
    <w:rsid w:val="003C0392"/>
    <w:rsid w:val="003C210F"/>
    <w:rsid w:val="003C3F6A"/>
    <w:rsid w:val="003C491D"/>
    <w:rsid w:val="003C5D5C"/>
    <w:rsid w:val="003C6636"/>
    <w:rsid w:val="003C6EE7"/>
    <w:rsid w:val="003C71A5"/>
    <w:rsid w:val="003C741F"/>
    <w:rsid w:val="003D007E"/>
    <w:rsid w:val="003D0D2D"/>
    <w:rsid w:val="003D0FBD"/>
    <w:rsid w:val="003D1441"/>
    <w:rsid w:val="003D1859"/>
    <w:rsid w:val="003D32A1"/>
    <w:rsid w:val="003D373F"/>
    <w:rsid w:val="003D68F7"/>
    <w:rsid w:val="003D72BF"/>
    <w:rsid w:val="003D7D9F"/>
    <w:rsid w:val="003E09FF"/>
    <w:rsid w:val="003E0C08"/>
    <w:rsid w:val="003E2D51"/>
    <w:rsid w:val="003E5002"/>
    <w:rsid w:val="003E6993"/>
    <w:rsid w:val="003F0814"/>
    <w:rsid w:val="003F3AB8"/>
    <w:rsid w:val="003F3BFB"/>
    <w:rsid w:val="003F4FF2"/>
    <w:rsid w:val="003F5220"/>
    <w:rsid w:val="003F638F"/>
    <w:rsid w:val="00401CD3"/>
    <w:rsid w:val="004029F6"/>
    <w:rsid w:val="004036D4"/>
    <w:rsid w:val="0040661A"/>
    <w:rsid w:val="004074A4"/>
    <w:rsid w:val="00407E80"/>
    <w:rsid w:val="0041103F"/>
    <w:rsid w:val="00411B10"/>
    <w:rsid w:val="0041485C"/>
    <w:rsid w:val="00417588"/>
    <w:rsid w:val="00417B81"/>
    <w:rsid w:val="0042218E"/>
    <w:rsid w:val="00422350"/>
    <w:rsid w:val="00423EDA"/>
    <w:rsid w:val="0042495B"/>
    <w:rsid w:val="00424E94"/>
    <w:rsid w:val="00425D4A"/>
    <w:rsid w:val="004270A8"/>
    <w:rsid w:val="00427FD5"/>
    <w:rsid w:val="0043357A"/>
    <w:rsid w:val="0043358B"/>
    <w:rsid w:val="00433FD4"/>
    <w:rsid w:val="00434033"/>
    <w:rsid w:val="00437308"/>
    <w:rsid w:val="0044050C"/>
    <w:rsid w:val="00440DC8"/>
    <w:rsid w:val="004433C6"/>
    <w:rsid w:val="0044397B"/>
    <w:rsid w:val="0044441E"/>
    <w:rsid w:val="004452F4"/>
    <w:rsid w:val="004454A9"/>
    <w:rsid w:val="00447256"/>
    <w:rsid w:val="0044795E"/>
    <w:rsid w:val="00450812"/>
    <w:rsid w:val="00452A76"/>
    <w:rsid w:val="0045333C"/>
    <w:rsid w:val="004534DF"/>
    <w:rsid w:val="00453E22"/>
    <w:rsid w:val="00456C59"/>
    <w:rsid w:val="004570C3"/>
    <w:rsid w:val="00457372"/>
    <w:rsid w:val="00462099"/>
    <w:rsid w:val="004624D0"/>
    <w:rsid w:val="00462A35"/>
    <w:rsid w:val="00463384"/>
    <w:rsid w:val="00464008"/>
    <w:rsid w:val="00465377"/>
    <w:rsid w:val="00471486"/>
    <w:rsid w:val="0047158C"/>
    <w:rsid w:val="004719BE"/>
    <w:rsid w:val="0047235A"/>
    <w:rsid w:val="00472CF8"/>
    <w:rsid w:val="00473ECD"/>
    <w:rsid w:val="00474334"/>
    <w:rsid w:val="00474404"/>
    <w:rsid w:val="0047480C"/>
    <w:rsid w:val="0047553B"/>
    <w:rsid w:val="00480A85"/>
    <w:rsid w:val="0048103A"/>
    <w:rsid w:val="00481E4E"/>
    <w:rsid w:val="00483906"/>
    <w:rsid w:val="00485576"/>
    <w:rsid w:val="00486143"/>
    <w:rsid w:val="00486EFE"/>
    <w:rsid w:val="00487F43"/>
    <w:rsid w:val="0049021A"/>
    <w:rsid w:val="00490788"/>
    <w:rsid w:val="00491B33"/>
    <w:rsid w:val="00492963"/>
    <w:rsid w:val="0049434D"/>
    <w:rsid w:val="00494374"/>
    <w:rsid w:val="00494DD0"/>
    <w:rsid w:val="00495BDC"/>
    <w:rsid w:val="00495E18"/>
    <w:rsid w:val="00496479"/>
    <w:rsid w:val="004A0827"/>
    <w:rsid w:val="004A1DE1"/>
    <w:rsid w:val="004A4314"/>
    <w:rsid w:val="004A4E4D"/>
    <w:rsid w:val="004A6B92"/>
    <w:rsid w:val="004A6C7E"/>
    <w:rsid w:val="004B08A2"/>
    <w:rsid w:val="004B15F4"/>
    <w:rsid w:val="004B1899"/>
    <w:rsid w:val="004B2A80"/>
    <w:rsid w:val="004B3B98"/>
    <w:rsid w:val="004C04AA"/>
    <w:rsid w:val="004C0680"/>
    <w:rsid w:val="004C12C8"/>
    <w:rsid w:val="004C39E3"/>
    <w:rsid w:val="004C4605"/>
    <w:rsid w:val="004C4756"/>
    <w:rsid w:val="004C50DE"/>
    <w:rsid w:val="004C54FF"/>
    <w:rsid w:val="004C5E32"/>
    <w:rsid w:val="004C61B1"/>
    <w:rsid w:val="004D0DD9"/>
    <w:rsid w:val="004D1945"/>
    <w:rsid w:val="004D3BDE"/>
    <w:rsid w:val="004D415B"/>
    <w:rsid w:val="004D4F53"/>
    <w:rsid w:val="004D69FC"/>
    <w:rsid w:val="004E0624"/>
    <w:rsid w:val="004E0AC1"/>
    <w:rsid w:val="004E15EE"/>
    <w:rsid w:val="004E1BF4"/>
    <w:rsid w:val="004E6562"/>
    <w:rsid w:val="004E6A79"/>
    <w:rsid w:val="004F23B3"/>
    <w:rsid w:val="004F3971"/>
    <w:rsid w:val="004F45BA"/>
    <w:rsid w:val="004F486E"/>
    <w:rsid w:val="004F4BD6"/>
    <w:rsid w:val="004F6062"/>
    <w:rsid w:val="004F6305"/>
    <w:rsid w:val="004F7200"/>
    <w:rsid w:val="004F7249"/>
    <w:rsid w:val="005000B6"/>
    <w:rsid w:val="005002C7"/>
    <w:rsid w:val="00501EC8"/>
    <w:rsid w:val="0050242F"/>
    <w:rsid w:val="00503B02"/>
    <w:rsid w:val="00503B22"/>
    <w:rsid w:val="005047A6"/>
    <w:rsid w:val="00507279"/>
    <w:rsid w:val="00507D1E"/>
    <w:rsid w:val="00507F2E"/>
    <w:rsid w:val="005108CA"/>
    <w:rsid w:val="00510EB3"/>
    <w:rsid w:val="00511F54"/>
    <w:rsid w:val="005122A9"/>
    <w:rsid w:val="00512B5C"/>
    <w:rsid w:val="00513AF7"/>
    <w:rsid w:val="0051464C"/>
    <w:rsid w:val="00514FD5"/>
    <w:rsid w:val="005164D7"/>
    <w:rsid w:val="0051658E"/>
    <w:rsid w:val="00516FA5"/>
    <w:rsid w:val="00522D76"/>
    <w:rsid w:val="0052481F"/>
    <w:rsid w:val="0052631B"/>
    <w:rsid w:val="00526555"/>
    <w:rsid w:val="0053008F"/>
    <w:rsid w:val="00530511"/>
    <w:rsid w:val="005305A6"/>
    <w:rsid w:val="00531995"/>
    <w:rsid w:val="00534E6A"/>
    <w:rsid w:val="0053517E"/>
    <w:rsid w:val="005378D6"/>
    <w:rsid w:val="0054079D"/>
    <w:rsid w:val="00540A60"/>
    <w:rsid w:val="0054112A"/>
    <w:rsid w:val="0054493A"/>
    <w:rsid w:val="00544975"/>
    <w:rsid w:val="00544FDC"/>
    <w:rsid w:val="00545048"/>
    <w:rsid w:val="005475D5"/>
    <w:rsid w:val="0055298F"/>
    <w:rsid w:val="00553CBE"/>
    <w:rsid w:val="0055475F"/>
    <w:rsid w:val="00554833"/>
    <w:rsid w:val="0055686C"/>
    <w:rsid w:val="00557D20"/>
    <w:rsid w:val="00565449"/>
    <w:rsid w:val="00566E10"/>
    <w:rsid w:val="00570C4A"/>
    <w:rsid w:val="00574168"/>
    <w:rsid w:val="00575291"/>
    <w:rsid w:val="00575343"/>
    <w:rsid w:val="0057604F"/>
    <w:rsid w:val="00580361"/>
    <w:rsid w:val="00581A52"/>
    <w:rsid w:val="005834A7"/>
    <w:rsid w:val="005854C2"/>
    <w:rsid w:val="00586640"/>
    <w:rsid w:val="00586C3D"/>
    <w:rsid w:val="00586E16"/>
    <w:rsid w:val="00590FC0"/>
    <w:rsid w:val="00591B27"/>
    <w:rsid w:val="00591B50"/>
    <w:rsid w:val="00592126"/>
    <w:rsid w:val="005923D7"/>
    <w:rsid w:val="00593356"/>
    <w:rsid w:val="0059340D"/>
    <w:rsid w:val="00593E88"/>
    <w:rsid w:val="00594869"/>
    <w:rsid w:val="00594E4C"/>
    <w:rsid w:val="00597584"/>
    <w:rsid w:val="005A006C"/>
    <w:rsid w:val="005A0BCF"/>
    <w:rsid w:val="005A271E"/>
    <w:rsid w:val="005A3798"/>
    <w:rsid w:val="005A4065"/>
    <w:rsid w:val="005A48DE"/>
    <w:rsid w:val="005A58F7"/>
    <w:rsid w:val="005A6CE7"/>
    <w:rsid w:val="005A6ED1"/>
    <w:rsid w:val="005A736B"/>
    <w:rsid w:val="005B2A47"/>
    <w:rsid w:val="005B3315"/>
    <w:rsid w:val="005C0393"/>
    <w:rsid w:val="005C0ECF"/>
    <w:rsid w:val="005C498F"/>
    <w:rsid w:val="005C563A"/>
    <w:rsid w:val="005C6136"/>
    <w:rsid w:val="005C63DA"/>
    <w:rsid w:val="005D286D"/>
    <w:rsid w:val="005D33AB"/>
    <w:rsid w:val="005D3B67"/>
    <w:rsid w:val="005D43E0"/>
    <w:rsid w:val="005D4C2B"/>
    <w:rsid w:val="005D5B83"/>
    <w:rsid w:val="005D6286"/>
    <w:rsid w:val="005D6896"/>
    <w:rsid w:val="005D78FD"/>
    <w:rsid w:val="005E11B1"/>
    <w:rsid w:val="005E3461"/>
    <w:rsid w:val="005F0C3E"/>
    <w:rsid w:val="005F22E9"/>
    <w:rsid w:val="005F22F7"/>
    <w:rsid w:val="005F2E94"/>
    <w:rsid w:val="005F4611"/>
    <w:rsid w:val="005F672C"/>
    <w:rsid w:val="005F694F"/>
    <w:rsid w:val="005F7147"/>
    <w:rsid w:val="0060245A"/>
    <w:rsid w:val="0060418D"/>
    <w:rsid w:val="0060586D"/>
    <w:rsid w:val="00605F52"/>
    <w:rsid w:val="006073A8"/>
    <w:rsid w:val="00610B50"/>
    <w:rsid w:val="00612185"/>
    <w:rsid w:val="00612306"/>
    <w:rsid w:val="006158CC"/>
    <w:rsid w:val="00617A61"/>
    <w:rsid w:val="00621179"/>
    <w:rsid w:val="0062199A"/>
    <w:rsid w:val="006240FE"/>
    <w:rsid w:val="00625FE3"/>
    <w:rsid w:val="00626228"/>
    <w:rsid w:val="00627ABF"/>
    <w:rsid w:val="00630D1B"/>
    <w:rsid w:val="00630D7B"/>
    <w:rsid w:val="00632728"/>
    <w:rsid w:val="00633168"/>
    <w:rsid w:val="0063491A"/>
    <w:rsid w:val="00635081"/>
    <w:rsid w:val="00635446"/>
    <w:rsid w:val="0063588D"/>
    <w:rsid w:val="00640E00"/>
    <w:rsid w:val="006423E2"/>
    <w:rsid w:val="00645415"/>
    <w:rsid w:val="00646147"/>
    <w:rsid w:val="0064650B"/>
    <w:rsid w:val="00655282"/>
    <w:rsid w:val="006556D0"/>
    <w:rsid w:val="00655DF8"/>
    <w:rsid w:val="0065602C"/>
    <w:rsid w:val="006566BF"/>
    <w:rsid w:val="00656ABF"/>
    <w:rsid w:val="00660604"/>
    <w:rsid w:val="00660AE7"/>
    <w:rsid w:val="0066109B"/>
    <w:rsid w:val="00661968"/>
    <w:rsid w:val="006624B3"/>
    <w:rsid w:val="006633BF"/>
    <w:rsid w:val="00663D02"/>
    <w:rsid w:val="00664529"/>
    <w:rsid w:val="0066530B"/>
    <w:rsid w:val="00671452"/>
    <w:rsid w:val="0067539E"/>
    <w:rsid w:val="00677018"/>
    <w:rsid w:val="0068104A"/>
    <w:rsid w:val="00681122"/>
    <w:rsid w:val="006811A3"/>
    <w:rsid w:val="006812A9"/>
    <w:rsid w:val="00682A13"/>
    <w:rsid w:val="00682B3F"/>
    <w:rsid w:val="00682EDA"/>
    <w:rsid w:val="00682FA8"/>
    <w:rsid w:val="00683906"/>
    <w:rsid w:val="00683C34"/>
    <w:rsid w:val="006846F1"/>
    <w:rsid w:val="00686573"/>
    <w:rsid w:val="0069204E"/>
    <w:rsid w:val="0069237D"/>
    <w:rsid w:val="00692C21"/>
    <w:rsid w:val="00693395"/>
    <w:rsid w:val="00693840"/>
    <w:rsid w:val="006952D9"/>
    <w:rsid w:val="006953EC"/>
    <w:rsid w:val="00695DF5"/>
    <w:rsid w:val="006970ED"/>
    <w:rsid w:val="006A00EF"/>
    <w:rsid w:val="006A18B1"/>
    <w:rsid w:val="006A3E5F"/>
    <w:rsid w:val="006A4386"/>
    <w:rsid w:val="006A4D5C"/>
    <w:rsid w:val="006A6537"/>
    <w:rsid w:val="006A66BE"/>
    <w:rsid w:val="006A6C21"/>
    <w:rsid w:val="006B4218"/>
    <w:rsid w:val="006B444D"/>
    <w:rsid w:val="006B553D"/>
    <w:rsid w:val="006C08A8"/>
    <w:rsid w:val="006C153B"/>
    <w:rsid w:val="006C1BFD"/>
    <w:rsid w:val="006C1D7C"/>
    <w:rsid w:val="006C394A"/>
    <w:rsid w:val="006C3A8F"/>
    <w:rsid w:val="006C4203"/>
    <w:rsid w:val="006C487C"/>
    <w:rsid w:val="006C615E"/>
    <w:rsid w:val="006C622F"/>
    <w:rsid w:val="006C62E9"/>
    <w:rsid w:val="006D0135"/>
    <w:rsid w:val="006D1381"/>
    <w:rsid w:val="006D2A57"/>
    <w:rsid w:val="006D4BFB"/>
    <w:rsid w:val="006D4E61"/>
    <w:rsid w:val="006D6756"/>
    <w:rsid w:val="006E035E"/>
    <w:rsid w:val="006E0446"/>
    <w:rsid w:val="006E078D"/>
    <w:rsid w:val="006E1173"/>
    <w:rsid w:val="006E1FAE"/>
    <w:rsid w:val="006E2695"/>
    <w:rsid w:val="006E48B5"/>
    <w:rsid w:val="006E4F34"/>
    <w:rsid w:val="006E533A"/>
    <w:rsid w:val="006F07E3"/>
    <w:rsid w:val="006F0ABD"/>
    <w:rsid w:val="006F2366"/>
    <w:rsid w:val="006F534A"/>
    <w:rsid w:val="006F65A1"/>
    <w:rsid w:val="0070028C"/>
    <w:rsid w:val="00700AF8"/>
    <w:rsid w:val="00700B03"/>
    <w:rsid w:val="00700ED2"/>
    <w:rsid w:val="00700F82"/>
    <w:rsid w:val="00701DCD"/>
    <w:rsid w:val="007034B3"/>
    <w:rsid w:val="00703CEF"/>
    <w:rsid w:val="00704085"/>
    <w:rsid w:val="007045B2"/>
    <w:rsid w:val="00705DDA"/>
    <w:rsid w:val="00705FC3"/>
    <w:rsid w:val="007077A3"/>
    <w:rsid w:val="00711A2C"/>
    <w:rsid w:val="00711EAE"/>
    <w:rsid w:val="00711F59"/>
    <w:rsid w:val="00712726"/>
    <w:rsid w:val="0071357A"/>
    <w:rsid w:val="00713CD7"/>
    <w:rsid w:val="00714276"/>
    <w:rsid w:val="00714643"/>
    <w:rsid w:val="00715002"/>
    <w:rsid w:val="00715C46"/>
    <w:rsid w:val="00720076"/>
    <w:rsid w:val="00720FF4"/>
    <w:rsid w:val="00721517"/>
    <w:rsid w:val="0072174D"/>
    <w:rsid w:val="00722D19"/>
    <w:rsid w:val="00723CC5"/>
    <w:rsid w:val="007271E3"/>
    <w:rsid w:val="00727413"/>
    <w:rsid w:val="00727438"/>
    <w:rsid w:val="00730978"/>
    <w:rsid w:val="007321DB"/>
    <w:rsid w:val="00732849"/>
    <w:rsid w:val="007329A5"/>
    <w:rsid w:val="0073308B"/>
    <w:rsid w:val="00733A80"/>
    <w:rsid w:val="00735A23"/>
    <w:rsid w:val="00740498"/>
    <w:rsid w:val="0074136E"/>
    <w:rsid w:val="00741F36"/>
    <w:rsid w:val="007420C7"/>
    <w:rsid w:val="00742C1A"/>
    <w:rsid w:val="00742FE9"/>
    <w:rsid w:val="00743D93"/>
    <w:rsid w:val="00743E6B"/>
    <w:rsid w:val="00744031"/>
    <w:rsid w:val="00744088"/>
    <w:rsid w:val="00744745"/>
    <w:rsid w:val="00744CF0"/>
    <w:rsid w:val="00745E32"/>
    <w:rsid w:val="00746E0A"/>
    <w:rsid w:val="00753141"/>
    <w:rsid w:val="00753345"/>
    <w:rsid w:val="00753CFA"/>
    <w:rsid w:val="00754028"/>
    <w:rsid w:val="00754030"/>
    <w:rsid w:val="00762A7E"/>
    <w:rsid w:val="00762BD3"/>
    <w:rsid w:val="007646F7"/>
    <w:rsid w:val="0076518C"/>
    <w:rsid w:val="00765BE0"/>
    <w:rsid w:val="00766B3A"/>
    <w:rsid w:val="0077085C"/>
    <w:rsid w:val="00775207"/>
    <w:rsid w:val="007761C8"/>
    <w:rsid w:val="00776776"/>
    <w:rsid w:val="00776D59"/>
    <w:rsid w:val="007831F9"/>
    <w:rsid w:val="007852C7"/>
    <w:rsid w:val="00786A89"/>
    <w:rsid w:val="00786FAA"/>
    <w:rsid w:val="00793E4C"/>
    <w:rsid w:val="00794169"/>
    <w:rsid w:val="00794991"/>
    <w:rsid w:val="0079541B"/>
    <w:rsid w:val="007A00C2"/>
    <w:rsid w:val="007A22B2"/>
    <w:rsid w:val="007A36C2"/>
    <w:rsid w:val="007A529C"/>
    <w:rsid w:val="007B00D4"/>
    <w:rsid w:val="007B067D"/>
    <w:rsid w:val="007B0A5A"/>
    <w:rsid w:val="007B13DE"/>
    <w:rsid w:val="007B1480"/>
    <w:rsid w:val="007B2F97"/>
    <w:rsid w:val="007B410C"/>
    <w:rsid w:val="007C27E5"/>
    <w:rsid w:val="007C5353"/>
    <w:rsid w:val="007D0303"/>
    <w:rsid w:val="007D1285"/>
    <w:rsid w:val="007D515B"/>
    <w:rsid w:val="007D7E0E"/>
    <w:rsid w:val="007E4376"/>
    <w:rsid w:val="007F0604"/>
    <w:rsid w:val="007F1201"/>
    <w:rsid w:val="007F12FB"/>
    <w:rsid w:val="007F13B4"/>
    <w:rsid w:val="007F2682"/>
    <w:rsid w:val="007F3F91"/>
    <w:rsid w:val="007F6595"/>
    <w:rsid w:val="007F6CBD"/>
    <w:rsid w:val="00800DA0"/>
    <w:rsid w:val="00801596"/>
    <w:rsid w:val="00801D0D"/>
    <w:rsid w:val="0080214F"/>
    <w:rsid w:val="008027F2"/>
    <w:rsid w:val="008036CD"/>
    <w:rsid w:val="00804788"/>
    <w:rsid w:val="00812A4C"/>
    <w:rsid w:val="00815DDB"/>
    <w:rsid w:val="00816CF2"/>
    <w:rsid w:val="008216E7"/>
    <w:rsid w:val="00821F36"/>
    <w:rsid w:val="008233BA"/>
    <w:rsid w:val="00823888"/>
    <w:rsid w:val="008307BE"/>
    <w:rsid w:val="00830B36"/>
    <w:rsid w:val="008310F7"/>
    <w:rsid w:val="0083115E"/>
    <w:rsid w:val="008322AB"/>
    <w:rsid w:val="008333EA"/>
    <w:rsid w:val="00833C57"/>
    <w:rsid w:val="00833D3A"/>
    <w:rsid w:val="00833D56"/>
    <w:rsid w:val="00834034"/>
    <w:rsid w:val="00837AEB"/>
    <w:rsid w:val="00837F9A"/>
    <w:rsid w:val="00841E6D"/>
    <w:rsid w:val="0084332C"/>
    <w:rsid w:val="008440DA"/>
    <w:rsid w:val="00844380"/>
    <w:rsid w:val="0084657F"/>
    <w:rsid w:val="008470A3"/>
    <w:rsid w:val="00847264"/>
    <w:rsid w:val="008500E9"/>
    <w:rsid w:val="00850123"/>
    <w:rsid w:val="008515BC"/>
    <w:rsid w:val="00851A23"/>
    <w:rsid w:val="008539AC"/>
    <w:rsid w:val="00860B4B"/>
    <w:rsid w:val="008616D1"/>
    <w:rsid w:val="00861BA1"/>
    <w:rsid w:val="00863376"/>
    <w:rsid w:val="00863E79"/>
    <w:rsid w:val="0086413A"/>
    <w:rsid w:val="008643F2"/>
    <w:rsid w:val="008654BA"/>
    <w:rsid w:val="00870996"/>
    <w:rsid w:val="008718D2"/>
    <w:rsid w:val="00872A71"/>
    <w:rsid w:val="008733DA"/>
    <w:rsid w:val="00873ADD"/>
    <w:rsid w:val="00880801"/>
    <w:rsid w:val="00880A31"/>
    <w:rsid w:val="00880B11"/>
    <w:rsid w:val="00881AE9"/>
    <w:rsid w:val="008820AD"/>
    <w:rsid w:val="008826A5"/>
    <w:rsid w:val="008861D6"/>
    <w:rsid w:val="00887B32"/>
    <w:rsid w:val="00891D68"/>
    <w:rsid w:val="008957D0"/>
    <w:rsid w:val="00895860"/>
    <w:rsid w:val="00895E5C"/>
    <w:rsid w:val="0089618F"/>
    <w:rsid w:val="0089643B"/>
    <w:rsid w:val="008A0C71"/>
    <w:rsid w:val="008A1DF3"/>
    <w:rsid w:val="008A2865"/>
    <w:rsid w:val="008A2F18"/>
    <w:rsid w:val="008A3727"/>
    <w:rsid w:val="008A3D49"/>
    <w:rsid w:val="008A41B9"/>
    <w:rsid w:val="008A657B"/>
    <w:rsid w:val="008A676E"/>
    <w:rsid w:val="008B0117"/>
    <w:rsid w:val="008B1CBF"/>
    <w:rsid w:val="008B29F7"/>
    <w:rsid w:val="008B52BE"/>
    <w:rsid w:val="008B5A36"/>
    <w:rsid w:val="008B5A98"/>
    <w:rsid w:val="008B6D00"/>
    <w:rsid w:val="008C0C50"/>
    <w:rsid w:val="008C1319"/>
    <w:rsid w:val="008C4AF8"/>
    <w:rsid w:val="008C5DC4"/>
    <w:rsid w:val="008D08E5"/>
    <w:rsid w:val="008D2C48"/>
    <w:rsid w:val="008D35B8"/>
    <w:rsid w:val="008D366F"/>
    <w:rsid w:val="008D389F"/>
    <w:rsid w:val="008D446D"/>
    <w:rsid w:val="008D4BF3"/>
    <w:rsid w:val="008D5140"/>
    <w:rsid w:val="008E328F"/>
    <w:rsid w:val="008E6155"/>
    <w:rsid w:val="008E677D"/>
    <w:rsid w:val="008F4789"/>
    <w:rsid w:val="008F61A3"/>
    <w:rsid w:val="00900541"/>
    <w:rsid w:val="00901916"/>
    <w:rsid w:val="00903A1E"/>
    <w:rsid w:val="00904165"/>
    <w:rsid w:val="009042BD"/>
    <w:rsid w:val="00904978"/>
    <w:rsid w:val="00905979"/>
    <w:rsid w:val="009063BF"/>
    <w:rsid w:val="0090714F"/>
    <w:rsid w:val="009074A0"/>
    <w:rsid w:val="009078A4"/>
    <w:rsid w:val="009107E2"/>
    <w:rsid w:val="00910BBE"/>
    <w:rsid w:val="00912F18"/>
    <w:rsid w:val="00912FCD"/>
    <w:rsid w:val="00913262"/>
    <w:rsid w:val="009154CE"/>
    <w:rsid w:val="009155C5"/>
    <w:rsid w:val="00916B7D"/>
    <w:rsid w:val="009228C3"/>
    <w:rsid w:val="00925C17"/>
    <w:rsid w:val="00927CD7"/>
    <w:rsid w:val="00927E01"/>
    <w:rsid w:val="00927F25"/>
    <w:rsid w:val="009315B7"/>
    <w:rsid w:val="00934C98"/>
    <w:rsid w:val="00935727"/>
    <w:rsid w:val="00936C4F"/>
    <w:rsid w:val="0094066A"/>
    <w:rsid w:val="00944141"/>
    <w:rsid w:val="00944ABB"/>
    <w:rsid w:val="009455FF"/>
    <w:rsid w:val="00951ECA"/>
    <w:rsid w:val="00957028"/>
    <w:rsid w:val="00962B2F"/>
    <w:rsid w:val="00963ECA"/>
    <w:rsid w:val="0096407A"/>
    <w:rsid w:val="009642C0"/>
    <w:rsid w:val="0096503C"/>
    <w:rsid w:val="00965545"/>
    <w:rsid w:val="009659AE"/>
    <w:rsid w:val="00966C2F"/>
    <w:rsid w:val="009678F5"/>
    <w:rsid w:val="00967A67"/>
    <w:rsid w:val="0097009D"/>
    <w:rsid w:val="009721B1"/>
    <w:rsid w:val="009728B3"/>
    <w:rsid w:val="00973746"/>
    <w:rsid w:val="00973C4E"/>
    <w:rsid w:val="0097419C"/>
    <w:rsid w:val="0097584E"/>
    <w:rsid w:val="00975B83"/>
    <w:rsid w:val="00980C5D"/>
    <w:rsid w:val="00981FC5"/>
    <w:rsid w:val="00984263"/>
    <w:rsid w:val="00984CFF"/>
    <w:rsid w:val="009864FC"/>
    <w:rsid w:val="009877B7"/>
    <w:rsid w:val="0099130F"/>
    <w:rsid w:val="009919E1"/>
    <w:rsid w:val="00991F9F"/>
    <w:rsid w:val="00992692"/>
    <w:rsid w:val="009941A3"/>
    <w:rsid w:val="00994DC4"/>
    <w:rsid w:val="009A0F94"/>
    <w:rsid w:val="009A11F7"/>
    <w:rsid w:val="009A1BFE"/>
    <w:rsid w:val="009A265B"/>
    <w:rsid w:val="009A325A"/>
    <w:rsid w:val="009A38CD"/>
    <w:rsid w:val="009A3D39"/>
    <w:rsid w:val="009A4252"/>
    <w:rsid w:val="009A437A"/>
    <w:rsid w:val="009A485A"/>
    <w:rsid w:val="009A4B92"/>
    <w:rsid w:val="009A758B"/>
    <w:rsid w:val="009B0366"/>
    <w:rsid w:val="009B5B35"/>
    <w:rsid w:val="009B6AF8"/>
    <w:rsid w:val="009C4C31"/>
    <w:rsid w:val="009C63D9"/>
    <w:rsid w:val="009C657F"/>
    <w:rsid w:val="009C65AA"/>
    <w:rsid w:val="009C6D6A"/>
    <w:rsid w:val="009C7C40"/>
    <w:rsid w:val="009D1FDA"/>
    <w:rsid w:val="009D228E"/>
    <w:rsid w:val="009D26A6"/>
    <w:rsid w:val="009D2FC1"/>
    <w:rsid w:val="009D4989"/>
    <w:rsid w:val="009D5FA7"/>
    <w:rsid w:val="009E032F"/>
    <w:rsid w:val="009E1C47"/>
    <w:rsid w:val="009E1E87"/>
    <w:rsid w:val="009E4A91"/>
    <w:rsid w:val="009E60E9"/>
    <w:rsid w:val="009E6288"/>
    <w:rsid w:val="009E6317"/>
    <w:rsid w:val="009E74B6"/>
    <w:rsid w:val="009F1B23"/>
    <w:rsid w:val="009F349E"/>
    <w:rsid w:val="009F5E6E"/>
    <w:rsid w:val="009F7F5C"/>
    <w:rsid w:val="00A0496E"/>
    <w:rsid w:val="00A06803"/>
    <w:rsid w:val="00A06A05"/>
    <w:rsid w:val="00A10A25"/>
    <w:rsid w:val="00A11142"/>
    <w:rsid w:val="00A11DBF"/>
    <w:rsid w:val="00A124CF"/>
    <w:rsid w:val="00A126A7"/>
    <w:rsid w:val="00A13DDF"/>
    <w:rsid w:val="00A14C68"/>
    <w:rsid w:val="00A1552E"/>
    <w:rsid w:val="00A15577"/>
    <w:rsid w:val="00A166A5"/>
    <w:rsid w:val="00A21353"/>
    <w:rsid w:val="00A21C49"/>
    <w:rsid w:val="00A2411A"/>
    <w:rsid w:val="00A248BA"/>
    <w:rsid w:val="00A24955"/>
    <w:rsid w:val="00A24C64"/>
    <w:rsid w:val="00A2611F"/>
    <w:rsid w:val="00A266AE"/>
    <w:rsid w:val="00A26929"/>
    <w:rsid w:val="00A313CD"/>
    <w:rsid w:val="00A326F9"/>
    <w:rsid w:val="00A344D9"/>
    <w:rsid w:val="00A359DF"/>
    <w:rsid w:val="00A35FD6"/>
    <w:rsid w:val="00A3612F"/>
    <w:rsid w:val="00A36F1F"/>
    <w:rsid w:val="00A40B06"/>
    <w:rsid w:val="00A44744"/>
    <w:rsid w:val="00A45B88"/>
    <w:rsid w:val="00A51811"/>
    <w:rsid w:val="00A5191B"/>
    <w:rsid w:val="00A52A53"/>
    <w:rsid w:val="00A5429C"/>
    <w:rsid w:val="00A5455F"/>
    <w:rsid w:val="00A55094"/>
    <w:rsid w:val="00A566BB"/>
    <w:rsid w:val="00A605F8"/>
    <w:rsid w:val="00A621FF"/>
    <w:rsid w:val="00A62535"/>
    <w:rsid w:val="00A62C3A"/>
    <w:rsid w:val="00A648A5"/>
    <w:rsid w:val="00A65427"/>
    <w:rsid w:val="00A66B81"/>
    <w:rsid w:val="00A70888"/>
    <w:rsid w:val="00A72AFE"/>
    <w:rsid w:val="00A73687"/>
    <w:rsid w:val="00A7638E"/>
    <w:rsid w:val="00A8161D"/>
    <w:rsid w:val="00A8296D"/>
    <w:rsid w:val="00A83524"/>
    <w:rsid w:val="00A837A6"/>
    <w:rsid w:val="00A85422"/>
    <w:rsid w:val="00A8660C"/>
    <w:rsid w:val="00A87F99"/>
    <w:rsid w:val="00A91E35"/>
    <w:rsid w:val="00A9351E"/>
    <w:rsid w:val="00A93688"/>
    <w:rsid w:val="00A93817"/>
    <w:rsid w:val="00A9422C"/>
    <w:rsid w:val="00AA0A80"/>
    <w:rsid w:val="00AA327C"/>
    <w:rsid w:val="00AA5C0D"/>
    <w:rsid w:val="00AA5E5B"/>
    <w:rsid w:val="00AA75E2"/>
    <w:rsid w:val="00AA7B62"/>
    <w:rsid w:val="00AA7D9D"/>
    <w:rsid w:val="00AB3612"/>
    <w:rsid w:val="00AB49EF"/>
    <w:rsid w:val="00AB55B8"/>
    <w:rsid w:val="00AC0641"/>
    <w:rsid w:val="00AC2387"/>
    <w:rsid w:val="00AC2A76"/>
    <w:rsid w:val="00AC2AFF"/>
    <w:rsid w:val="00AC4C04"/>
    <w:rsid w:val="00AC4E0D"/>
    <w:rsid w:val="00AC5C43"/>
    <w:rsid w:val="00AC768A"/>
    <w:rsid w:val="00AD04A4"/>
    <w:rsid w:val="00AD0B18"/>
    <w:rsid w:val="00AD1F8D"/>
    <w:rsid w:val="00AD2A14"/>
    <w:rsid w:val="00AD2A9F"/>
    <w:rsid w:val="00AD59A5"/>
    <w:rsid w:val="00AD6710"/>
    <w:rsid w:val="00AD683A"/>
    <w:rsid w:val="00AE00DE"/>
    <w:rsid w:val="00AE16DA"/>
    <w:rsid w:val="00AE2D5C"/>
    <w:rsid w:val="00AE3783"/>
    <w:rsid w:val="00AE56D1"/>
    <w:rsid w:val="00AF04EC"/>
    <w:rsid w:val="00AF0799"/>
    <w:rsid w:val="00AF0DD2"/>
    <w:rsid w:val="00AF1C7B"/>
    <w:rsid w:val="00AF1E8A"/>
    <w:rsid w:val="00AF3E40"/>
    <w:rsid w:val="00B002D8"/>
    <w:rsid w:val="00B0495E"/>
    <w:rsid w:val="00B04EC8"/>
    <w:rsid w:val="00B04F98"/>
    <w:rsid w:val="00B05901"/>
    <w:rsid w:val="00B07A09"/>
    <w:rsid w:val="00B1062A"/>
    <w:rsid w:val="00B149CB"/>
    <w:rsid w:val="00B16BE1"/>
    <w:rsid w:val="00B202B1"/>
    <w:rsid w:val="00B25C10"/>
    <w:rsid w:val="00B27553"/>
    <w:rsid w:val="00B2766E"/>
    <w:rsid w:val="00B32F0A"/>
    <w:rsid w:val="00B331F0"/>
    <w:rsid w:val="00B35510"/>
    <w:rsid w:val="00B35E67"/>
    <w:rsid w:val="00B36930"/>
    <w:rsid w:val="00B36E9B"/>
    <w:rsid w:val="00B37A37"/>
    <w:rsid w:val="00B40394"/>
    <w:rsid w:val="00B403B2"/>
    <w:rsid w:val="00B40A3D"/>
    <w:rsid w:val="00B42C69"/>
    <w:rsid w:val="00B43057"/>
    <w:rsid w:val="00B431A1"/>
    <w:rsid w:val="00B4334B"/>
    <w:rsid w:val="00B47900"/>
    <w:rsid w:val="00B47C64"/>
    <w:rsid w:val="00B500F6"/>
    <w:rsid w:val="00B51DA5"/>
    <w:rsid w:val="00B57FAD"/>
    <w:rsid w:val="00B6029D"/>
    <w:rsid w:val="00B60981"/>
    <w:rsid w:val="00B611D3"/>
    <w:rsid w:val="00B61E4E"/>
    <w:rsid w:val="00B62423"/>
    <w:rsid w:val="00B6249E"/>
    <w:rsid w:val="00B636D3"/>
    <w:rsid w:val="00B63E95"/>
    <w:rsid w:val="00B64442"/>
    <w:rsid w:val="00B64DC0"/>
    <w:rsid w:val="00B64EB6"/>
    <w:rsid w:val="00B709C5"/>
    <w:rsid w:val="00B71796"/>
    <w:rsid w:val="00B73CC4"/>
    <w:rsid w:val="00B76A96"/>
    <w:rsid w:val="00B76B7B"/>
    <w:rsid w:val="00B76FBF"/>
    <w:rsid w:val="00B80600"/>
    <w:rsid w:val="00B81F2B"/>
    <w:rsid w:val="00B82345"/>
    <w:rsid w:val="00B82816"/>
    <w:rsid w:val="00B8337C"/>
    <w:rsid w:val="00B83DEC"/>
    <w:rsid w:val="00B84D8E"/>
    <w:rsid w:val="00B86B9A"/>
    <w:rsid w:val="00B8720F"/>
    <w:rsid w:val="00B92489"/>
    <w:rsid w:val="00B9249C"/>
    <w:rsid w:val="00B92D5F"/>
    <w:rsid w:val="00B9326D"/>
    <w:rsid w:val="00B936AB"/>
    <w:rsid w:val="00B93822"/>
    <w:rsid w:val="00B95DDB"/>
    <w:rsid w:val="00B963C9"/>
    <w:rsid w:val="00B97229"/>
    <w:rsid w:val="00BA03F7"/>
    <w:rsid w:val="00BA19D1"/>
    <w:rsid w:val="00BA1AA5"/>
    <w:rsid w:val="00BA2145"/>
    <w:rsid w:val="00BA2161"/>
    <w:rsid w:val="00BA5478"/>
    <w:rsid w:val="00BB1A45"/>
    <w:rsid w:val="00BB69F6"/>
    <w:rsid w:val="00BB71DF"/>
    <w:rsid w:val="00BB7365"/>
    <w:rsid w:val="00BB7413"/>
    <w:rsid w:val="00BB7977"/>
    <w:rsid w:val="00BC047D"/>
    <w:rsid w:val="00BC21E4"/>
    <w:rsid w:val="00BC2796"/>
    <w:rsid w:val="00BC28AF"/>
    <w:rsid w:val="00BC35A5"/>
    <w:rsid w:val="00BC4117"/>
    <w:rsid w:val="00BC710F"/>
    <w:rsid w:val="00BC7209"/>
    <w:rsid w:val="00BC7642"/>
    <w:rsid w:val="00BD01D9"/>
    <w:rsid w:val="00BD1727"/>
    <w:rsid w:val="00BD1BB7"/>
    <w:rsid w:val="00BD3D12"/>
    <w:rsid w:val="00BD7C33"/>
    <w:rsid w:val="00BE5010"/>
    <w:rsid w:val="00BE7DA5"/>
    <w:rsid w:val="00BF122D"/>
    <w:rsid w:val="00BF15C7"/>
    <w:rsid w:val="00BF1D2B"/>
    <w:rsid w:val="00BF2191"/>
    <w:rsid w:val="00BF24DD"/>
    <w:rsid w:val="00BF3DA0"/>
    <w:rsid w:val="00BF4240"/>
    <w:rsid w:val="00BF4677"/>
    <w:rsid w:val="00BF6D4A"/>
    <w:rsid w:val="00BF738D"/>
    <w:rsid w:val="00BF74B8"/>
    <w:rsid w:val="00C00135"/>
    <w:rsid w:val="00C009FB"/>
    <w:rsid w:val="00C00A90"/>
    <w:rsid w:val="00C01CE1"/>
    <w:rsid w:val="00C021BF"/>
    <w:rsid w:val="00C03FDF"/>
    <w:rsid w:val="00C04556"/>
    <w:rsid w:val="00C04609"/>
    <w:rsid w:val="00C04A6D"/>
    <w:rsid w:val="00C07F69"/>
    <w:rsid w:val="00C10943"/>
    <w:rsid w:val="00C11DDC"/>
    <w:rsid w:val="00C11F97"/>
    <w:rsid w:val="00C12DFC"/>
    <w:rsid w:val="00C13E4E"/>
    <w:rsid w:val="00C14D67"/>
    <w:rsid w:val="00C15D91"/>
    <w:rsid w:val="00C1677D"/>
    <w:rsid w:val="00C170FC"/>
    <w:rsid w:val="00C22095"/>
    <w:rsid w:val="00C22E9A"/>
    <w:rsid w:val="00C232DF"/>
    <w:rsid w:val="00C24384"/>
    <w:rsid w:val="00C2496F"/>
    <w:rsid w:val="00C24D11"/>
    <w:rsid w:val="00C25666"/>
    <w:rsid w:val="00C30A7C"/>
    <w:rsid w:val="00C312B7"/>
    <w:rsid w:val="00C32C86"/>
    <w:rsid w:val="00C32FAE"/>
    <w:rsid w:val="00C34916"/>
    <w:rsid w:val="00C361F2"/>
    <w:rsid w:val="00C37D7D"/>
    <w:rsid w:val="00C40980"/>
    <w:rsid w:val="00C40D97"/>
    <w:rsid w:val="00C425D8"/>
    <w:rsid w:val="00C43BF1"/>
    <w:rsid w:val="00C44624"/>
    <w:rsid w:val="00C44AA8"/>
    <w:rsid w:val="00C4643F"/>
    <w:rsid w:val="00C50757"/>
    <w:rsid w:val="00C50939"/>
    <w:rsid w:val="00C509B0"/>
    <w:rsid w:val="00C522A9"/>
    <w:rsid w:val="00C53ACF"/>
    <w:rsid w:val="00C53AEA"/>
    <w:rsid w:val="00C54396"/>
    <w:rsid w:val="00C559E6"/>
    <w:rsid w:val="00C56553"/>
    <w:rsid w:val="00C56B99"/>
    <w:rsid w:val="00C57BB3"/>
    <w:rsid w:val="00C60C06"/>
    <w:rsid w:val="00C62373"/>
    <w:rsid w:val="00C631AE"/>
    <w:rsid w:val="00C631FB"/>
    <w:rsid w:val="00C63BB9"/>
    <w:rsid w:val="00C65CC6"/>
    <w:rsid w:val="00C67DC0"/>
    <w:rsid w:val="00C730BF"/>
    <w:rsid w:val="00C74828"/>
    <w:rsid w:val="00C75787"/>
    <w:rsid w:val="00C76370"/>
    <w:rsid w:val="00C7705D"/>
    <w:rsid w:val="00C77D94"/>
    <w:rsid w:val="00C77EB7"/>
    <w:rsid w:val="00C8088C"/>
    <w:rsid w:val="00C81FCC"/>
    <w:rsid w:val="00C91369"/>
    <w:rsid w:val="00C9254A"/>
    <w:rsid w:val="00C940C4"/>
    <w:rsid w:val="00C9580C"/>
    <w:rsid w:val="00C96F68"/>
    <w:rsid w:val="00C977D4"/>
    <w:rsid w:val="00C97B6B"/>
    <w:rsid w:val="00CA11A9"/>
    <w:rsid w:val="00CA12BF"/>
    <w:rsid w:val="00CA1E27"/>
    <w:rsid w:val="00CA20DD"/>
    <w:rsid w:val="00CA2C66"/>
    <w:rsid w:val="00CA5EC7"/>
    <w:rsid w:val="00CA767A"/>
    <w:rsid w:val="00CB0A83"/>
    <w:rsid w:val="00CB0ADD"/>
    <w:rsid w:val="00CB16CC"/>
    <w:rsid w:val="00CB2B63"/>
    <w:rsid w:val="00CB2DA7"/>
    <w:rsid w:val="00CB4454"/>
    <w:rsid w:val="00CB5694"/>
    <w:rsid w:val="00CB57E1"/>
    <w:rsid w:val="00CB68EE"/>
    <w:rsid w:val="00CB6E2B"/>
    <w:rsid w:val="00CB78D2"/>
    <w:rsid w:val="00CB7C22"/>
    <w:rsid w:val="00CC245B"/>
    <w:rsid w:val="00CC370E"/>
    <w:rsid w:val="00CC6F6E"/>
    <w:rsid w:val="00CC7324"/>
    <w:rsid w:val="00CC7948"/>
    <w:rsid w:val="00CD04D6"/>
    <w:rsid w:val="00CD4EEE"/>
    <w:rsid w:val="00CD5BCA"/>
    <w:rsid w:val="00CD65D4"/>
    <w:rsid w:val="00CE090F"/>
    <w:rsid w:val="00CE2DE6"/>
    <w:rsid w:val="00CE4DBF"/>
    <w:rsid w:val="00CE4FB8"/>
    <w:rsid w:val="00CE50AF"/>
    <w:rsid w:val="00CE51C2"/>
    <w:rsid w:val="00CE7F48"/>
    <w:rsid w:val="00CF016A"/>
    <w:rsid w:val="00CF0527"/>
    <w:rsid w:val="00CF4B6E"/>
    <w:rsid w:val="00D0035B"/>
    <w:rsid w:val="00D00846"/>
    <w:rsid w:val="00D010DB"/>
    <w:rsid w:val="00D061DE"/>
    <w:rsid w:val="00D10CAC"/>
    <w:rsid w:val="00D11D60"/>
    <w:rsid w:val="00D11D8B"/>
    <w:rsid w:val="00D1262F"/>
    <w:rsid w:val="00D132A3"/>
    <w:rsid w:val="00D1569D"/>
    <w:rsid w:val="00D15E48"/>
    <w:rsid w:val="00D17DF5"/>
    <w:rsid w:val="00D201CD"/>
    <w:rsid w:val="00D20391"/>
    <w:rsid w:val="00D20DF1"/>
    <w:rsid w:val="00D22057"/>
    <w:rsid w:val="00D22327"/>
    <w:rsid w:val="00D22DED"/>
    <w:rsid w:val="00D25288"/>
    <w:rsid w:val="00D2631D"/>
    <w:rsid w:val="00D2719F"/>
    <w:rsid w:val="00D27927"/>
    <w:rsid w:val="00D30177"/>
    <w:rsid w:val="00D305B8"/>
    <w:rsid w:val="00D30E5D"/>
    <w:rsid w:val="00D321BD"/>
    <w:rsid w:val="00D3354C"/>
    <w:rsid w:val="00D35316"/>
    <w:rsid w:val="00D413C8"/>
    <w:rsid w:val="00D42198"/>
    <w:rsid w:val="00D42A93"/>
    <w:rsid w:val="00D44370"/>
    <w:rsid w:val="00D44F18"/>
    <w:rsid w:val="00D45EA2"/>
    <w:rsid w:val="00D46181"/>
    <w:rsid w:val="00D52BF4"/>
    <w:rsid w:val="00D53C16"/>
    <w:rsid w:val="00D543A4"/>
    <w:rsid w:val="00D5470A"/>
    <w:rsid w:val="00D54C9C"/>
    <w:rsid w:val="00D54E72"/>
    <w:rsid w:val="00D57E10"/>
    <w:rsid w:val="00D57E3E"/>
    <w:rsid w:val="00D57F18"/>
    <w:rsid w:val="00D61BB0"/>
    <w:rsid w:val="00D6213F"/>
    <w:rsid w:val="00D6342F"/>
    <w:rsid w:val="00D63E18"/>
    <w:rsid w:val="00D6428A"/>
    <w:rsid w:val="00D660F1"/>
    <w:rsid w:val="00D67D28"/>
    <w:rsid w:val="00D70519"/>
    <w:rsid w:val="00D715A0"/>
    <w:rsid w:val="00D72F5E"/>
    <w:rsid w:val="00D7302C"/>
    <w:rsid w:val="00D7471F"/>
    <w:rsid w:val="00D774C3"/>
    <w:rsid w:val="00D77CF5"/>
    <w:rsid w:val="00D81B26"/>
    <w:rsid w:val="00D841C4"/>
    <w:rsid w:val="00D92294"/>
    <w:rsid w:val="00D925DD"/>
    <w:rsid w:val="00D92E56"/>
    <w:rsid w:val="00D94689"/>
    <w:rsid w:val="00D94FE6"/>
    <w:rsid w:val="00D95210"/>
    <w:rsid w:val="00D9574A"/>
    <w:rsid w:val="00D96498"/>
    <w:rsid w:val="00DA1565"/>
    <w:rsid w:val="00DA34F2"/>
    <w:rsid w:val="00DA3EE6"/>
    <w:rsid w:val="00DA4276"/>
    <w:rsid w:val="00DA4A20"/>
    <w:rsid w:val="00DA4D78"/>
    <w:rsid w:val="00DA50E6"/>
    <w:rsid w:val="00DA6116"/>
    <w:rsid w:val="00DA6164"/>
    <w:rsid w:val="00DA7C87"/>
    <w:rsid w:val="00DB3AD5"/>
    <w:rsid w:val="00DB4DB4"/>
    <w:rsid w:val="00DB570E"/>
    <w:rsid w:val="00DB5FD9"/>
    <w:rsid w:val="00DB7988"/>
    <w:rsid w:val="00DB79AF"/>
    <w:rsid w:val="00DB7B8A"/>
    <w:rsid w:val="00DC036A"/>
    <w:rsid w:val="00DC0CD7"/>
    <w:rsid w:val="00DC0D4D"/>
    <w:rsid w:val="00DC3000"/>
    <w:rsid w:val="00DC549C"/>
    <w:rsid w:val="00DC598B"/>
    <w:rsid w:val="00DC6C89"/>
    <w:rsid w:val="00DC76BE"/>
    <w:rsid w:val="00DD0008"/>
    <w:rsid w:val="00DD1F28"/>
    <w:rsid w:val="00DD3922"/>
    <w:rsid w:val="00DD3E20"/>
    <w:rsid w:val="00DD4D98"/>
    <w:rsid w:val="00DD5BD6"/>
    <w:rsid w:val="00DD70D6"/>
    <w:rsid w:val="00DE041F"/>
    <w:rsid w:val="00DE1287"/>
    <w:rsid w:val="00DE2A4F"/>
    <w:rsid w:val="00DE412C"/>
    <w:rsid w:val="00DE5181"/>
    <w:rsid w:val="00DE5578"/>
    <w:rsid w:val="00DE5993"/>
    <w:rsid w:val="00DE6149"/>
    <w:rsid w:val="00DE6206"/>
    <w:rsid w:val="00DE6DC6"/>
    <w:rsid w:val="00DF0E91"/>
    <w:rsid w:val="00DF2F85"/>
    <w:rsid w:val="00DF423F"/>
    <w:rsid w:val="00DF5B19"/>
    <w:rsid w:val="00DF6FA6"/>
    <w:rsid w:val="00DF701B"/>
    <w:rsid w:val="00E0287B"/>
    <w:rsid w:val="00E02ECB"/>
    <w:rsid w:val="00E04FCD"/>
    <w:rsid w:val="00E066B0"/>
    <w:rsid w:val="00E06B9F"/>
    <w:rsid w:val="00E06DD6"/>
    <w:rsid w:val="00E077E6"/>
    <w:rsid w:val="00E07E8F"/>
    <w:rsid w:val="00E10943"/>
    <w:rsid w:val="00E12FC1"/>
    <w:rsid w:val="00E137C5"/>
    <w:rsid w:val="00E14634"/>
    <w:rsid w:val="00E148E2"/>
    <w:rsid w:val="00E14ED9"/>
    <w:rsid w:val="00E153DB"/>
    <w:rsid w:val="00E17D78"/>
    <w:rsid w:val="00E21309"/>
    <w:rsid w:val="00E24352"/>
    <w:rsid w:val="00E248C1"/>
    <w:rsid w:val="00E278E7"/>
    <w:rsid w:val="00E339A8"/>
    <w:rsid w:val="00E33B6B"/>
    <w:rsid w:val="00E34299"/>
    <w:rsid w:val="00E34C79"/>
    <w:rsid w:val="00E4191D"/>
    <w:rsid w:val="00E426E0"/>
    <w:rsid w:val="00E42A2D"/>
    <w:rsid w:val="00E42FD4"/>
    <w:rsid w:val="00E43C62"/>
    <w:rsid w:val="00E45922"/>
    <w:rsid w:val="00E45F69"/>
    <w:rsid w:val="00E46826"/>
    <w:rsid w:val="00E4770C"/>
    <w:rsid w:val="00E51A8C"/>
    <w:rsid w:val="00E526D2"/>
    <w:rsid w:val="00E54D73"/>
    <w:rsid w:val="00E60C12"/>
    <w:rsid w:val="00E617E0"/>
    <w:rsid w:val="00E62C5E"/>
    <w:rsid w:val="00E63697"/>
    <w:rsid w:val="00E63FBC"/>
    <w:rsid w:val="00E654D8"/>
    <w:rsid w:val="00E67B4E"/>
    <w:rsid w:val="00E70960"/>
    <w:rsid w:val="00E73305"/>
    <w:rsid w:val="00E757B9"/>
    <w:rsid w:val="00E771AB"/>
    <w:rsid w:val="00E81B9D"/>
    <w:rsid w:val="00E84B6A"/>
    <w:rsid w:val="00E84E5E"/>
    <w:rsid w:val="00E85DE7"/>
    <w:rsid w:val="00E86660"/>
    <w:rsid w:val="00E87EBC"/>
    <w:rsid w:val="00E90F73"/>
    <w:rsid w:val="00E913AD"/>
    <w:rsid w:val="00E927ED"/>
    <w:rsid w:val="00E936B2"/>
    <w:rsid w:val="00E9617E"/>
    <w:rsid w:val="00E97A5C"/>
    <w:rsid w:val="00EA1B80"/>
    <w:rsid w:val="00EA27DD"/>
    <w:rsid w:val="00EA3859"/>
    <w:rsid w:val="00EA4162"/>
    <w:rsid w:val="00EA503D"/>
    <w:rsid w:val="00EA6EEF"/>
    <w:rsid w:val="00EA7172"/>
    <w:rsid w:val="00EB091C"/>
    <w:rsid w:val="00EB11E3"/>
    <w:rsid w:val="00EB12C2"/>
    <w:rsid w:val="00EB3E43"/>
    <w:rsid w:val="00EB4C09"/>
    <w:rsid w:val="00EB666F"/>
    <w:rsid w:val="00EB7A6D"/>
    <w:rsid w:val="00EC170C"/>
    <w:rsid w:val="00EC26FC"/>
    <w:rsid w:val="00EC5761"/>
    <w:rsid w:val="00EC5967"/>
    <w:rsid w:val="00ED23E5"/>
    <w:rsid w:val="00ED26DC"/>
    <w:rsid w:val="00ED2BA3"/>
    <w:rsid w:val="00ED3DB4"/>
    <w:rsid w:val="00ED455C"/>
    <w:rsid w:val="00ED4907"/>
    <w:rsid w:val="00ED4B17"/>
    <w:rsid w:val="00ED4DF0"/>
    <w:rsid w:val="00ED5750"/>
    <w:rsid w:val="00ED61C5"/>
    <w:rsid w:val="00EE0A41"/>
    <w:rsid w:val="00EE0D9A"/>
    <w:rsid w:val="00EE1363"/>
    <w:rsid w:val="00EE2191"/>
    <w:rsid w:val="00EE3F7F"/>
    <w:rsid w:val="00EE6113"/>
    <w:rsid w:val="00EE7523"/>
    <w:rsid w:val="00EF7BB5"/>
    <w:rsid w:val="00F00678"/>
    <w:rsid w:val="00F02B91"/>
    <w:rsid w:val="00F04A0D"/>
    <w:rsid w:val="00F06C37"/>
    <w:rsid w:val="00F07192"/>
    <w:rsid w:val="00F0781F"/>
    <w:rsid w:val="00F1008C"/>
    <w:rsid w:val="00F10329"/>
    <w:rsid w:val="00F13D7A"/>
    <w:rsid w:val="00F1482F"/>
    <w:rsid w:val="00F16D7A"/>
    <w:rsid w:val="00F20380"/>
    <w:rsid w:val="00F2148D"/>
    <w:rsid w:val="00F22496"/>
    <w:rsid w:val="00F24E2E"/>
    <w:rsid w:val="00F2635E"/>
    <w:rsid w:val="00F27A13"/>
    <w:rsid w:val="00F30D5C"/>
    <w:rsid w:val="00F32B3D"/>
    <w:rsid w:val="00F33EE4"/>
    <w:rsid w:val="00F3410D"/>
    <w:rsid w:val="00F34D4E"/>
    <w:rsid w:val="00F41D71"/>
    <w:rsid w:val="00F435B1"/>
    <w:rsid w:val="00F43A53"/>
    <w:rsid w:val="00F45360"/>
    <w:rsid w:val="00F47446"/>
    <w:rsid w:val="00F478A1"/>
    <w:rsid w:val="00F5026C"/>
    <w:rsid w:val="00F51BD2"/>
    <w:rsid w:val="00F520B9"/>
    <w:rsid w:val="00F521C0"/>
    <w:rsid w:val="00F5352F"/>
    <w:rsid w:val="00F54BDF"/>
    <w:rsid w:val="00F56625"/>
    <w:rsid w:val="00F56C01"/>
    <w:rsid w:val="00F576FA"/>
    <w:rsid w:val="00F57CAB"/>
    <w:rsid w:val="00F6263F"/>
    <w:rsid w:val="00F62B0D"/>
    <w:rsid w:val="00F64AC0"/>
    <w:rsid w:val="00F65844"/>
    <w:rsid w:val="00F7157D"/>
    <w:rsid w:val="00F72002"/>
    <w:rsid w:val="00F72ECC"/>
    <w:rsid w:val="00F73BC1"/>
    <w:rsid w:val="00F76445"/>
    <w:rsid w:val="00F769C1"/>
    <w:rsid w:val="00F769E5"/>
    <w:rsid w:val="00F809B2"/>
    <w:rsid w:val="00F82B0D"/>
    <w:rsid w:val="00F8480E"/>
    <w:rsid w:val="00F869DA"/>
    <w:rsid w:val="00F86B58"/>
    <w:rsid w:val="00F87AD0"/>
    <w:rsid w:val="00F90B61"/>
    <w:rsid w:val="00F9232C"/>
    <w:rsid w:val="00F92B78"/>
    <w:rsid w:val="00F92D34"/>
    <w:rsid w:val="00F93575"/>
    <w:rsid w:val="00F95296"/>
    <w:rsid w:val="00F967FF"/>
    <w:rsid w:val="00FA0610"/>
    <w:rsid w:val="00FA1465"/>
    <w:rsid w:val="00FA2D69"/>
    <w:rsid w:val="00FA3355"/>
    <w:rsid w:val="00FA4931"/>
    <w:rsid w:val="00FA4F45"/>
    <w:rsid w:val="00FA6BCF"/>
    <w:rsid w:val="00FA74F6"/>
    <w:rsid w:val="00FA76D5"/>
    <w:rsid w:val="00FA7B33"/>
    <w:rsid w:val="00FB091E"/>
    <w:rsid w:val="00FB2AB8"/>
    <w:rsid w:val="00FB2E20"/>
    <w:rsid w:val="00FB3DE1"/>
    <w:rsid w:val="00FB481F"/>
    <w:rsid w:val="00FB4C7D"/>
    <w:rsid w:val="00FB701D"/>
    <w:rsid w:val="00FB7444"/>
    <w:rsid w:val="00FB7C69"/>
    <w:rsid w:val="00FC1039"/>
    <w:rsid w:val="00FC16B0"/>
    <w:rsid w:val="00FC1A73"/>
    <w:rsid w:val="00FC2DF2"/>
    <w:rsid w:val="00FC42BD"/>
    <w:rsid w:val="00FC5449"/>
    <w:rsid w:val="00FC7CE1"/>
    <w:rsid w:val="00FD164D"/>
    <w:rsid w:val="00FD2186"/>
    <w:rsid w:val="00FD39FA"/>
    <w:rsid w:val="00FD6CD9"/>
    <w:rsid w:val="00FD7F90"/>
    <w:rsid w:val="00FE138E"/>
    <w:rsid w:val="00FE18E6"/>
    <w:rsid w:val="00FE1F33"/>
    <w:rsid w:val="00FE1F82"/>
    <w:rsid w:val="00FE2241"/>
    <w:rsid w:val="00FE2E79"/>
    <w:rsid w:val="00FE352C"/>
    <w:rsid w:val="00FE3F6F"/>
    <w:rsid w:val="00FE42E9"/>
    <w:rsid w:val="00FE5066"/>
    <w:rsid w:val="00FE6D68"/>
    <w:rsid w:val="00FE6E71"/>
    <w:rsid w:val="00FE7B49"/>
    <w:rsid w:val="00FF07D0"/>
    <w:rsid w:val="00FF133E"/>
    <w:rsid w:val="00FF437A"/>
    <w:rsid w:val="00FF4557"/>
    <w:rsid w:val="00FF48AD"/>
    <w:rsid w:val="00FF4D11"/>
    <w:rsid w:val="00FF4F2B"/>
    <w:rsid w:val="00FF5012"/>
    <w:rsid w:val="00FF5181"/>
    <w:rsid w:val="00FF5FB3"/>
    <w:rsid w:val="00FF69A3"/>
    <w:rsid w:val="00FF6D38"/>
    <w:rsid w:val="00FF77E4"/>
    <w:rsid w:val="0D8D3FDC"/>
    <w:rsid w:val="1C1B4805"/>
    <w:rsid w:val="1F29C3BF"/>
    <w:rsid w:val="2D0BB0D1"/>
    <w:rsid w:val="2DCAF3F4"/>
    <w:rsid w:val="37F73091"/>
    <w:rsid w:val="424133AA"/>
    <w:rsid w:val="46EC65D1"/>
    <w:rsid w:val="48DD0732"/>
    <w:rsid w:val="49091E3A"/>
    <w:rsid w:val="53D80DA1"/>
    <w:rsid w:val="56CCD545"/>
    <w:rsid w:val="7390D6C5"/>
    <w:rsid w:val="76F6F418"/>
    <w:rsid w:val="7ACECD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72CBD"/>
  <w15:chartTrackingRefBased/>
  <w15:docId w15:val="{32A818A2-1CD3-4C08-8E26-4CAB8D4A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205"/>
  </w:style>
  <w:style w:type="paragraph" w:styleId="Heading1">
    <w:name w:val="heading 1"/>
    <w:basedOn w:val="ListParagraph"/>
    <w:next w:val="Normal"/>
    <w:link w:val="Heading1Char"/>
    <w:uiPriority w:val="9"/>
    <w:qFormat/>
    <w:rsid w:val="00374467"/>
    <w:pPr>
      <w:overflowPunct w:val="0"/>
      <w:autoSpaceDE w:val="0"/>
      <w:autoSpaceDN w:val="0"/>
      <w:adjustRightInd w:val="0"/>
      <w:spacing w:after="240" w:line="240" w:lineRule="auto"/>
      <w:jc w:val="center"/>
      <w:textAlignment w:val="baseline"/>
      <w:outlineLvl w:val="0"/>
    </w:pPr>
    <w:rPr>
      <w:rFonts w:cs="Arial"/>
      <w:b/>
      <w:szCs w:val="20"/>
    </w:rPr>
  </w:style>
  <w:style w:type="paragraph" w:styleId="Heading2">
    <w:name w:val="heading 2"/>
    <w:basedOn w:val="ListParagraph"/>
    <w:next w:val="Normal"/>
    <w:link w:val="Heading2Char"/>
    <w:uiPriority w:val="9"/>
    <w:unhideWhenUsed/>
    <w:qFormat/>
    <w:rsid w:val="009E032F"/>
    <w:pPr>
      <w:numPr>
        <w:numId w:val="7"/>
      </w:numPr>
      <w:tabs>
        <w:tab w:val="left" w:pos="1260"/>
      </w:tabs>
      <w:overflowPunct w:val="0"/>
      <w:autoSpaceDE w:val="0"/>
      <w:autoSpaceDN w:val="0"/>
      <w:adjustRightInd w:val="0"/>
      <w:spacing w:after="240" w:line="240" w:lineRule="auto"/>
      <w:textAlignment w:val="baseline"/>
      <w:outlineLvl w:val="1"/>
    </w:pPr>
    <w:rPr>
      <w:rFonts w:cs="Arial"/>
      <w:b/>
      <w:szCs w:val="20"/>
    </w:rPr>
  </w:style>
  <w:style w:type="paragraph" w:styleId="Heading6">
    <w:name w:val="heading 6"/>
    <w:basedOn w:val="Normal"/>
    <w:next w:val="Normal"/>
    <w:link w:val="Heading6Char"/>
    <w:semiHidden/>
    <w:unhideWhenUsed/>
    <w:qFormat/>
    <w:rsid w:val="006F534A"/>
    <w:pPr>
      <w:keepNext/>
      <w:keepLines/>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9"/>
    <w:qFormat/>
    <w:rsid w:val="00024400"/>
    <w:pPr>
      <w:spacing w:before="240" w:after="60" w:line="240" w:lineRule="auto"/>
      <w:outlineLvl w:val="6"/>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467"/>
    <w:rPr>
      <w:rFonts w:ascii="Arial" w:eastAsia="Times New Roman" w:hAnsi="Arial" w:cs="Arial"/>
      <w:b/>
      <w:sz w:val="24"/>
      <w:szCs w:val="20"/>
    </w:rPr>
  </w:style>
  <w:style w:type="character" w:customStyle="1" w:styleId="Heading2Char">
    <w:name w:val="Heading 2 Char"/>
    <w:basedOn w:val="DefaultParagraphFont"/>
    <w:link w:val="Heading2"/>
    <w:uiPriority w:val="9"/>
    <w:rsid w:val="009E032F"/>
    <w:rPr>
      <w:rFonts w:ascii="Arial" w:eastAsia="Times New Roman" w:hAnsi="Arial" w:cs="Arial"/>
      <w:b/>
      <w:sz w:val="24"/>
      <w:szCs w:val="20"/>
    </w:rPr>
  </w:style>
  <w:style w:type="character" w:customStyle="1" w:styleId="Heading7Char">
    <w:name w:val="Heading 7 Char"/>
    <w:basedOn w:val="DefaultParagraphFont"/>
    <w:link w:val="Heading7"/>
    <w:uiPriority w:val="99"/>
    <w:rsid w:val="00024400"/>
    <w:rPr>
      <w:rFonts w:ascii="Arial" w:eastAsia="Times New Roman" w:hAnsi="Arial" w:cs="Times New Roman"/>
      <w:sz w:val="20"/>
      <w:szCs w:val="20"/>
    </w:rPr>
  </w:style>
  <w:style w:type="paragraph" w:styleId="Header">
    <w:name w:val="header"/>
    <w:basedOn w:val="Normal"/>
    <w:link w:val="HeaderChar"/>
    <w:uiPriority w:val="99"/>
    <w:unhideWhenUsed/>
    <w:rsid w:val="00024400"/>
    <w:pPr>
      <w:tabs>
        <w:tab w:val="center" w:pos="4680"/>
        <w:tab w:val="right" w:pos="9360"/>
      </w:tabs>
      <w:spacing w:after="0" w:line="240" w:lineRule="auto"/>
    </w:pPr>
    <w:rPr>
      <w:rFonts w:ascii="Arial" w:eastAsia="Times New Roman" w:hAnsi="Arial" w:cs="Times New Roman"/>
      <w:sz w:val="24"/>
    </w:rPr>
  </w:style>
  <w:style w:type="character" w:customStyle="1" w:styleId="HeaderChar">
    <w:name w:val="Header Char"/>
    <w:basedOn w:val="DefaultParagraphFont"/>
    <w:link w:val="Header"/>
    <w:uiPriority w:val="99"/>
    <w:rsid w:val="00024400"/>
    <w:rPr>
      <w:rFonts w:ascii="Arial" w:eastAsia="Times New Roman" w:hAnsi="Arial" w:cs="Times New Roman"/>
      <w:sz w:val="24"/>
    </w:rPr>
  </w:style>
  <w:style w:type="paragraph" w:styleId="Footer">
    <w:name w:val="footer"/>
    <w:basedOn w:val="Normal"/>
    <w:link w:val="FooterChar"/>
    <w:uiPriority w:val="99"/>
    <w:unhideWhenUsed/>
    <w:rsid w:val="00024400"/>
    <w:pPr>
      <w:tabs>
        <w:tab w:val="center" w:pos="4680"/>
        <w:tab w:val="right" w:pos="9360"/>
      </w:tabs>
      <w:spacing w:after="0" w:line="240" w:lineRule="auto"/>
    </w:pPr>
    <w:rPr>
      <w:rFonts w:ascii="Arial" w:eastAsia="Times New Roman" w:hAnsi="Arial" w:cs="Times New Roman"/>
      <w:sz w:val="24"/>
    </w:rPr>
  </w:style>
  <w:style w:type="character" w:customStyle="1" w:styleId="FooterChar">
    <w:name w:val="Footer Char"/>
    <w:basedOn w:val="DefaultParagraphFont"/>
    <w:link w:val="Footer"/>
    <w:uiPriority w:val="99"/>
    <w:rsid w:val="00024400"/>
    <w:rPr>
      <w:rFonts w:ascii="Arial" w:eastAsia="Times New Roman" w:hAnsi="Arial" w:cs="Times New Roman"/>
      <w:sz w:val="24"/>
    </w:rPr>
  </w:style>
  <w:style w:type="paragraph" w:styleId="ListParagraph">
    <w:name w:val="List Paragraph"/>
    <w:basedOn w:val="Normal"/>
    <w:link w:val="ListParagraphChar"/>
    <w:uiPriority w:val="34"/>
    <w:qFormat/>
    <w:rsid w:val="00024400"/>
    <w:pPr>
      <w:spacing w:after="200" w:line="276" w:lineRule="auto"/>
      <w:ind w:left="720"/>
      <w:contextualSpacing/>
    </w:pPr>
    <w:rPr>
      <w:rFonts w:ascii="Arial" w:eastAsia="Times New Roman" w:hAnsi="Arial" w:cs="Times New Roman"/>
      <w:sz w:val="24"/>
    </w:rPr>
  </w:style>
  <w:style w:type="character" w:styleId="Hyperlink">
    <w:name w:val="Hyperlink"/>
    <w:basedOn w:val="DefaultParagraphFont"/>
    <w:uiPriority w:val="99"/>
    <w:unhideWhenUsed/>
    <w:rsid w:val="00024400"/>
    <w:rPr>
      <w:rFonts w:cs="Times New Roman"/>
      <w:color w:val="0563C1" w:themeColor="hyperlink"/>
      <w:u w:val="single"/>
    </w:rPr>
  </w:style>
  <w:style w:type="character" w:styleId="CommentReference">
    <w:name w:val="annotation reference"/>
    <w:basedOn w:val="DefaultParagraphFont"/>
    <w:uiPriority w:val="99"/>
    <w:semiHidden/>
    <w:rsid w:val="00024400"/>
    <w:rPr>
      <w:rFonts w:cs="Times New Roman"/>
      <w:sz w:val="16"/>
    </w:rPr>
  </w:style>
  <w:style w:type="paragraph" w:styleId="CommentText">
    <w:name w:val="annotation text"/>
    <w:basedOn w:val="Normal"/>
    <w:link w:val="CommentTextChar"/>
    <w:uiPriority w:val="99"/>
    <w:rsid w:val="000244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24400"/>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024400"/>
    <w:pPr>
      <w:spacing w:line="259" w:lineRule="auto"/>
      <w:outlineLvl w:val="9"/>
    </w:pPr>
  </w:style>
  <w:style w:type="paragraph" w:styleId="TOC1">
    <w:name w:val="toc 1"/>
    <w:basedOn w:val="Normal"/>
    <w:next w:val="Normal"/>
    <w:autoRedefine/>
    <w:uiPriority w:val="39"/>
    <w:unhideWhenUsed/>
    <w:rsid w:val="009A11F7"/>
    <w:pPr>
      <w:tabs>
        <w:tab w:val="left" w:pos="720"/>
        <w:tab w:val="right" w:leader="dot" w:pos="9350"/>
      </w:tabs>
      <w:spacing w:before="120" w:after="0" w:line="276" w:lineRule="auto"/>
      <w:ind w:left="360" w:hanging="450"/>
    </w:pPr>
    <w:rPr>
      <w:rFonts w:ascii="Arial" w:eastAsia="Times New Roman" w:hAnsi="Arial" w:cs="Times New Roman"/>
      <w:b/>
      <w:bCs/>
      <w:noProof/>
      <w:sz w:val="24"/>
      <w:szCs w:val="24"/>
    </w:rPr>
  </w:style>
  <w:style w:type="paragraph" w:styleId="TOC2">
    <w:name w:val="toc 2"/>
    <w:basedOn w:val="Normal"/>
    <w:next w:val="Normal"/>
    <w:autoRedefine/>
    <w:uiPriority w:val="39"/>
    <w:unhideWhenUsed/>
    <w:rsid w:val="00DE1287"/>
    <w:pPr>
      <w:tabs>
        <w:tab w:val="left" w:pos="540"/>
        <w:tab w:val="right" w:leader="dot" w:pos="9350"/>
      </w:tabs>
      <w:spacing w:after="0" w:line="276" w:lineRule="auto"/>
      <w:ind w:left="180"/>
    </w:pPr>
    <w:rPr>
      <w:rFonts w:eastAsia="Times New Roman" w:cs="Times New Roman"/>
      <w:b/>
      <w:bCs/>
    </w:rPr>
  </w:style>
  <w:style w:type="character" w:styleId="Strong">
    <w:name w:val="Strong"/>
    <w:basedOn w:val="DefaultParagraphFont"/>
    <w:uiPriority w:val="22"/>
    <w:qFormat/>
    <w:rsid w:val="00024400"/>
    <w:rPr>
      <w:rFonts w:eastAsia="Times New Roman"/>
      <w:b/>
      <w:sz w:val="20"/>
      <w:u w:val="single"/>
    </w:rPr>
  </w:style>
  <w:style w:type="table" w:styleId="TableGrid">
    <w:name w:val="Table Grid"/>
    <w:basedOn w:val="TableNormal"/>
    <w:uiPriority w:val="59"/>
    <w:rsid w:val="00024400"/>
    <w:pPr>
      <w:spacing w:after="0" w:line="240" w:lineRule="auto"/>
    </w:pPr>
    <w:rPr>
      <w:rFonts w:ascii="Arial" w:eastAsia="Times New Roman"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40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24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00"/>
    <w:rPr>
      <w:rFonts w:ascii="Segoe UI" w:hAnsi="Segoe UI" w:cs="Segoe UI"/>
      <w:sz w:val="18"/>
      <w:szCs w:val="18"/>
    </w:rPr>
  </w:style>
  <w:style w:type="paragraph" w:styleId="TOC3">
    <w:name w:val="toc 3"/>
    <w:basedOn w:val="Normal"/>
    <w:next w:val="Normal"/>
    <w:autoRedefine/>
    <w:uiPriority w:val="39"/>
    <w:unhideWhenUsed/>
    <w:rsid w:val="008D389F"/>
    <w:pPr>
      <w:spacing w:after="100"/>
      <w:ind w:left="440"/>
    </w:pPr>
    <w:rPr>
      <w:rFonts w:eastAsiaTheme="minorEastAsia" w:cs="Times New Roman"/>
    </w:rPr>
  </w:style>
  <w:style w:type="character" w:customStyle="1" w:styleId="UnresolvedMention1">
    <w:name w:val="Unresolved Mention1"/>
    <w:basedOn w:val="DefaultParagraphFont"/>
    <w:uiPriority w:val="99"/>
    <w:semiHidden/>
    <w:unhideWhenUsed/>
    <w:rsid w:val="004C4756"/>
    <w:rPr>
      <w:color w:val="605E5C"/>
      <w:shd w:val="clear" w:color="auto" w:fill="E1DFDD"/>
    </w:rPr>
  </w:style>
  <w:style w:type="paragraph" w:styleId="FootnoteText">
    <w:name w:val="footnote text"/>
    <w:basedOn w:val="Normal"/>
    <w:link w:val="FootnoteTextChar"/>
    <w:semiHidden/>
    <w:rsid w:val="004452F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customStyle="1" w:styleId="FootnoteTextChar">
    <w:name w:val="Footnote Text Char"/>
    <w:basedOn w:val="DefaultParagraphFont"/>
    <w:link w:val="FootnoteText"/>
    <w:semiHidden/>
    <w:rsid w:val="004452F4"/>
    <w:rPr>
      <w:rFonts w:ascii="Courier" w:eastAsia="Times New Roman" w:hAnsi="Courier" w:cs="Times New Roman"/>
      <w:sz w:val="24"/>
      <w:szCs w:val="20"/>
    </w:rPr>
  </w:style>
  <w:style w:type="character" w:styleId="FootnoteReference">
    <w:name w:val="footnote reference"/>
    <w:basedOn w:val="DefaultParagraphFont"/>
    <w:semiHidden/>
    <w:unhideWhenUsed/>
    <w:rsid w:val="004452F4"/>
    <w:rPr>
      <w:vertAlign w:val="superscript"/>
    </w:rPr>
  </w:style>
  <w:style w:type="character" w:customStyle="1" w:styleId="ListParagraphChar">
    <w:name w:val="List Paragraph Char"/>
    <w:basedOn w:val="DefaultParagraphFont"/>
    <w:link w:val="ListParagraph"/>
    <w:uiPriority w:val="34"/>
    <w:locked/>
    <w:rsid w:val="00B97229"/>
    <w:rPr>
      <w:rFonts w:ascii="Arial" w:eastAsia="Times New Roman" w:hAnsi="Arial" w:cs="Times New Roman"/>
      <w:sz w:val="24"/>
    </w:rPr>
  </w:style>
  <w:style w:type="paragraph" w:styleId="CommentSubject">
    <w:name w:val="annotation subject"/>
    <w:basedOn w:val="CommentText"/>
    <w:next w:val="CommentText"/>
    <w:link w:val="CommentSubjectChar"/>
    <w:uiPriority w:val="99"/>
    <w:semiHidden/>
    <w:unhideWhenUsed/>
    <w:rsid w:val="001D15F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15FD"/>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FB3DE1"/>
    <w:rPr>
      <w:color w:val="605E5C"/>
      <w:shd w:val="clear" w:color="auto" w:fill="E1DFDD"/>
    </w:rPr>
  </w:style>
  <w:style w:type="character" w:styleId="PlaceholderText">
    <w:name w:val="Placeholder Text"/>
    <w:basedOn w:val="DefaultParagraphFont"/>
    <w:uiPriority w:val="99"/>
    <w:semiHidden/>
    <w:rsid w:val="0020343A"/>
    <w:rPr>
      <w:color w:val="808080"/>
    </w:rPr>
  </w:style>
  <w:style w:type="character" w:styleId="FollowedHyperlink">
    <w:name w:val="FollowedHyperlink"/>
    <w:basedOn w:val="DefaultParagraphFont"/>
    <w:uiPriority w:val="99"/>
    <w:semiHidden/>
    <w:unhideWhenUsed/>
    <w:rsid w:val="001B42CB"/>
    <w:rPr>
      <w:color w:val="954F72" w:themeColor="followedHyperlink"/>
      <w:u w:val="single"/>
    </w:rPr>
  </w:style>
  <w:style w:type="character" w:customStyle="1" w:styleId="Heading6Char">
    <w:name w:val="Heading 6 Char"/>
    <w:basedOn w:val="DefaultParagraphFont"/>
    <w:link w:val="Heading6"/>
    <w:semiHidden/>
    <w:rsid w:val="006F534A"/>
    <w:rPr>
      <w:rFonts w:asciiTheme="majorHAnsi" w:eastAsiaTheme="majorEastAsia" w:hAnsiTheme="majorHAnsi" w:cstheme="majorBidi"/>
      <w:color w:val="1F3763" w:themeColor="accent1" w:themeShade="7F"/>
      <w:sz w:val="24"/>
      <w:szCs w:val="24"/>
    </w:rPr>
  </w:style>
  <w:style w:type="character" w:customStyle="1" w:styleId="normaltextrun1">
    <w:name w:val="normaltextrun1"/>
    <w:basedOn w:val="DefaultParagraphFont"/>
    <w:rsid w:val="00FE6D68"/>
  </w:style>
  <w:style w:type="paragraph" w:styleId="Revision">
    <w:name w:val="Revision"/>
    <w:hidden/>
    <w:uiPriority w:val="99"/>
    <w:semiHidden/>
    <w:rsid w:val="005D6896"/>
    <w:pPr>
      <w:spacing w:after="0" w:line="240" w:lineRule="auto"/>
    </w:pPr>
  </w:style>
  <w:style w:type="character" w:customStyle="1" w:styleId="UnresolvedMention3">
    <w:name w:val="Unresolved Mention3"/>
    <w:basedOn w:val="DefaultParagraphFont"/>
    <w:uiPriority w:val="99"/>
    <w:semiHidden/>
    <w:unhideWhenUsed/>
    <w:rsid w:val="001B7D87"/>
    <w:rPr>
      <w:color w:val="605E5C"/>
      <w:shd w:val="clear" w:color="auto" w:fill="E1DFDD"/>
    </w:rPr>
  </w:style>
  <w:style w:type="character" w:customStyle="1" w:styleId="UnresolvedMention4">
    <w:name w:val="Unresolved Mention4"/>
    <w:basedOn w:val="DefaultParagraphFont"/>
    <w:uiPriority w:val="99"/>
    <w:semiHidden/>
    <w:unhideWhenUsed/>
    <w:rsid w:val="00967A67"/>
    <w:rPr>
      <w:color w:val="605E5C"/>
      <w:shd w:val="clear" w:color="auto" w:fill="E1DFDD"/>
    </w:rPr>
  </w:style>
  <w:style w:type="character" w:customStyle="1" w:styleId="UnresolvedMention5">
    <w:name w:val="Unresolved Mention5"/>
    <w:basedOn w:val="DefaultParagraphFont"/>
    <w:uiPriority w:val="99"/>
    <w:semiHidden/>
    <w:unhideWhenUsed/>
    <w:rsid w:val="000B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3113">
      <w:bodyDiv w:val="1"/>
      <w:marLeft w:val="0"/>
      <w:marRight w:val="0"/>
      <w:marTop w:val="0"/>
      <w:marBottom w:val="0"/>
      <w:divBdr>
        <w:top w:val="none" w:sz="0" w:space="0" w:color="auto"/>
        <w:left w:val="none" w:sz="0" w:space="0" w:color="auto"/>
        <w:bottom w:val="none" w:sz="0" w:space="0" w:color="auto"/>
        <w:right w:val="none" w:sz="0" w:space="0" w:color="auto"/>
      </w:divBdr>
    </w:div>
    <w:div w:id="607783154">
      <w:bodyDiv w:val="1"/>
      <w:marLeft w:val="0"/>
      <w:marRight w:val="0"/>
      <w:marTop w:val="0"/>
      <w:marBottom w:val="0"/>
      <w:divBdr>
        <w:top w:val="none" w:sz="0" w:space="0" w:color="auto"/>
        <w:left w:val="none" w:sz="0" w:space="0" w:color="auto"/>
        <w:bottom w:val="none" w:sz="0" w:space="0" w:color="auto"/>
        <w:right w:val="none" w:sz="0" w:space="0" w:color="auto"/>
      </w:divBdr>
    </w:div>
    <w:div w:id="10427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B60BB175378944B05204E858383772" ma:contentTypeVersion="4" ma:contentTypeDescription="Create a new document." ma:contentTypeScope="" ma:versionID="c59264c6a8e97ca0a4fe4183086b8b2d">
  <xsd:schema xmlns:xsd="http://www.w3.org/2001/XMLSchema" xmlns:xs="http://www.w3.org/2001/XMLSchema" xmlns:p="http://schemas.microsoft.com/office/2006/metadata/properties" xmlns:ns2="17adb223-70e9-4803-a386-d0a3dcffbdbc" xmlns:ns3="bd304f3f-7b8e-48e5-a98b-67ffa9746898" targetNamespace="http://schemas.microsoft.com/office/2006/metadata/properties" ma:root="true" ma:fieldsID="95522d25e2e441b491b5f3e7bb9c1056" ns2:_="" ns3:_="">
    <xsd:import namespace="17adb223-70e9-4803-a386-d0a3dcffbdbc"/>
    <xsd:import namespace="bd304f3f-7b8e-48e5-a98b-67ffa97468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b223-70e9-4803-a386-d0a3dcffb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04f3f-7b8e-48e5-a98b-67ffa97468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44387-1BCB-4829-BBC4-083B9ECC3306}">
  <ds:schemaRefs>
    <ds:schemaRef ds:uri="http://schemas.microsoft.com/sharepoint/v3/contenttype/forms"/>
  </ds:schemaRefs>
</ds:datastoreItem>
</file>

<file path=customXml/itemProps2.xml><?xml version="1.0" encoding="utf-8"?>
<ds:datastoreItem xmlns:ds="http://schemas.openxmlformats.org/officeDocument/2006/customXml" ds:itemID="{54686D6A-40AB-4247-A968-48141494D9D9}">
  <ds:schemaRefs>
    <ds:schemaRef ds:uri="http://schemas.openxmlformats.org/officeDocument/2006/bibliography"/>
  </ds:schemaRefs>
</ds:datastoreItem>
</file>

<file path=customXml/itemProps3.xml><?xml version="1.0" encoding="utf-8"?>
<ds:datastoreItem xmlns:ds="http://schemas.openxmlformats.org/officeDocument/2006/customXml" ds:itemID="{56105937-6892-4A03-9C4F-3A50E2A3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b223-70e9-4803-a386-d0a3dcffbdbc"/>
    <ds:schemaRef ds:uri="bd304f3f-7b8e-48e5-a98b-67ffa974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FE2CB-1FDF-45E1-B0BF-81839E559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4218</Words>
  <Characters>24048</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VanZuylen, Ryan@HCD</dc:creator>
  <cp:keywords/>
  <dc:description/>
  <cp:lastModifiedBy>Amritpal</cp:lastModifiedBy>
  <cp:revision>2</cp:revision>
  <cp:lastPrinted>2021-05-06T15:17:00Z</cp:lastPrinted>
  <dcterms:created xsi:type="dcterms:W3CDTF">2021-05-13T00:31:00Z</dcterms:created>
  <dcterms:modified xsi:type="dcterms:W3CDTF">2021-05-13T00:31:00Z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0x010100CEB60BB175378944B05204E858383772</vt:lpwstr>
  </property>
</Properties>
</file>