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BF" w:rsidRDefault="00C15CBF" w:rsidP="00C15CBF">
      <w:pPr>
        <w:jc w:val="center"/>
        <w:rPr>
          <w:rFonts w:ascii="Arial" w:hAnsi="Arial" w:cs="Arial"/>
          <w:b/>
          <w:sz w:val="36"/>
          <w:szCs w:val="36"/>
        </w:rPr>
      </w:pPr>
      <w:r>
        <w:rPr>
          <w:rFonts w:ascii="Arial" w:hAnsi="Arial" w:cs="Arial"/>
          <w:b/>
          <w:sz w:val="36"/>
          <w:szCs w:val="36"/>
        </w:rPr>
        <w:t>EMERGENCY HOUSING ASSISTANCE PROGRAM</w:t>
      </w:r>
    </w:p>
    <w:p w:rsidR="00C15CBF" w:rsidRDefault="00C15CBF" w:rsidP="00C15CBF">
      <w:pPr>
        <w:jc w:val="center"/>
        <w:rPr>
          <w:rFonts w:ascii="Arial" w:hAnsi="Arial" w:cs="Arial"/>
          <w:b/>
          <w:sz w:val="36"/>
          <w:szCs w:val="36"/>
        </w:rPr>
      </w:pPr>
      <w:r>
        <w:rPr>
          <w:rFonts w:ascii="Arial" w:hAnsi="Arial" w:cs="Arial"/>
          <w:b/>
          <w:sz w:val="36"/>
          <w:szCs w:val="36"/>
        </w:rPr>
        <w:t>CAPITAL DEVELOPMENT COMPONENT CON</w:t>
      </w:r>
      <w:r w:rsidR="004456A0">
        <w:rPr>
          <w:rFonts w:ascii="Arial" w:hAnsi="Arial" w:cs="Arial"/>
          <w:b/>
          <w:sz w:val="36"/>
          <w:szCs w:val="36"/>
        </w:rPr>
        <w:t>V</w:t>
      </w:r>
      <w:bookmarkStart w:id="0" w:name="_GoBack"/>
      <w:bookmarkEnd w:id="0"/>
      <w:r>
        <w:rPr>
          <w:rFonts w:ascii="Arial" w:hAnsi="Arial" w:cs="Arial"/>
          <w:b/>
          <w:sz w:val="36"/>
          <w:szCs w:val="36"/>
        </w:rPr>
        <w:t>ERSION FUNDS</w:t>
      </w:r>
    </w:p>
    <w:p w:rsidR="00C15CBF" w:rsidRDefault="00C15CBF" w:rsidP="00C15CBF">
      <w:pPr>
        <w:jc w:val="center"/>
        <w:rPr>
          <w:rFonts w:ascii="Arial" w:hAnsi="Arial" w:cs="Arial"/>
          <w:b/>
          <w:sz w:val="36"/>
          <w:szCs w:val="36"/>
        </w:rPr>
      </w:pPr>
      <w:r>
        <w:rPr>
          <w:rFonts w:ascii="Arial" w:hAnsi="Arial" w:cs="Arial"/>
          <w:b/>
          <w:sz w:val="36"/>
          <w:szCs w:val="36"/>
        </w:rPr>
        <w:t>(EHAP</w:t>
      </w:r>
      <w:r w:rsidR="00C901EC">
        <w:rPr>
          <w:rFonts w:ascii="Arial" w:hAnsi="Arial" w:cs="Arial"/>
          <w:b/>
          <w:sz w:val="36"/>
          <w:szCs w:val="36"/>
        </w:rPr>
        <w:t>-</w:t>
      </w:r>
      <w:r>
        <w:rPr>
          <w:rFonts w:ascii="Arial" w:hAnsi="Arial" w:cs="Arial"/>
          <w:b/>
          <w:sz w:val="36"/>
          <w:szCs w:val="36"/>
        </w:rPr>
        <w:t>CD)</w:t>
      </w:r>
    </w:p>
    <w:p w:rsidR="00C15CBF" w:rsidRPr="00296F23" w:rsidRDefault="00C15CBF" w:rsidP="00C15CBF">
      <w:pPr>
        <w:jc w:val="center"/>
        <w:rPr>
          <w:rFonts w:ascii="Arial" w:hAnsi="Arial" w:cs="Arial"/>
          <w:b/>
          <w:bCs/>
          <w:iCs/>
          <w:sz w:val="32"/>
          <w:szCs w:val="32"/>
        </w:rPr>
      </w:pPr>
    </w:p>
    <w:p w:rsidR="00C15CBF" w:rsidRPr="00296F23" w:rsidRDefault="00C15CBF" w:rsidP="00C15CBF">
      <w:pPr>
        <w:jc w:val="center"/>
        <w:rPr>
          <w:rFonts w:ascii="Arial" w:hAnsi="Arial" w:cs="Arial"/>
          <w:b/>
          <w:bCs/>
          <w:iCs/>
          <w:sz w:val="72"/>
          <w:szCs w:val="72"/>
        </w:rPr>
      </w:pPr>
      <w:r>
        <w:rPr>
          <w:rFonts w:ascii="Arial" w:hAnsi="Arial" w:cs="Arial"/>
          <w:b/>
          <w:bCs/>
          <w:iCs/>
          <w:sz w:val="72"/>
          <w:szCs w:val="72"/>
        </w:rPr>
        <w:t>2015</w:t>
      </w:r>
    </w:p>
    <w:p w:rsidR="00C15CBF" w:rsidRPr="00296F23" w:rsidRDefault="00C15CBF" w:rsidP="00C15CBF">
      <w:pPr>
        <w:jc w:val="center"/>
        <w:rPr>
          <w:rFonts w:ascii="Arial" w:hAnsi="Arial" w:cs="Arial"/>
          <w:b/>
          <w:bCs/>
          <w:iCs/>
          <w:sz w:val="72"/>
          <w:szCs w:val="72"/>
        </w:rPr>
      </w:pPr>
      <w:r w:rsidRPr="00296F23">
        <w:rPr>
          <w:rFonts w:ascii="Arial" w:hAnsi="Arial" w:cs="Arial"/>
          <w:b/>
          <w:bCs/>
          <w:iCs/>
          <w:sz w:val="72"/>
          <w:szCs w:val="72"/>
        </w:rPr>
        <w:t>Notice of Funding Availability</w:t>
      </w:r>
    </w:p>
    <w:p w:rsidR="00C15CBF" w:rsidRDefault="00C15CBF" w:rsidP="00C15CBF">
      <w:pPr>
        <w:jc w:val="center"/>
      </w:pPr>
    </w:p>
    <w:p w:rsidR="00C15CBF" w:rsidRDefault="00C15CBF" w:rsidP="00C15CBF">
      <w:pPr>
        <w:jc w:val="center"/>
      </w:pPr>
    </w:p>
    <w:p w:rsidR="00C15CBF" w:rsidRDefault="00C15CBF" w:rsidP="00C15CBF">
      <w:pPr>
        <w:jc w:val="center"/>
      </w:pPr>
      <w:r>
        <w:rPr>
          <w:noProof/>
        </w:rPr>
        <w:drawing>
          <wp:anchor distT="0" distB="0" distL="114300" distR="114300" simplePos="0" relativeHeight="251659264" behindDoc="1" locked="0" layoutInCell="1" allowOverlap="1">
            <wp:simplePos x="0" y="0"/>
            <wp:positionH relativeFrom="column">
              <wp:posOffset>1323340</wp:posOffset>
            </wp:positionH>
            <wp:positionV relativeFrom="paragraph">
              <wp:posOffset>1905</wp:posOffset>
            </wp:positionV>
            <wp:extent cx="3317240" cy="3317240"/>
            <wp:effectExtent l="0" t="0" r="0" b="0"/>
            <wp:wrapSquare wrapText="bothSides"/>
            <wp:docPr id="1" name="Picture 1" descr="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7240" cy="3317240"/>
                    </a:xfrm>
                    <a:prstGeom prst="rect">
                      <a:avLst/>
                    </a:prstGeom>
                    <a:noFill/>
                  </pic:spPr>
                </pic:pic>
              </a:graphicData>
            </a:graphic>
            <wp14:sizeRelH relativeFrom="page">
              <wp14:pctWidth>0</wp14:pctWidth>
            </wp14:sizeRelH>
            <wp14:sizeRelV relativeFrom="page">
              <wp14:pctHeight>0</wp14:pctHeight>
            </wp14:sizeRelV>
          </wp:anchor>
        </w:drawing>
      </w:r>
    </w:p>
    <w:p w:rsidR="00C15CBF" w:rsidRDefault="00C15CBF" w:rsidP="00C15CBF">
      <w:pPr>
        <w:jc w:val="center"/>
      </w:pPr>
    </w:p>
    <w:p w:rsidR="00C15CBF" w:rsidRDefault="00C15CBF" w:rsidP="00C15CBF">
      <w:pPr>
        <w:jc w:val="center"/>
      </w:pPr>
    </w:p>
    <w:p w:rsidR="00C15CBF" w:rsidRPr="00072826" w:rsidRDefault="00C15CBF" w:rsidP="00C15CBF">
      <w:pPr>
        <w:jc w:val="center"/>
      </w:pPr>
    </w:p>
    <w:p w:rsidR="00C15CBF" w:rsidRPr="00072826" w:rsidRDefault="00C15CBF" w:rsidP="00C15CBF">
      <w:pPr>
        <w:jc w:val="center"/>
      </w:pPr>
    </w:p>
    <w:p w:rsidR="00C15CBF" w:rsidRPr="00072826" w:rsidRDefault="00C15CBF" w:rsidP="00C15CBF">
      <w:pPr>
        <w:jc w:val="center"/>
      </w:pPr>
    </w:p>
    <w:p w:rsidR="00C15CBF" w:rsidRPr="00072826" w:rsidRDefault="00C15CBF" w:rsidP="00C15CBF">
      <w:pPr>
        <w:jc w:val="center"/>
      </w:pPr>
    </w:p>
    <w:p w:rsidR="00C15CBF" w:rsidRPr="00072826" w:rsidRDefault="00C15CBF" w:rsidP="00C15CBF">
      <w:pPr>
        <w:jc w:val="center"/>
      </w:pPr>
    </w:p>
    <w:p w:rsidR="00C15CBF" w:rsidRPr="00072826" w:rsidRDefault="00C15CBF" w:rsidP="00C15CBF">
      <w:pPr>
        <w:jc w:val="center"/>
      </w:pPr>
    </w:p>
    <w:p w:rsidR="00C15CBF" w:rsidRDefault="00C15CBF" w:rsidP="00C15CBF">
      <w:pPr>
        <w:jc w:val="center"/>
      </w:pPr>
    </w:p>
    <w:p w:rsidR="00C15CBF" w:rsidRDefault="00C15CBF" w:rsidP="00C15CBF">
      <w:pPr>
        <w:jc w:val="center"/>
      </w:pPr>
    </w:p>
    <w:p w:rsidR="00C15CBF" w:rsidRDefault="00C15CBF" w:rsidP="00C15CBF">
      <w:pPr>
        <w:jc w:val="center"/>
      </w:pPr>
    </w:p>
    <w:p w:rsidR="00C15CBF" w:rsidRDefault="00C15CBF" w:rsidP="00C15CBF">
      <w:pPr>
        <w:jc w:val="center"/>
      </w:pPr>
    </w:p>
    <w:p w:rsidR="00C15CBF" w:rsidRDefault="00C15CBF" w:rsidP="00C15CBF">
      <w:pPr>
        <w:jc w:val="center"/>
      </w:pPr>
    </w:p>
    <w:p w:rsidR="00C15CBF" w:rsidRDefault="00C15CBF" w:rsidP="00C15CBF">
      <w:pPr>
        <w:jc w:val="center"/>
      </w:pPr>
    </w:p>
    <w:p w:rsidR="00C15CBF" w:rsidRPr="00072826" w:rsidRDefault="00C15CBF" w:rsidP="00C15CBF">
      <w:pPr>
        <w:jc w:val="center"/>
      </w:pPr>
    </w:p>
    <w:p w:rsidR="00C15CBF" w:rsidRPr="00072826" w:rsidRDefault="00C15CBF" w:rsidP="00C15CBF">
      <w:pPr>
        <w:jc w:val="center"/>
      </w:pPr>
    </w:p>
    <w:p w:rsidR="00C15CBF" w:rsidRDefault="00C15CBF" w:rsidP="00C15CBF">
      <w:pPr>
        <w:jc w:val="center"/>
      </w:pPr>
    </w:p>
    <w:p w:rsidR="00C15CBF" w:rsidRPr="00072826" w:rsidRDefault="00C15CBF" w:rsidP="00C15CBF">
      <w:pPr>
        <w:jc w:val="center"/>
      </w:pPr>
    </w:p>
    <w:p w:rsidR="00C15CBF" w:rsidRDefault="00C15CBF" w:rsidP="00C15CBF">
      <w:pPr>
        <w:jc w:val="center"/>
      </w:pPr>
    </w:p>
    <w:p w:rsidR="00C15CBF" w:rsidRPr="00296F23" w:rsidRDefault="00C15CBF" w:rsidP="00C15CBF">
      <w:pPr>
        <w:jc w:val="center"/>
        <w:rPr>
          <w:rFonts w:ascii="Arial" w:hAnsi="Arial" w:cs="Arial"/>
          <w:b/>
          <w:sz w:val="32"/>
          <w:szCs w:val="32"/>
        </w:rPr>
      </w:pPr>
      <w:r>
        <w:rPr>
          <w:rFonts w:ascii="Arial" w:hAnsi="Arial" w:cs="Arial"/>
          <w:b/>
          <w:sz w:val="32"/>
          <w:szCs w:val="32"/>
        </w:rPr>
        <w:t>S</w:t>
      </w:r>
      <w:r w:rsidRPr="00296F23">
        <w:rPr>
          <w:rFonts w:ascii="Arial" w:hAnsi="Arial" w:cs="Arial"/>
          <w:b/>
          <w:sz w:val="32"/>
          <w:szCs w:val="32"/>
        </w:rPr>
        <w:t>tate of California</w:t>
      </w:r>
    </w:p>
    <w:p w:rsidR="00C15CBF" w:rsidRPr="00296F23" w:rsidRDefault="00C15CBF" w:rsidP="00C15CBF">
      <w:pPr>
        <w:jc w:val="center"/>
        <w:rPr>
          <w:rFonts w:ascii="Arial" w:hAnsi="Arial" w:cs="Arial"/>
          <w:b/>
          <w:sz w:val="32"/>
          <w:szCs w:val="32"/>
        </w:rPr>
      </w:pPr>
      <w:r w:rsidRPr="00296F23">
        <w:rPr>
          <w:rFonts w:ascii="Arial" w:hAnsi="Arial" w:cs="Arial"/>
          <w:b/>
          <w:sz w:val="32"/>
          <w:szCs w:val="32"/>
        </w:rPr>
        <w:t>Governor Edmund G. Brown Jr.</w:t>
      </w:r>
    </w:p>
    <w:p w:rsidR="00C15CBF" w:rsidRPr="00296F23" w:rsidRDefault="00C15CBF" w:rsidP="00C15CBF">
      <w:pPr>
        <w:rPr>
          <w:rFonts w:ascii="Arial" w:hAnsi="Arial" w:cs="Arial"/>
        </w:rPr>
      </w:pPr>
    </w:p>
    <w:p w:rsidR="00C15CBF" w:rsidRPr="00296F23" w:rsidRDefault="00C15CBF" w:rsidP="00C15CBF">
      <w:pPr>
        <w:jc w:val="center"/>
        <w:rPr>
          <w:rFonts w:ascii="Arial" w:hAnsi="Arial" w:cs="Arial"/>
          <w:b/>
          <w:sz w:val="32"/>
          <w:szCs w:val="32"/>
        </w:rPr>
      </w:pPr>
      <w:r>
        <w:rPr>
          <w:rFonts w:ascii="Arial" w:hAnsi="Arial" w:cs="Arial"/>
          <w:b/>
          <w:sz w:val="32"/>
          <w:szCs w:val="32"/>
        </w:rPr>
        <w:t>Claudia Cappio, Director</w:t>
      </w:r>
    </w:p>
    <w:p w:rsidR="00C15CBF" w:rsidRPr="00296F23" w:rsidRDefault="00C15CBF" w:rsidP="00C15CBF">
      <w:pPr>
        <w:jc w:val="center"/>
        <w:rPr>
          <w:rFonts w:ascii="Arial" w:hAnsi="Arial" w:cs="Arial"/>
          <w:b/>
          <w:sz w:val="32"/>
          <w:szCs w:val="32"/>
        </w:rPr>
      </w:pPr>
      <w:r w:rsidRPr="00296F23">
        <w:rPr>
          <w:rFonts w:ascii="Arial" w:hAnsi="Arial" w:cs="Arial"/>
          <w:b/>
          <w:sz w:val="32"/>
          <w:szCs w:val="32"/>
        </w:rPr>
        <w:t>Department of Housing and Community Development</w:t>
      </w:r>
    </w:p>
    <w:p w:rsidR="00C15CBF" w:rsidRPr="00072747" w:rsidRDefault="00C15CBF" w:rsidP="00C15CBF">
      <w:pPr>
        <w:tabs>
          <w:tab w:val="right" w:pos="9360"/>
        </w:tabs>
        <w:suppressAutoHyphens/>
        <w:jc w:val="right"/>
        <w:rPr>
          <w:rFonts w:ascii="Arial" w:hAnsi="Arial" w:cs="Arial"/>
          <w:spacing w:val="-3"/>
          <w:sz w:val="28"/>
        </w:rPr>
        <w:sectPr w:rsidR="00C15CBF" w:rsidRPr="00072747" w:rsidSect="00A45A0D">
          <w:headerReference w:type="default" r:id="rId10"/>
          <w:footerReference w:type="even" r:id="rId11"/>
          <w:footerReference w:type="default" r:id="rId12"/>
          <w:footerReference w:type="first" r:id="rId13"/>
          <w:pgSz w:w="12240" w:h="15840" w:code="1"/>
          <w:pgMar w:top="720" w:right="1440" w:bottom="1440" w:left="1440" w:header="720" w:footer="720" w:gutter="0"/>
          <w:cols w:space="720"/>
          <w:vAlign w:val="center"/>
          <w:noEndnote/>
          <w:docGrid w:linePitch="326"/>
        </w:sectPr>
      </w:pPr>
    </w:p>
    <w:p w:rsidR="00C15CBF" w:rsidRDefault="00C15CBF" w:rsidP="00C15CBF">
      <w:pPr>
        <w:jc w:val="center"/>
        <w:rPr>
          <w:rFonts w:ascii="Arial" w:hAnsi="Arial" w:cs="Arial"/>
          <w:b/>
          <w:bCs/>
          <w:sz w:val="28"/>
        </w:rPr>
      </w:pPr>
      <w:r w:rsidRPr="00072747">
        <w:rPr>
          <w:rFonts w:ascii="Arial" w:hAnsi="Arial" w:cs="Arial"/>
          <w:b/>
          <w:bCs/>
          <w:sz w:val="28"/>
        </w:rPr>
        <w:lastRenderedPageBreak/>
        <w:t>NOTICE</w:t>
      </w:r>
      <w:r>
        <w:rPr>
          <w:rFonts w:ascii="Arial" w:hAnsi="Arial" w:cs="Arial"/>
          <w:b/>
          <w:bCs/>
          <w:sz w:val="28"/>
        </w:rPr>
        <w:t xml:space="preserve"> OF FUNDING AVAILABILITY (NOFA)</w:t>
      </w:r>
    </w:p>
    <w:p w:rsidR="00C15CBF" w:rsidRDefault="00C15CBF" w:rsidP="00C15CBF">
      <w:pPr>
        <w:jc w:val="center"/>
        <w:rPr>
          <w:rFonts w:ascii="Arial" w:hAnsi="Arial" w:cs="Arial"/>
          <w:b/>
          <w:bCs/>
          <w:sz w:val="28"/>
        </w:rPr>
      </w:pPr>
    </w:p>
    <w:p w:rsidR="00C15CBF" w:rsidRDefault="00C15CBF" w:rsidP="00C15CBF">
      <w:pPr>
        <w:pStyle w:val="FootnoteText"/>
        <w:widowControl/>
        <w:overflowPunct/>
        <w:autoSpaceDE/>
        <w:autoSpaceDN/>
        <w:adjustRightInd/>
        <w:jc w:val="center"/>
        <w:textAlignment w:val="auto"/>
        <w:rPr>
          <w:rFonts w:ascii="Arial" w:hAnsi="Arial" w:cs="Arial"/>
          <w:szCs w:val="24"/>
        </w:rPr>
      </w:pPr>
      <w:r>
        <w:rPr>
          <w:rFonts w:ascii="Arial" w:hAnsi="Arial" w:cs="Arial"/>
          <w:szCs w:val="24"/>
        </w:rPr>
        <w:t>EMERGENCY HOUSING ASSISTANCE PROGRAM</w:t>
      </w:r>
    </w:p>
    <w:p w:rsidR="00C15CBF" w:rsidRDefault="00C15CBF" w:rsidP="00C15CBF">
      <w:pPr>
        <w:pStyle w:val="FootnoteText"/>
        <w:widowControl/>
        <w:overflowPunct/>
        <w:autoSpaceDE/>
        <w:autoSpaceDN/>
        <w:adjustRightInd/>
        <w:jc w:val="center"/>
        <w:textAlignment w:val="auto"/>
        <w:rPr>
          <w:rFonts w:ascii="Arial" w:hAnsi="Arial" w:cs="Arial"/>
          <w:szCs w:val="24"/>
        </w:rPr>
      </w:pPr>
      <w:r>
        <w:rPr>
          <w:rFonts w:ascii="Arial" w:hAnsi="Arial" w:cs="Arial"/>
          <w:szCs w:val="24"/>
        </w:rPr>
        <w:t>CAPITAL DEVELOPMENT COMPONENT CONVERSION FUNDS</w:t>
      </w:r>
    </w:p>
    <w:p w:rsidR="00C15CBF" w:rsidRPr="00072747" w:rsidRDefault="00C15CBF" w:rsidP="00C15CBF">
      <w:pPr>
        <w:pStyle w:val="FootnoteText"/>
        <w:widowControl/>
        <w:overflowPunct/>
        <w:autoSpaceDE/>
        <w:autoSpaceDN/>
        <w:adjustRightInd/>
        <w:textAlignment w:val="auto"/>
        <w:rPr>
          <w:rFonts w:ascii="Arial" w:hAnsi="Arial" w:cs="Arial"/>
          <w:szCs w:val="24"/>
        </w:rPr>
      </w:pPr>
    </w:p>
    <w:p w:rsidR="00C15CBF" w:rsidRPr="00A2707B" w:rsidRDefault="00C15CBF" w:rsidP="00C15CBF">
      <w:pPr>
        <w:pStyle w:val="Heading4"/>
        <w:rPr>
          <w:rFonts w:ascii="Arial" w:hAnsi="Arial" w:cs="Arial"/>
          <w:spacing w:val="-3"/>
        </w:rPr>
      </w:pPr>
      <w:r w:rsidRPr="007A2F89">
        <w:rPr>
          <w:rFonts w:ascii="Arial" w:hAnsi="Arial" w:cs="Arial"/>
          <w:b/>
          <w:u w:val="single"/>
        </w:rPr>
        <w:t>Table of Contents</w:t>
      </w:r>
      <w:r w:rsidR="00497BD0">
        <w:rPr>
          <w:rFonts w:ascii="Arial" w:hAnsi="Arial" w:cs="Arial"/>
          <w:b/>
        </w:rPr>
        <w:t xml:space="preserve"> </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sidRPr="00EA1794">
        <w:rPr>
          <w:rFonts w:ascii="Arial" w:hAnsi="Arial" w:cs="Arial"/>
          <w:spacing w:val="-3"/>
          <w:sz w:val="20"/>
        </w:rPr>
        <w:t>A.</w:t>
      </w:r>
      <w:r w:rsidRPr="00EA1794">
        <w:rPr>
          <w:rFonts w:ascii="Arial" w:hAnsi="Arial" w:cs="Arial"/>
          <w:spacing w:val="-3"/>
          <w:sz w:val="20"/>
        </w:rPr>
        <w:tab/>
        <w:t>Introduction</w:t>
      </w:r>
      <w:r w:rsidRPr="00EA1794">
        <w:rPr>
          <w:rFonts w:ascii="Arial" w:hAnsi="Arial" w:cs="Arial"/>
          <w:spacing w:val="-3"/>
          <w:sz w:val="20"/>
        </w:rPr>
        <w:tab/>
      </w:r>
      <w:r>
        <w:rPr>
          <w:rFonts w:ascii="Arial" w:hAnsi="Arial" w:cs="Arial"/>
          <w:spacing w:val="-3"/>
          <w:sz w:val="20"/>
        </w:rPr>
        <w:t>3</w:t>
      </w:r>
    </w:p>
    <w:p w:rsidR="00C15CBF" w:rsidRPr="00EA1794" w:rsidRDefault="00C15CBF" w:rsidP="00C15CBF">
      <w:pPr>
        <w:tabs>
          <w:tab w:val="left" w:pos="720"/>
          <w:tab w:val="right" w:leader="dot" w:pos="9360"/>
        </w:tabs>
        <w:suppressAutoHyphens/>
        <w:spacing w:line="227" w:lineRule="auto"/>
        <w:rPr>
          <w:rFonts w:ascii="Arial" w:hAnsi="Arial" w:cs="Arial"/>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sidRPr="00EA1794">
        <w:rPr>
          <w:rFonts w:ascii="Arial" w:hAnsi="Arial" w:cs="Arial"/>
          <w:sz w:val="20"/>
        </w:rPr>
        <w:t>B.</w:t>
      </w:r>
      <w:r w:rsidRPr="00EA1794">
        <w:rPr>
          <w:rFonts w:ascii="Arial" w:hAnsi="Arial" w:cs="Arial"/>
          <w:sz w:val="20"/>
        </w:rPr>
        <w:tab/>
        <w:t>Application Packaging, Submittal and Process</w:t>
      </w:r>
      <w:r w:rsidRPr="00EA1794">
        <w:rPr>
          <w:rFonts w:ascii="Arial" w:hAnsi="Arial" w:cs="Arial"/>
          <w:sz w:val="20"/>
        </w:rPr>
        <w:tab/>
      </w:r>
      <w:r>
        <w:rPr>
          <w:rFonts w:ascii="Arial" w:hAnsi="Arial" w:cs="Arial"/>
          <w:spacing w:val="-3"/>
          <w:sz w:val="20"/>
        </w:rPr>
        <w:t>3</w:t>
      </w:r>
    </w:p>
    <w:p w:rsidR="00C15CBF" w:rsidRPr="00EA1794" w:rsidRDefault="00C15CBF" w:rsidP="00C15CBF">
      <w:pPr>
        <w:tabs>
          <w:tab w:val="left" w:pos="720"/>
          <w:tab w:val="right" w:leader="dot" w:pos="9360"/>
        </w:tabs>
        <w:suppressAutoHyphens/>
        <w:spacing w:line="227" w:lineRule="auto"/>
        <w:rPr>
          <w:rFonts w:ascii="Arial" w:hAnsi="Arial" w:cs="Arial"/>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C</w:t>
      </w:r>
      <w:r w:rsidRPr="00EA1794">
        <w:rPr>
          <w:rFonts w:ascii="Arial" w:hAnsi="Arial" w:cs="Arial"/>
          <w:spacing w:val="-3"/>
          <w:sz w:val="20"/>
        </w:rPr>
        <w:t>.</w:t>
      </w:r>
      <w:r w:rsidRPr="00EA1794">
        <w:rPr>
          <w:rFonts w:ascii="Arial" w:hAnsi="Arial" w:cs="Arial"/>
          <w:spacing w:val="-3"/>
          <w:sz w:val="20"/>
        </w:rPr>
        <w:tab/>
        <w:t xml:space="preserve">Application </w:t>
      </w:r>
      <w:r>
        <w:rPr>
          <w:rFonts w:ascii="Arial" w:hAnsi="Arial" w:cs="Arial"/>
          <w:spacing w:val="-3"/>
          <w:sz w:val="20"/>
        </w:rPr>
        <w:t>Technical Assistance</w:t>
      </w:r>
      <w:r w:rsidRPr="00EA1794">
        <w:rPr>
          <w:rFonts w:ascii="Arial" w:hAnsi="Arial" w:cs="Arial"/>
          <w:spacing w:val="-3"/>
          <w:sz w:val="20"/>
        </w:rPr>
        <w:tab/>
      </w:r>
      <w:r w:rsidRPr="00EA1794">
        <w:rPr>
          <w:rFonts w:ascii="Arial" w:hAnsi="Arial" w:cs="Arial"/>
          <w:sz w:val="20"/>
        </w:rPr>
        <w:t>4</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D</w:t>
      </w:r>
      <w:r w:rsidRPr="00EA1794">
        <w:rPr>
          <w:rFonts w:ascii="Arial" w:hAnsi="Arial" w:cs="Arial"/>
          <w:spacing w:val="-3"/>
          <w:sz w:val="20"/>
        </w:rPr>
        <w:t>.</w:t>
      </w:r>
      <w:r w:rsidRPr="00EA1794">
        <w:rPr>
          <w:rFonts w:ascii="Arial" w:hAnsi="Arial" w:cs="Arial"/>
          <w:spacing w:val="-3"/>
          <w:sz w:val="20"/>
        </w:rPr>
        <w:tab/>
        <w:t>Program Summary</w:t>
      </w:r>
      <w:r w:rsidRPr="00EA1794">
        <w:rPr>
          <w:rFonts w:ascii="Arial" w:hAnsi="Arial" w:cs="Arial"/>
          <w:spacing w:val="-3"/>
          <w:sz w:val="20"/>
        </w:rPr>
        <w:tab/>
      </w:r>
      <w:r>
        <w:rPr>
          <w:rFonts w:ascii="Arial" w:hAnsi="Arial" w:cs="Arial"/>
          <w:spacing w:val="-3"/>
          <w:sz w:val="20"/>
        </w:rPr>
        <w:t>4</w:t>
      </w:r>
    </w:p>
    <w:p w:rsidR="00C15CBF" w:rsidRPr="00EA1794" w:rsidRDefault="00C15CBF" w:rsidP="00C15CBF">
      <w:pPr>
        <w:tabs>
          <w:tab w:val="left" w:pos="720"/>
          <w:tab w:val="right" w:pos="3600"/>
          <w:tab w:val="right" w:leader="dot" w:pos="9360"/>
        </w:tabs>
        <w:suppressAutoHyphens/>
        <w:spacing w:line="227" w:lineRule="auto"/>
        <w:rPr>
          <w:rFonts w:ascii="Arial" w:hAnsi="Arial" w:cs="Arial"/>
          <w:spacing w:val="-3"/>
          <w:sz w:val="20"/>
        </w:rPr>
      </w:pPr>
    </w:p>
    <w:p w:rsidR="00C15CBF" w:rsidRPr="00EA1794" w:rsidRDefault="005119ED"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E.</w:t>
      </w:r>
      <w:r>
        <w:rPr>
          <w:rFonts w:ascii="Arial" w:hAnsi="Arial" w:cs="Arial"/>
          <w:spacing w:val="-3"/>
          <w:sz w:val="20"/>
        </w:rPr>
        <w:tab/>
        <w:t>Legal Authority</w:t>
      </w:r>
      <w:r>
        <w:rPr>
          <w:rFonts w:ascii="Arial" w:hAnsi="Arial" w:cs="Arial"/>
          <w:spacing w:val="-3"/>
          <w:sz w:val="20"/>
        </w:rPr>
        <w:tab/>
        <w:t>5</w:t>
      </w:r>
    </w:p>
    <w:p w:rsidR="00C15CBF" w:rsidRDefault="00C15CBF" w:rsidP="00C15CBF">
      <w:pPr>
        <w:tabs>
          <w:tab w:val="left" w:pos="720"/>
          <w:tab w:val="right" w:leader="dot" w:pos="9360"/>
        </w:tabs>
        <w:rPr>
          <w:rFonts w:ascii="Arial" w:hAnsi="Arial" w:cs="Arial"/>
          <w:sz w:val="20"/>
        </w:rPr>
      </w:pPr>
    </w:p>
    <w:p w:rsidR="00C15CBF" w:rsidRPr="00EA1794" w:rsidRDefault="00C15CBF" w:rsidP="00C15CBF">
      <w:pPr>
        <w:tabs>
          <w:tab w:val="left" w:pos="720"/>
          <w:tab w:val="right" w:leader="dot" w:pos="9360"/>
        </w:tabs>
        <w:rPr>
          <w:rFonts w:ascii="Arial" w:hAnsi="Arial" w:cs="Arial"/>
          <w:sz w:val="20"/>
        </w:rPr>
      </w:pPr>
      <w:r>
        <w:rPr>
          <w:rFonts w:ascii="Arial" w:hAnsi="Arial" w:cs="Arial"/>
          <w:sz w:val="20"/>
        </w:rPr>
        <w:t>F</w:t>
      </w:r>
      <w:r w:rsidRPr="00EA1794">
        <w:rPr>
          <w:rFonts w:ascii="Arial" w:hAnsi="Arial" w:cs="Arial"/>
          <w:sz w:val="20"/>
        </w:rPr>
        <w:t>.</w:t>
      </w:r>
      <w:r w:rsidRPr="00EA1794">
        <w:rPr>
          <w:rFonts w:ascii="Arial" w:hAnsi="Arial" w:cs="Arial"/>
          <w:sz w:val="20"/>
        </w:rPr>
        <w:tab/>
      </w:r>
      <w:r>
        <w:rPr>
          <w:rFonts w:ascii="Arial" w:hAnsi="Arial" w:cs="Arial"/>
          <w:spacing w:val="-3"/>
          <w:sz w:val="20"/>
        </w:rPr>
        <w:t>Definitions</w:t>
      </w:r>
      <w:r w:rsidRPr="00EA1794">
        <w:rPr>
          <w:rFonts w:ascii="Arial" w:hAnsi="Arial" w:cs="Arial"/>
          <w:spacing w:val="-3"/>
          <w:sz w:val="20"/>
        </w:rPr>
        <w:tab/>
      </w:r>
      <w:r w:rsidR="005119ED">
        <w:rPr>
          <w:rFonts w:ascii="Arial" w:hAnsi="Arial" w:cs="Arial"/>
          <w:spacing w:val="-3"/>
          <w:sz w:val="20"/>
        </w:rPr>
        <w:t>5</w:t>
      </w:r>
    </w:p>
    <w:p w:rsidR="00C15CBF" w:rsidRPr="00EA1794" w:rsidRDefault="00C15CBF" w:rsidP="00C15CBF">
      <w:pPr>
        <w:tabs>
          <w:tab w:val="left" w:pos="720"/>
          <w:tab w:val="righ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sidRPr="00EA1794">
        <w:rPr>
          <w:rFonts w:ascii="Arial" w:hAnsi="Arial" w:cs="Arial"/>
          <w:spacing w:val="-3"/>
          <w:sz w:val="20"/>
        </w:rPr>
        <w:t>G.</w:t>
      </w:r>
      <w:r w:rsidRPr="00EA1794">
        <w:rPr>
          <w:rFonts w:ascii="Arial" w:hAnsi="Arial" w:cs="Arial"/>
          <w:spacing w:val="-3"/>
          <w:sz w:val="20"/>
        </w:rPr>
        <w:tab/>
      </w:r>
      <w:r w:rsidR="005119ED">
        <w:rPr>
          <w:rFonts w:ascii="Arial" w:hAnsi="Arial" w:cs="Arial"/>
          <w:spacing w:val="-3"/>
          <w:sz w:val="20"/>
        </w:rPr>
        <w:t xml:space="preserve">Applicant, </w:t>
      </w:r>
      <w:r>
        <w:rPr>
          <w:rFonts w:ascii="Arial" w:hAnsi="Arial" w:cs="Arial"/>
          <w:spacing w:val="-3"/>
          <w:sz w:val="20"/>
        </w:rPr>
        <w:t>Sponsor, Service Provider and Management Agent Requirements</w:t>
      </w:r>
      <w:r w:rsidRPr="00EA1794">
        <w:rPr>
          <w:rFonts w:ascii="Arial" w:hAnsi="Arial" w:cs="Arial"/>
          <w:spacing w:val="-3"/>
          <w:sz w:val="20"/>
        </w:rPr>
        <w:tab/>
      </w:r>
      <w:r w:rsidR="005119ED">
        <w:rPr>
          <w:rFonts w:ascii="Arial" w:hAnsi="Arial" w:cs="Arial"/>
          <w:spacing w:val="-3"/>
          <w:sz w:val="20"/>
        </w:rPr>
        <w:t>7</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H</w:t>
      </w:r>
      <w:r w:rsidR="005119ED">
        <w:rPr>
          <w:rFonts w:ascii="Arial" w:hAnsi="Arial" w:cs="Arial"/>
          <w:spacing w:val="-3"/>
          <w:sz w:val="20"/>
        </w:rPr>
        <w:t>.</w:t>
      </w:r>
      <w:r w:rsidR="005119ED">
        <w:rPr>
          <w:rFonts w:ascii="Arial" w:hAnsi="Arial" w:cs="Arial"/>
          <w:spacing w:val="-3"/>
          <w:sz w:val="20"/>
        </w:rPr>
        <w:tab/>
        <w:t>Eligible Uses of Funds</w:t>
      </w:r>
      <w:r w:rsidR="005119ED">
        <w:rPr>
          <w:rFonts w:ascii="Arial" w:hAnsi="Arial" w:cs="Arial"/>
          <w:spacing w:val="-3"/>
          <w:sz w:val="20"/>
        </w:rPr>
        <w:tab/>
        <w:t>8</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I</w:t>
      </w:r>
      <w:r w:rsidRPr="00EA1794">
        <w:rPr>
          <w:rFonts w:ascii="Arial" w:hAnsi="Arial" w:cs="Arial"/>
          <w:spacing w:val="-3"/>
          <w:sz w:val="20"/>
        </w:rPr>
        <w:t>.</w:t>
      </w:r>
      <w:r w:rsidRPr="00EA1794">
        <w:rPr>
          <w:rFonts w:ascii="Arial" w:hAnsi="Arial" w:cs="Arial"/>
          <w:spacing w:val="-3"/>
          <w:sz w:val="20"/>
        </w:rPr>
        <w:tab/>
        <w:t>Eligible Projects</w:t>
      </w:r>
      <w:r w:rsidRPr="00EA1794">
        <w:rPr>
          <w:rFonts w:ascii="Arial" w:hAnsi="Arial" w:cs="Arial"/>
          <w:spacing w:val="-3"/>
          <w:sz w:val="20"/>
        </w:rPr>
        <w:tab/>
      </w:r>
      <w:r w:rsidR="005119ED">
        <w:rPr>
          <w:rFonts w:ascii="Arial" w:hAnsi="Arial" w:cs="Arial"/>
          <w:spacing w:val="-3"/>
          <w:sz w:val="20"/>
        </w:rPr>
        <w:t>10</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J</w:t>
      </w:r>
      <w:r w:rsidRPr="00EA1794">
        <w:rPr>
          <w:rFonts w:ascii="Arial" w:hAnsi="Arial" w:cs="Arial"/>
          <w:spacing w:val="-3"/>
          <w:sz w:val="20"/>
        </w:rPr>
        <w:t>.</w:t>
      </w:r>
      <w:r w:rsidRPr="00EA1794">
        <w:rPr>
          <w:rFonts w:ascii="Arial" w:hAnsi="Arial" w:cs="Arial"/>
          <w:spacing w:val="-3"/>
          <w:sz w:val="20"/>
        </w:rPr>
        <w:tab/>
        <w:t>Projects with Extraordinarily High Development Costs</w:t>
      </w:r>
      <w:r w:rsidRPr="00EA1794">
        <w:rPr>
          <w:rFonts w:ascii="Arial" w:hAnsi="Arial" w:cs="Arial"/>
          <w:spacing w:val="-3"/>
          <w:sz w:val="20"/>
        </w:rPr>
        <w:tab/>
      </w:r>
      <w:r w:rsidR="005119ED">
        <w:rPr>
          <w:rFonts w:ascii="Arial" w:hAnsi="Arial" w:cs="Arial"/>
          <w:spacing w:val="-3"/>
          <w:sz w:val="20"/>
        </w:rPr>
        <w:t>11</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K</w:t>
      </w:r>
      <w:r w:rsidRPr="00EA1794">
        <w:rPr>
          <w:rFonts w:ascii="Arial" w:hAnsi="Arial" w:cs="Arial"/>
          <w:spacing w:val="-3"/>
          <w:sz w:val="20"/>
        </w:rPr>
        <w:t>.</w:t>
      </w:r>
      <w:r w:rsidRPr="00EA1794">
        <w:rPr>
          <w:rFonts w:ascii="Arial" w:hAnsi="Arial" w:cs="Arial"/>
          <w:spacing w:val="-3"/>
          <w:sz w:val="20"/>
        </w:rPr>
        <w:tab/>
        <w:t>Maximum Loan Amounts</w:t>
      </w:r>
      <w:r w:rsidRPr="00EA1794">
        <w:rPr>
          <w:rFonts w:ascii="Arial" w:hAnsi="Arial" w:cs="Arial"/>
          <w:spacing w:val="-3"/>
          <w:sz w:val="20"/>
        </w:rPr>
        <w:tab/>
      </w:r>
      <w:r w:rsidR="005119ED">
        <w:rPr>
          <w:rFonts w:ascii="Arial" w:hAnsi="Arial" w:cs="Arial"/>
          <w:spacing w:val="-3"/>
          <w:sz w:val="20"/>
        </w:rPr>
        <w:t>12</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L</w:t>
      </w:r>
      <w:r w:rsidRPr="00EA1794">
        <w:rPr>
          <w:rFonts w:ascii="Arial" w:hAnsi="Arial" w:cs="Arial"/>
          <w:spacing w:val="-3"/>
          <w:sz w:val="20"/>
        </w:rPr>
        <w:t>.</w:t>
      </w:r>
      <w:r w:rsidRPr="00EA1794">
        <w:rPr>
          <w:rFonts w:ascii="Arial" w:hAnsi="Arial" w:cs="Arial"/>
          <w:spacing w:val="-3"/>
          <w:sz w:val="20"/>
        </w:rPr>
        <w:tab/>
        <w:t>Loan Terms and Security</w:t>
      </w:r>
      <w:r w:rsidRPr="00EA1794">
        <w:rPr>
          <w:rFonts w:ascii="Arial" w:hAnsi="Arial" w:cs="Arial"/>
          <w:spacing w:val="-3"/>
          <w:sz w:val="20"/>
        </w:rPr>
        <w:tab/>
      </w:r>
      <w:r w:rsidR="005119ED">
        <w:rPr>
          <w:rFonts w:ascii="Arial" w:hAnsi="Arial" w:cs="Arial"/>
          <w:spacing w:val="-3"/>
          <w:sz w:val="20"/>
        </w:rPr>
        <w:t>12</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M</w:t>
      </w:r>
      <w:r w:rsidRPr="00EA1794">
        <w:rPr>
          <w:rFonts w:ascii="Arial" w:hAnsi="Arial" w:cs="Arial"/>
          <w:spacing w:val="-3"/>
          <w:sz w:val="20"/>
        </w:rPr>
        <w:t>.</w:t>
      </w:r>
      <w:r w:rsidRPr="00EA1794">
        <w:rPr>
          <w:rFonts w:ascii="Arial" w:hAnsi="Arial" w:cs="Arial"/>
          <w:spacing w:val="-3"/>
          <w:sz w:val="20"/>
        </w:rPr>
        <w:tab/>
      </w:r>
      <w:r w:rsidRPr="00EA1794">
        <w:rPr>
          <w:rFonts w:ascii="Arial" w:hAnsi="Arial" w:cs="Arial"/>
          <w:sz w:val="20"/>
        </w:rPr>
        <w:t>Rent and Occupancy Limits</w:t>
      </w:r>
      <w:r w:rsidRPr="00EA1794">
        <w:rPr>
          <w:rFonts w:ascii="Arial" w:hAnsi="Arial" w:cs="Arial"/>
          <w:sz w:val="20"/>
        </w:rPr>
        <w:tab/>
      </w:r>
      <w:r w:rsidR="005119ED">
        <w:rPr>
          <w:rFonts w:ascii="Arial" w:hAnsi="Arial" w:cs="Arial"/>
          <w:sz w:val="20"/>
        </w:rPr>
        <w:t>13</w:t>
      </w:r>
    </w:p>
    <w:p w:rsidR="00C15CBF" w:rsidRDefault="00C15CBF" w:rsidP="00C15CBF">
      <w:pPr>
        <w:tabs>
          <w:tab w:val="left" w:pos="720"/>
          <w:tab w:val="right" w:leader="dot" w:pos="9360"/>
        </w:tabs>
        <w:suppressAutoHyphens/>
        <w:spacing w:line="227" w:lineRule="auto"/>
        <w:rPr>
          <w:rFonts w:ascii="Arial" w:hAnsi="Arial" w:cs="Arial"/>
          <w:spacing w:val="-3"/>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pacing w:val="-3"/>
          <w:sz w:val="20"/>
        </w:rPr>
        <w:t>N</w:t>
      </w:r>
      <w:r w:rsidRPr="00EA1794">
        <w:rPr>
          <w:rFonts w:ascii="Arial" w:hAnsi="Arial" w:cs="Arial"/>
          <w:spacing w:val="-3"/>
          <w:sz w:val="20"/>
        </w:rPr>
        <w:t>.</w:t>
      </w:r>
      <w:r w:rsidRPr="00EA1794">
        <w:rPr>
          <w:rFonts w:ascii="Arial" w:hAnsi="Arial" w:cs="Arial"/>
          <w:spacing w:val="-3"/>
          <w:sz w:val="20"/>
        </w:rPr>
        <w:tab/>
      </w:r>
      <w:r w:rsidRPr="00EA1794">
        <w:rPr>
          <w:rFonts w:ascii="Arial" w:hAnsi="Arial" w:cs="Arial"/>
          <w:sz w:val="20"/>
        </w:rPr>
        <w:t>Developer Fee and Distribution Limitations</w:t>
      </w:r>
      <w:r w:rsidRPr="00EA1794">
        <w:rPr>
          <w:rFonts w:ascii="Arial" w:hAnsi="Arial" w:cs="Arial"/>
          <w:sz w:val="20"/>
        </w:rPr>
        <w:tab/>
      </w:r>
      <w:r w:rsidR="005119ED">
        <w:rPr>
          <w:rFonts w:ascii="Arial" w:hAnsi="Arial" w:cs="Arial"/>
          <w:spacing w:val="-3"/>
          <w:sz w:val="20"/>
        </w:rPr>
        <w:t>14</w:t>
      </w:r>
    </w:p>
    <w:p w:rsidR="00C15CBF" w:rsidRDefault="00C15CBF" w:rsidP="00C15CBF">
      <w:pPr>
        <w:tabs>
          <w:tab w:val="left" w:pos="720"/>
          <w:tab w:val="right" w:leader="dot" w:pos="9360"/>
        </w:tabs>
        <w:rPr>
          <w:rFonts w:ascii="Arial" w:hAnsi="Arial" w:cs="Arial"/>
          <w:sz w:val="20"/>
        </w:rPr>
      </w:pPr>
    </w:p>
    <w:p w:rsidR="00C15CBF" w:rsidRPr="00EA1794" w:rsidRDefault="00C15CBF" w:rsidP="00C15CBF">
      <w:pPr>
        <w:tabs>
          <w:tab w:val="left" w:pos="720"/>
          <w:tab w:val="right" w:leader="dot" w:pos="9360"/>
        </w:tabs>
        <w:rPr>
          <w:rFonts w:ascii="Arial" w:hAnsi="Arial" w:cs="Arial"/>
          <w:sz w:val="20"/>
        </w:rPr>
      </w:pPr>
      <w:r>
        <w:rPr>
          <w:rFonts w:ascii="Arial" w:hAnsi="Arial" w:cs="Arial"/>
          <w:sz w:val="20"/>
        </w:rPr>
        <w:t>O.</w:t>
      </w:r>
      <w:r>
        <w:rPr>
          <w:rFonts w:ascii="Arial" w:hAnsi="Arial" w:cs="Arial"/>
          <w:sz w:val="20"/>
        </w:rPr>
        <w:tab/>
        <w:t>Other Project Requirements</w:t>
      </w:r>
      <w:r w:rsidRPr="00EA1794">
        <w:rPr>
          <w:rFonts w:ascii="Arial" w:hAnsi="Arial" w:cs="Arial"/>
          <w:sz w:val="20"/>
        </w:rPr>
        <w:tab/>
      </w:r>
      <w:r w:rsidR="006E1A98">
        <w:rPr>
          <w:rFonts w:ascii="Arial" w:hAnsi="Arial" w:cs="Arial"/>
          <w:sz w:val="20"/>
        </w:rPr>
        <w:t>15</w:t>
      </w:r>
    </w:p>
    <w:p w:rsidR="00C15CBF" w:rsidRDefault="00C15CBF" w:rsidP="00C15CBF">
      <w:pPr>
        <w:tabs>
          <w:tab w:val="left" w:pos="720"/>
          <w:tab w:val="right" w:leader="dot" w:pos="9360"/>
        </w:tabs>
        <w:rPr>
          <w:rFonts w:ascii="Arial" w:hAnsi="Arial" w:cs="Arial"/>
          <w:sz w:val="20"/>
        </w:rPr>
      </w:pPr>
    </w:p>
    <w:p w:rsidR="00C15CBF" w:rsidRPr="00EA1794" w:rsidRDefault="00C15CBF" w:rsidP="00C15CBF">
      <w:pPr>
        <w:tabs>
          <w:tab w:val="left" w:pos="720"/>
          <w:tab w:val="right" w:leader="dot" w:pos="9360"/>
        </w:tabs>
        <w:rPr>
          <w:rFonts w:ascii="Arial" w:hAnsi="Arial" w:cs="Arial"/>
          <w:sz w:val="20"/>
        </w:rPr>
      </w:pPr>
      <w:r>
        <w:rPr>
          <w:rFonts w:ascii="Arial" w:hAnsi="Arial" w:cs="Arial"/>
          <w:sz w:val="20"/>
        </w:rPr>
        <w:t>P</w:t>
      </w:r>
      <w:r w:rsidRPr="00EA1794">
        <w:rPr>
          <w:rFonts w:ascii="Arial" w:hAnsi="Arial" w:cs="Arial"/>
          <w:sz w:val="20"/>
        </w:rPr>
        <w:t>.</w:t>
      </w:r>
      <w:r w:rsidRPr="00EA1794">
        <w:rPr>
          <w:rFonts w:ascii="Arial" w:hAnsi="Arial" w:cs="Arial"/>
          <w:sz w:val="20"/>
        </w:rPr>
        <w:tab/>
      </w:r>
      <w:r w:rsidRPr="00EA1794">
        <w:rPr>
          <w:rFonts w:ascii="Arial" w:hAnsi="Arial" w:cs="Arial"/>
          <w:spacing w:val="-3"/>
          <w:sz w:val="20"/>
        </w:rPr>
        <w:t>Supportive Service and Property Management Requirements</w:t>
      </w:r>
      <w:r w:rsidRPr="00EA1794">
        <w:rPr>
          <w:rFonts w:ascii="Arial" w:hAnsi="Arial" w:cs="Arial"/>
          <w:sz w:val="20"/>
        </w:rPr>
        <w:tab/>
        <w:t>1</w:t>
      </w:r>
      <w:r w:rsidR="005119ED">
        <w:rPr>
          <w:rFonts w:ascii="Arial" w:hAnsi="Arial" w:cs="Arial"/>
          <w:sz w:val="20"/>
        </w:rPr>
        <w:t>6</w:t>
      </w:r>
    </w:p>
    <w:p w:rsidR="00C15CBF" w:rsidRDefault="00C15CBF" w:rsidP="00C15CBF">
      <w:pPr>
        <w:tabs>
          <w:tab w:val="left" w:pos="720"/>
          <w:tab w:val="right" w:leader="dot" w:pos="9360"/>
        </w:tabs>
        <w:overflowPunct/>
        <w:autoSpaceDE/>
        <w:autoSpaceDN/>
        <w:adjustRightInd/>
        <w:textAlignment w:val="auto"/>
        <w:rPr>
          <w:rFonts w:ascii="Arial" w:hAnsi="Arial" w:cs="Arial"/>
          <w:sz w:val="20"/>
        </w:rPr>
      </w:pPr>
    </w:p>
    <w:p w:rsidR="00C15CBF" w:rsidRDefault="00C15CBF" w:rsidP="00C15CBF">
      <w:pPr>
        <w:tabs>
          <w:tab w:val="left" w:pos="720"/>
          <w:tab w:val="right" w:leader="dot" w:pos="9360"/>
        </w:tabs>
        <w:overflowPunct/>
        <w:autoSpaceDE/>
        <w:autoSpaceDN/>
        <w:adjustRightInd/>
        <w:textAlignment w:val="auto"/>
        <w:rPr>
          <w:rFonts w:ascii="Arial" w:hAnsi="Arial" w:cs="Arial"/>
          <w:sz w:val="20"/>
        </w:rPr>
      </w:pPr>
      <w:r>
        <w:rPr>
          <w:rFonts w:ascii="Arial" w:hAnsi="Arial" w:cs="Arial"/>
          <w:sz w:val="20"/>
        </w:rPr>
        <w:t>Q.</w:t>
      </w:r>
      <w:r>
        <w:rPr>
          <w:rFonts w:ascii="Arial" w:hAnsi="Arial" w:cs="Arial"/>
          <w:sz w:val="20"/>
        </w:rPr>
        <w:tab/>
        <w:t>Housing First Practices</w:t>
      </w:r>
      <w:r w:rsidR="00C317B1">
        <w:rPr>
          <w:rFonts w:ascii="Arial" w:hAnsi="Arial" w:cs="Arial"/>
          <w:sz w:val="20"/>
        </w:rPr>
        <w:t xml:space="preserve"> and Tenant Selection</w:t>
      </w:r>
      <w:r>
        <w:rPr>
          <w:rFonts w:ascii="Arial" w:hAnsi="Arial" w:cs="Arial"/>
          <w:sz w:val="20"/>
        </w:rPr>
        <w:t>……</w:t>
      </w:r>
      <w:r w:rsidR="00C317B1">
        <w:rPr>
          <w:rFonts w:ascii="Arial" w:hAnsi="Arial" w:cs="Arial"/>
          <w:sz w:val="20"/>
        </w:rPr>
        <w:t>……………….</w:t>
      </w:r>
      <w:r>
        <w:rPr>
          <w:rFonts w:ascii="Arial" w:hAnsi="Arial" w:cs="Arial"/>
          <w:sz w:val="20"/>
        </w:rPr>
        <w:t>………………………………</w:t>
      </w:r>
      <w:r w:rsidR="005119ED">
        <w:rPr>
          <w:rFonts w:ascii="Arial" w:hAnsi="Arial" w:cs="Arial"/>
          <w:sz w:val="20"/>
        </w:rPr>
        <w:t>…..17</w:t>
      </w:r>
    </w:p>
    <w:p w:rsidR="00C15CBF" w:rsidRDefault="00C15CBF" w:rsidP="00C15CBF">
      <w:pPr>
        <w:tabs>
          <w:tab w:val="left" w:pos="720"/>
          <w:tab w:val="right" w:leader="dot" w:pos="9360"/>
        </w:tabs>
        <w:overflowPunct/>
        <w:autoSpaceDE/>
        <w:autoSpaceDN/>
        <w:adjustRightInd/>
        <w:textAlignment w:val="auto"/>
        <w:rPr>
          <w:rFonts w:ascii="Arial" w:hAnsi="Arial" w:cs="Arial"/>
          <w:sz w:val="20"/>
        </w:rPr>
      </w:pPr>
    </w:p>
    <w:p w:rsidR="00C15CBF" w:rsidRPr="00EA1794" w:rsidRDefault="00C15CBF" w:rsidP="00C15CBF">
      <w:pPr>
        <w:tabs>
          <w:tab w:val="left" w:pos="720"/>
          <w:tab w:val="right" w:leader="dot" w:pos="9360"/>
        </w:tabs>
        <w:overflowPunct/>
        <w:autoSpaceDE/>
        <w:autoSpaceDN/>
        <w:adjustRightInd/>
        <w:textAlignment w:val="auto"/>
        <w:rPr>
          <w:rFonts w:ascii="Arial" w:hAnsi="Arial" w:cs="Arial"/>
          <w:sz w:val="20"/>
        </w:rPr>
      </w:pPr>
      <w:r>
        <w:rPr>
          <w:rFonts w:ascii="Arial" w:hAnsi="Arial" w:cs="Arial"/>
          <w:sz w:val="20"/>
        </w:rPr>
        <w:t>R</w:t>
      </w:r>
      <w:r w:rsidRPr="00EA1794">
        <w:rPr>
          <w:rFonts w:ascii="Arial" w:hAnsi="Arial" w:cs="Arial"/>
          <w:sz w:val="20"/>
        </w:rPr>
        <w:t>.</w:t>
      </w:r>
      <w:r w:rsidRPr="00EA1794">
        <w:rPr>
          <w:rFonts w:ascii="Arial" w:hAnsi="Arial" w:cs="Arial"/>
          <w:sz w:val="20"/>
        </w:rPr>
        <w:tab/>
        <w:t>Funding Compatibility</w:t>
      </w:r>
      <w:r w:rsidRPr="00EA1794">
        <w:rPr>
          <w:rFonts w:ascii="Arial" w:hAnsi="Arial" w:cs="Arial"/>
          <w:sz w:val="20"/>
        </w:rPr>
        <w:tab/>
        <w:t>1</w:t>
      </w:r>
      <w:r w:rsidR="005119ED">
        <w:rPr>
          <w:rFonts w:ascii="Arial" w:hAnsi="Arial" w:cs="Arial"/>
          <w:sz w:val="20"/>
        </w:rPr>
        <w:t>7</w:t>
      </w:r>
    </w:p>
    <w:p w:rsidR="00C15CBF" w:rsidRDefault="00C15CBF" w:rsidP="00C15CBF">
      <w:pPr>
        <w:tabs>
          <w:tab w:val="left" w:pos="720"/>
          <w:tab w:val="right" w:leader="dot" w:pos="9360"/>
        </w:tabs>
        <w:overflowPunct/>
        <w:autoSpaceDE/>
        <w:autoSpaceDN/>
        <w:adjustRightInd/>
        <w:textAlignment w:val="auto"/>
        <w:rPr>
          <w:rFonts w:ascii="Arial" w:hAnsi="Arial" w:cs="Arial"/>
          <w:sz w:val="20"/>
        </w:rPr>
      </w:pPr>
    </w:p>
    <w:p w:rsidR="00C15CBF" w:rsidRPr="00EA1794" w:rsidRDefault="00C15CBF" w:rsidP="00C15CBF">
      <w:pPr>
        <w:tabs>
          <w:tab w:val="left" w:pos="720"/>
          <w:tab w:val="right" w:leader="dot" w:pos="9360"/>
        </w:tabs>
        <w:overflowPunct/>
        <w:autoSpaceDE/>
        <w:autoSpaceDN/>
        <w:adjustRightInd/>
        <w:textAlignment w:val="auto"/>
        <w:rPr>
          <w:rFonts w:ascii="Arial" w:hAnsi="Arial" w:cs="Arial"/>
          <w:sz w:val="20"/>
        </w:rPr>
      </w:pPr>
      <w:r>
        <w:rPr>
          <w:rFonts w:ascii="Arial" w:hAnsi="Arial" w:cs="Arial"/>
          <w:sz w:val="20"/>
        </w:rPr>
        <w:t>S</w:t>
      </w:r>
      <w:r w:rsidRPr="00EA1794">
        <w:rPr>
          <w:rFonts w:ascii="Arial" w:hAnsi="Arial" w:cs="Arial"/>
          <w:sz w:val="20"/>
        </w:rPr>
        <w:t>.</w:t>
      </w:r>
      <w:r w:rsidRPr="00EA1794">
        <w:rPr>
          <w:rFonts w:ascii="Arial" w:hAnsi="Arial" w:cs="Arial"/>
          <w:sz w:val="20"/>
        </w:rPr>
        <w:tab/>
        <w:t>Important Legal Matters</w:t>
      </w:r>
      <w:r w:rsidRPr="00EA1794">
        <w:rPr>
          <w:rFonts w:ascii="Arial" w:hAnsi="Arial" w:cs="Arial"/>
          <w:sz w:val="20"/>
        </w:rPr>
        <w:tab/>
        <w:t>1</w:t>
      </w:r>
      <w:r w:rsidR="005119ED">
        <w:rPr>
          <w:rFonts w:ascii="Arial" w:hAnsi="Arial" w:cs="Arial"/>
          <w:sz w:val="20"/>
        </w:rPr>
        <w:t>8</w:t>
      </w:r>
    </w:p>
    <w:p w:rsidR="00C15CBF" w:rsidRDefault="00C15CBF" w:rsidP="00C15CBF">
      <w:pPr>
        <w:tabs>
          <w:tab w:val="left" w:pos="720"/>
          <w:tab w:val="right" w:leader="dot" w:pos="9360"/>
        </w:tabs>
        <w:overflowPunct/>
        <w:autoSpaceDE/>
        <w:autoSpaceDN/>
        <w:adjustRightInd/>
        <w:textAlignment w:val="auto"/>
        <w:rPr>
          <w:rFonts w:ascii="Arial" w:hAnsi="Arial" w:cs="Arial"/>
          <w:sz w:val="20"/>
        </w:rPr>
      </w:pPr>
    </w:p>
    <w:p w:rsidR="00C15CBF" w:rsidRPr="00EA1794" w:rsidRDefault="00C15CBF" w:rsidP="00C15CBF">
      <w:pPr>
        <w:tabs>
          <w:tab w:val="left" w:pos="720"/>
          <w:tab w:val="right" w:leader="dot" w:pos="9360"/>
        </w:tabs>
        <w:overflowPunct/>
        <w:autoSpaceDE/>
        <w:autoSpaceDN/>
        <w:adjustRightInd/>
        <w:textAlignment w:val="auto"/>
        <w:rPr>
          <w:rFonts w:ascii="Arial" w:hAnsi="Arial" w:cs="Arial"/>
          <w:sz w:val="20"/>
        </w:rPr>
      </w:pPr>
      <w:r>
        <w:rPr>
          <w:rFonts w:ascii="Arial" w:hAnsi="Arial" w:cs="Arial"/>
          <w:sz w:val="20"/>
        </w:rPr>
        <w:t>T</w:t>
      </w:r>
      <w:r w:rsidRPr="00EA1794">
        <w:rPr>
          <w:rFonts w:ascii="Arial" w:hAnsi="Arial" w:cs="Arial"/>
          <w:sz w:val="20"/>
        </w:rPr>
        <w:t>.</w:t>
      </w:r>
      <w:r w:rsidRPr="00EA1794">
        <w:rPr>
          <w:rFonts w:ascii="Arial" w:hAnsi="Arial" w:cs="Arial"/>
          <w:sz w:val="20"/>
        </w:rPr>
        <w:tab/>
        <w:t xml:space="preserve">Application Point Scoring </w:t>
      </w:r>
      <w:r w:rsidRPr="00EA1794">
        <w:rPr>
          <w:rFonts w:ascii="Arial" w:hAnsi="Arial" w:cs="Arial"/>
          <w:sz w:val="20"/>
        </w:rPr>
        <w:tab/>
        <w:t>1</w:t>
      </w:r>
      <w:r w:rsidR="006E1A98">
        <w:rPr>
          <w:rFonts w:ascii="Arial" w:hAnsi="Arial" w:cs="Arial"/>
          <w:sz w:val="20"/>
        </w:rPr>
        <w:t>9</w:t>
      </w:r>
    </w:p>
    <w:p w:rsidR="00C15CBF" w:rsidRDefault="00C15CBF" w:rsidP="00C15CBF">
      <w:pPr>
        <w:tabs>
          <w:tab w:val="left" w:pos="720"/>
          <w:tab w:val="right" w:leader="dot" w:pos="9360"/>
        </w:tabs>
        <w:overflowPunct/>
        <w:autoSpaceDE/>
        <w:autoSpaceDN/>
        <w:adjustRightInd/>
        <w:textAlignment w:val="auto"/>
        <w:rPr>
          <w:rFonts w:ascii="Arial" w:hAnsi="Arial" w:cs="Arial"/>
          <w:sz w:val="20"/>
        </w:rPr>
      </w:pP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r>
        <w:rPr>
          <w:rFonts w:ascii="Arial" w:hAnsi="Arial" w:cs="Arial"/>
          <w:sz w:val="20"/>
        </w:rPr>
        <w:t>U</w:t>
      </w:r>
      <w:r w:rsidRPr="00EA1794">
        <w:rPr>
          <w:rFonts w:ascii="Arial" w:hAnsi="Arial" w:cs="Arial"/>
          <w:sz w:val="20"/>
        </w:rPr>
        <w:t>.</w:t>
      </w:r>
      <w:r w:rsidRPr="00EA1794">
        <w:rPr>
          <w:rFonts w:ascii="Arial" w:hAnsi="Arial" w:cs="Arial"/>
          <w:sz w:val="20"/>
        </w:rPr>
        <w:tab/>
        <w:t>Disclosure of Application</w:t>
      </w:r>
      <w:r>
        <w:rPr>
          <w:rFonts w:ascii="Arial" w:hAnsi="Arial" w:cs="Arial"/>
          <w:sz w:val="20"/>
        </w:rPr>
        <w:t xml:space="preserve">  </w:t>
      </w:r>
      <w:r w:rsidR="006E1A98">
        <w:rPr>
          <w:rFonts w:ascii="Arial" w:hAnsi="Arial" w:cs="Arial"/>
          <w:sz w:val="20"/>
        </w:rPr>
        <w:tab/>
        <w:t>21</w:t>
      </w:r>
    </w:p>
    <w:p w:rsidR="00C15CBF" w:rsidRPr="00EA1794" w:rsidRDefault="00C15CBF" w:rsidP="00C15CBF">
      <w:pPr>
        <w:tabs>
          <w:tab w:val="left" w:pos="720"/>
          <w:tab w:val="right" w:leader="dot" w:pos="9360"/>
        </w:tabs>
        <w:suppressAutoHyphens/>
        <w:spacing w:line="227" w:lineRule="auto"/>
        <w:rPr>
          <w:rFonts w:ascii="Arial" w:hAnsi="Arial" w:cs="Arial"/>
          <w:spacing w:val="-3"/>
          <w:sz w:val="20"/>
        </w:rPr>
      </w:pPr>
    </w:p>
    <w:p w:rsidR="00C15CBF" w:rsidRDefault="00C15CBF" w:rsidP="00C15CBF">
      <w:pPr>
        <w:tabs>
          <w:tab w:val="left" w:pos="720"/>
          <w:tab w:val="right" w:pos="8640"/>
          <w:tab w:val="left" w:pos="8730"/>
          <w:tab w:val="right" w:pos="9090"/>
          <w:tab w:val="left" w:pos="9270"/>
          <w:tab w:val="right" w:leader="dot" w:pos="9360"/>
        </w:tabs>
        <w:overflowPunct/>
        <w:autoSpaceDE/>
        <w:autoSpaceDN/>
        <w:adjustRightInd/>
        <w:textAlignment w:val="auto"/>
        <w:rPr>
          <w:rFonts w:ascii="Arial" w:hAnsi="Arial" w:cs="Arial"/>
        </w:rPr>
      </w:pPr>
    </w:p>
    <w:p w:rsidR="00C15CBF" w:rsidRPr="009660F5" w:rsidRDefault="00C15CBF" w:rsidP="00C15CBF">
      <w:pPr>
        <w:tabs>
          <w:tab w:val="left" w:pos="360"/>
        </w:tabs>
        <w:suppressAutoHyphens/>
        <w:rPr>
          <w:rFonts w:ascii="Arial" w:hAnsi="Arial" w:cs="Arial"/>
          <w:b/>
        </w:rPr>
      </w:pPr>
      <w:r w:rsidRPr="00CF7E0E">
        <w:rPr>
          <w:rFonts w:ascii="Arial" w:hAnsi="Arial" w:cs="Arial"/>
          <w:sz w:val="20"/>
        </w:rPr>
        <w:t>Attachment 1:  Urban and Nonurban Counties List</w:t>
      </w:r>
      <w:r w:rsidR="00CF7E0E" w:rsidRPr="00CF7E0E">
        <w:rPr>
          <w:rFonts w:ascii="Arial" w:hAnsi="Arial" w:cs="Arial"/>
          <w:sz w:val="20"/>
        </w:rPr>
        <w:t>…………………………………</w:t>
      </w:r>
      <w:r w:rsidR="00CF7E0E">
        <w:rPr>
          <w:rFonts w:ascii="Arial" w:hAnsi="Arial" w:cs="Arial"/>
          <w:sz w:val="20"/>
        </w:rPr>
        <w:t>…………………………..</w:t>
      </w:r>
      <w:r w:rsidR="006E1A98">
        <w:rPr>
          <w:rFonts w:ascii="Arial" w:hAnsi="Arial" w:cs="Arial"/>
          <w:sz w:val="20"/>
        </w:rPr>
        <w:t>22</w:t>
      </w:r>
      <w:r w:rsidRPr="00CF7E0E">
        <w:rPr>
          <w:rFonts w:ascii="Arial" w:hAnsi="Arial" w:cs="Arial"/>
          <w:sz w:val="20"/>
        </w:rPr>
        <w:br w:type="page"/>
      </w:r>
      <w:r w:rsidRPr="002D2319">
        <w:rPr>
          <w:rFonts w:ascii="Arial" w:hAnsi="Arial"/>
          <w:b/>
          <w:spacing w:val="-3"/>
        </w:rPr>
        <w:lastRenderedPageBreak/>
        <w:t>A.</w:t>
      </w:r>
      <w:r w:rsidRPr="008B65BC">
        <w:rPr>
          <w:rFonts w:ascii="Arial" w:hAnsi="Arial"/>
          <w:b/>
          <w:spacing w:val="-3"/>
        </w:rPr>
        <w:tab/>
      </w:r>
      <w:r w:rsidRPr="008B65BC">
        <w:rPr>
          <w:rFonts w:ascii="Arial" w:hAnsi="Arial"/>
          <w:b/>
          <w:spacing w:val="-3"/>
          <w:u w:val="single"/>
        </w:rPr>
        <w:t>Introduction</w:t>
      </w:r>
      <w:r w:rsidRPr="008B65BC">
        <w:rPr>
          <w:rFonts w:ascii="Arial" w:hAnsi="Arial"/>
          <w:b/>
          <w:spacing w:val="-3"/>
        </w:rPr>
        <w:t xml:space="preserve"> </w:t>
      </w:r>
    </w:p>
    <w:p w:rsidR="00C15CBF" w:rsidRPr="008B65BC" w:rsidRDefault="00C15CBF" w:rsidP="00C15CBF">
      <w:pPr>
        <w:ind w:left="720"/>
        <w:jc w:val="both"/>
        <w:rPr>
          <w:rFonts w:ascii="Arial" w:hAnsi="Arial"/>
          <w:spacing w:val="-3"/>
        </w:rPr>
      </w:pPr>
    </w:p>
    <w:p w:rsidR="00C15CBF" w:rsidRDefault="00C15CBF" w:rsidP="00C15CBF">
      <w:pPr>
        <w:keepNext/>
        <w:keepLines/>
        <w:ind w:left="360"/>
        <w:rPr>
          <w:rFonts w:ascii="Arial" w:hAnsi="Arial" w:cs="Arial"/>
          <w:spacing w:val="-3"/>
          <w:szCs w:val="22"/>
        </w:rPr>
      </w:pPr>
      <w:r w:rsidRPr="00CA7BD1">
        <w:rPr>
          <w:rFonts w:ascii="Arial" w:hAnsi="Arial" w:cs="Arial"/>
          <w:spacing w:val="-3"/>
          <w:szCs w:val="22"/>
        </w:rPr>
        <w:t xml:space="preserve">The </w:t>
      </w:r>
      <w:r>
        <w:rPr>
          <w:rFonts w:ascii="Arial" w:hAnsi="Arial" w:cs="Arial"/>
          <w:spacing w:val="-3"/>
          <w:szCs w:val="22"/>
        </w:rPr>
        <w:t>State</w:t>
      </w:r>
      <w:r w:rsidRPr="00CA7BD1">
        <w:rPr>
          <w:rFonts w:ascii="Arial" w:hAnsi="Arial" w:cs="Arial"/>
          <w:spacing w:val="-3"/>
          <w:szCs w:val="22"/>
        </w:rPr>
        <w:t xml:space="preserve"> Department of Housing and Community Development (HCD</w:t>
      </w:r>
      <w:r>
        <w:rPr>
          <w:rFonts w:ascii="Arial" w:hAnsi="Arial" w:cs="Arial"/>
          <w:spacing w:val="-3"/>
          <w:szCs w:val="22"/>
        </w:rPr>
        <w:t xml:space="preserve"> or Department</w:t>
      </w:r>
      <w:r w:rsidRPr="00CA7BD1">
        <w:rPr>
          <w:rFonts w:ascii="Arial" w:hAnsi="Arial" w:cs="Arial"/>
          <w:spacing w:val="-3"/>
          <w:szCs w:val="22"/>
        </w:rPr>
        <w:t xml:space="preserve">) is announcing the availability of approximately </w:t>
      </w:r>
      <w:r w:rsidRPr="008A6DCB">
        <w:rPr>
          <w:rFonts w:ascii="Arial" w:hAnsi="Arial" w:cs="Arial"/>
          <w:spacing w:val="-3"/>
          <w:szCs w:val="22"/>
        </w:rPr>
        <w:t>$</w:t>
      </w:r>
      <w:r>
        <w:rPr>
          <w:rFonts w:ascii="Arial" w:hAnsi="Arial" w:cs="Arial"/>
          <w:spacing w:val="-3"/>
          <w:szCs w:val="22"/>
        </w:rPr>
        <w:t>10</w:t>
      </w:r>
      <w:r w:rsidRPr="00CA7BD1">
        <w:rPr>
          <w:rFonts w:ascii="Arial" w:hAnsi="Arial" w:cs="Arial"/>
          <w:spacing w:val="-3"/>
          <w:szCs w:val="22"/>
        </w:rPr>
        <w:t xml:space="preserve"> million in funding for the </w:t>
      </w:r>
      <w:r>
        <w:rPr>
          <w:rFonts w:ascii="Arial" w:hAnsi="Arial" w:cs="Arial"/>
          <w:spacing w:val="-3"/>
          <w:szCs w:val="22"/>
        </w:rPr>
        <w:t xml:space="preserve">conversion of emergency shelter and transitional housing facilities to permanent supportive housing pursuant to the authority provided in Section 50803 of the Health and Safety Code.  </w:t>
      </w:r>
      <w:r w:rsidRPr="00CA7BD1">
        <w:rPr>
          <w:rFonts w:ascii="Arial" w:hAnsi="Arial" w:cs="Arial"/>
          <w:spacing w:val="-3"/>
          <w:szCs w:val="22"/>
        </w:rPr>
        <w:t xml:space="preserve"> </w:t>
      </w:r>
      <w:r>
        <w:rPr>
          <w:rFonts w:ascii="Arial" w:hAnsi="Arial" w:cs="Arial"/>
          <w:spacing w:val="-3"/>
          <w:szCs w:val="22"/>
        </w:rPr>
        <w:t>The funds will be available on a geographic basis as follows</w:t>
      </w:r>
    </w:p>
    <w:p w:rsidR="00C15CBF" w:rsidRDefault="00C15CBF" w:rsidP="00C15CBF">
      <w:pPr>
        <w:keepNext/>
        <w:keepLines/>
        <w:ind w:left="360"/>
        <w:rPr>
          <w:rFonts w:ascii="Arial" w:hAnsi="Arial" w:cs="Arial"/>
          <w:spacing w:val="-3"/>
          <w:szCs w:val="22"/>
        </w:rPr>
      </w:pPr>
    </w:p>
    <w:p w:rsidR="00C15CBF" w:rsidRDefault="00C15CBF" w:rsidP="00C15CBF">
      <w:pPr>
        <w:tabs>
          <w:tab w:val="right" w:pos="10080"/>
        </w:tabs>
        <w:suppressAutoHyphens/>
        <w:ind w:left="360" w:right="-540"/>
        <w:rPr>
          <w:rFonts w:ascii="Arial" w:hAnsi="Arial" w:cs="Arial"/>
        </w:rPr>
      </w:pPr>
      <w:r>
        <w:rPr>
          <w:rFonts w:ascii="Arial" w:hAnsi="Arial" w:cs="Arial"/>
        </w:rPr>
        <w:t>Urban Counties (population equal to or more than 200,000):  $</w:t>
      </w:r>
      <w:r w:rsidR="00FA74DB">
        <w:rPr>
          <w:rFonts w:ascii="Arial" w:hAnsi="Arial" w:cs="Arial"/>
          <w:color w:val="000000"/>
        </w:rPr>
        <w:t>8,0</w:t>
      </w:r>
      <w:r w:rsidRPr="001D3CAD">
        <w:rPr>
          <w:rFonts w:ascii="Arial" w:hAnsi="Arial" w:cs="Arial"/>
          <w:color w:val="000000"/>
        </w:rPr>
        <w:t>00,000</w:t>
      </w:r>
      <w:r>
        <w:rPr>
          <w:rFonts w:ascii="Arial" w:hAnsi="Arial" w:cs="Arial"/>
        </w:rPr>
        <w:t xml:space="preserve"> (80 percent maximum)</w:t>
      </w:r>
    </w:p>
    <w:p w:rsidR="00C15CBF" w:rsidRDefault="00C15CBF" w:rsidP="00C15CBF">
      <w:pPr>
        <w:tabs>
          <w:tab w:val="right" w:pos="10080"/>
        </w:tabs>
        <w:suppressAutoHyphens/>
        <w:ind w:left="360" w:right="-360"/>
        <w:rPr>
          <w:rFonts w:ascii="Arial" w:hAnsi="Arial" w:cs="Arial"/>
        </w:rPr>
      </w:pPr>
      <w:r>
        <w:rPr>
          <w:rFonts w:ascii="Arial" w:hAnsi="Arial" w:cs="Arial"/>
        </w:rPr>
        <w:t>Non-urban Counties (population less than 200,000):               $</w:t>
      </w:r>
      <w:r w:rsidR="00FA74DB">
        <w:rPr>
          <w:rFonts w:ascii="Arial" w:hAnsi="Arial" w:cs="Arial"/>
          <w:color w:val="000000"/>
        </w:rPr>
        <w:t>2,</w:t>
      </w:r>
      <w:r w:rsidRPr="001D3CAD">
        <w:rPr>
          <w:rFonts w:ascii="Arial" w:hAnsi="Arial" w:cs="Arial"/>
          <w:color w:val="000000"/>
        </w:rPr>
        <w:t>00,000</w:t>
      </w:r>
      <w:r>
        <w:rPr>
          <w:rFonts w:ascii="Arial" w:hAnsi="Arial" w:cs="Arial"/>
        </w:rPr>
        <w:t xml:space="preserve"> (20 percent minimum)</w:t>
      </w:r>
    </w:p>
    <w:p w:rsidR="00C15CBF" w:rsidRDefault="00C15CBF" w:rsidP="00C15CBF">
      <w:pPr>
        <w:tabs>
          <w:tab w:val="right" w:pos="10080"/>
        </w:tabs>
        <w:suppressAutoHyphens/>
        <w:ind w:left="360"/>
        <w:rPr>
          <w:rFonts w:ascii="Arial" w:hAnsi="Arial" w:cs="Arial"/>
        </w:rPr>
      </w:pPr>
    </w:p>
    <w:p w:rsidR="00C15CBF" w:rsidRDefault="00EE4AAC" w:rsidP="00C15CBF">
      <w:pPr>
        <w:tabs>
          <w:tab w:val="right" w:pos="10080"/>
        </w:tabs>
        <w:suppressAutoHyphens/>
        <w:ind w:left="360"/>
        <w:rPr>
          <w:rFonts w:ascii="Arial" w:hAnsi="Arial" w:cs="Arial"/>
        </w:rPr>
      </w:pPr>
      <w:r>
        <w:rPr>
          <w:rFonts w:ascii="Arial" w:hAnsi="Arial" w:cs="Arial"/>
        </w:rPr>
        <w:t>Refer to Attachment 1</w:t>
      </w:r>
      <w:r w:rsidR="00C15CBF">
        <w:rPr>
          <w:rFonts w:ascii="Arial" w:hAnsi="Arial" w:cs="Arial"/>
        </w:rPr>
        <w:t xml:space="preserve"> (Urban and </w:t>
      </w:r>
      <w:r w:rsidR="00C15CBF" w:rsidRPr="00DE1F5B">
        <w:rPr>
          <w:rFonts w:ascii="Arial" w:hAnsi="Arial" w:cs="Arial"/>
        </w:rPr>
        <w:t>Non-Urban Counties List) to determine if your county is urban or non-urban.</w:t>
      </w:r>
      <w:r w:rsidR="00C15CBF">
        <w:rPr>
          <w:rFonts w:ascii="Arial" w:hAnsi="Arial" w:cs="Arial"/>
        </w:rPr>
        <w:t xml:space="preserve"> </w:t>
      </w:r>
    </w:p>
    <w:p w:rsidR="00C15CBF" w:rsidRDefault="00C15CBF" w:rsidP="00C15CBF">
      <w:pPr>
        <w:pStyle w:val="FootnoteText"/>
        <w:widowControl/>
        <w:tabs>
          <w:tab w:val="left" w:pos="-720"/>
          <w:tab w:val="left" w:pos="360"/>
          <w:tab w:val="left" w:pos="720"/>
          <w:tab w:val="left" w:pos="1440"/>
          <w:tab w:val="left" w:pos="2160"/>
          <w:tab w:val="left" w:pos="2880"/>
          <w:tab w:val="left" w:pos="3600"/>
          <w:tab w:val="left" w:pos="4320"/>
        </w:tabs>
        <w:suppressAutoHyphens/>
        <w:overflowPunct/>
        <w:autoSpaceDE/>
        <w:adjustRightInd/>
        <w:ind w:left="720"/>
        <w:rPr>
          <w:rFonts w:ascii="Arial" w:hAnsi="Arial" w:cs="Arial"/>
          <w:i/>
          <w:szCs w:val="24"/>
        </w:rPr>
      </w:pPr>
    </w:p>
    <w:p w:rsidR="00C15CBF" w:rsidRPr="00CA7BD1" w:rsidRDefault="00C15CBF" w:rsidP="00C15CBF">
      <w:pPr>
        <w:keepNext/>
        <w:keepLines/>
        <w:ind w:left="360"/>
        <w:rPr>
          <w:rFonts w:ascii="Arial" w:hAnsi="Arial" w:cs="Arial"/>
          <w:szCs w:val="22"/>
        </w:rPr>
      </w:pPr>
      <w:r>
        <w:rPr>
          <w:rFonts w:ascii="Arial" w:hAnsi="Arial" w:cs="Arial"/>
        </w:rPr>
        <w:t xml:space="preserve">The Department reserves the right to supplement funds based on applicant demand </w:t>
      </w:r>
      <w:r w:rsidRPr="001D3CAD">
        <w:rPr>
          <w:rFonts w:ascii="Arial" w:hAnsi="Arial" w:cs="Arial"/>
          <w:color w:val="000000"/>
        </w:rPr>
        <w:t>and the availability of additional funds</w:t>
      </w:r>
      <w:r>
        <w:rPr>
          <w:rFonts w:ascii="Arial" w:hAnsi="Arial" w:cs="Arial"/>
        </w:rPr>
        <w:t>.  Additionally, if any non-urban funds remain, the Department may reallocat</w:t>
      </w:r>
      <w:r w:rsidR="00FA74DB">
        <w:rPr>
          <w:rFonts w:ascii="Arial" w:hAnsi="Arial" w:cs="Arial"/>
        </w:rPr>
        <w:t>e these funds to urban counties.</w:t>
      </w:r>
    </w:p>
    <w:p w:rsidR="00C15CBF" w:rsidRDefault="00C15CBF" w:rsidP="00C15CBF">
      <w:pPr>
        <w:ind w:left="1440"/>
        <w:rPr>
          <w:rFonts w:ascii="Arial" w:hAnsi="Arial" w:cs="Arial"/>
          <w:szCs w:val="22"/>
        </w:rPr>
      </w:pPr>
    </w:p>
    <w:p w:rsidR="00C15CBF" w:rsidRPr="00737D72" w:rsidRDefault="00FA74DB" w:rsidP="00C15CBF">
      <w:pPr>
        <w:ind w:left="360"/>
        <w:rPr>
          <w:rFonts w:ascii="Arial" w:hAnsi="Arial" w:cs="Arial"/>
          <w:szCs w:val="22"/>
        </w:rPr>
      </w:pPr>
      <w:r w:rsidRPr="00FA74DB">
        <w:rPr>
          <w:rFonts w:ascii="Arial" w:hAnsi="Arial" w:cs="Arial"/>
          <w:szCs w:val="22"/>
          <w:u w:val="single"/>
        </w:rPr>
        <w:t>Conversions Without Additional EHAP</w:t>
      </w:r>
      <w:r w:rsidR="00C901EC">
        <w:rPr>
          <w:rFonts w:ascii="Arial" w:hAnsi="Arial" w:cs="Arial"/>
          <w:szCs w:val="22"/>
          <w:u w:val="single"/>
        </w:rPr>
        <w:t>-</w:t>
      </w:r>
      <w:r w:rsidRPr="00FA74DB">
        <w:rPr>
          <w:rFonts w:ascii="Arial" w:hAnsi="Arial" w:cs="Arial"/>
          <w:szCs w:val="22"/>
          <w:u w:val="single"/>
        </w:rPr>
        <w:t>CD funds</w:t>
      </w:r>
      <w:r>
        <w:rPr>
          <w:rFonts w:ascii="Arial" w:hAnsi="Arial" w:cs="Arial"/>
          <w:szCs w:val="22"/>
        </w:rPr>
        <w:t xml:space="preserve"> </w:t>
      </w:r>
      <w:r w:rsidR="00C15CBF" w:rsidRPr="00FA74DB">
        <w:rPr>
          <w:rFonts w:ascii="Arial" w:hAnsi="Arial" w:cs="Arial"/>
          <w:szCs w:val="22"/>
        </w:rPr>
        <w:t>Pursuant</w:t>
      </w:r>
      <w:r w:rsidR="00C15CBF" w:rsidRPr="00737D72">
        <w:rPr>
          <w:rFonts w:ascii="Arial" w:hAnsi="Arial" w:cs="Arial"/>
          <w:szCs w:val="22"/>
        </w:rPr>
        <w:t xml:space="preserve"> to the authority provided in AB 873 (Chau), </w:t>
      </w:r>
      <w:r w:rsidR="00C15CBF" w:rsidRPr="00737D72">
        <w:t>the Depa</w:t>
      </w:r>
      <w:r>
        <w:t>rtment may allow existing EHAP</w:t>
      </w:r>
      <w:r w:rsidR="00C901EC">
        <w:t>-</w:t>
      </w:r>
      <w:r w:rsidR="00C15CBF" w:rsidRPr="00737D72">
        <w:t>CD projects to convert to permanent housing. W</w:t>
      </w:r>
      <w:r w:rsidR="00C15CBF" w:rsidRPr="00737D72">
        <w:rPr>
          <w:rFonts w:ascii="Arial" w:hAnsi="Arial" w:cs="Arial"/>
          <w:szCs w:val="22"/>
        </w:rPr>
        <w:t>ithin 60 days from issuance of this NOFA, the Department will issue a separate management memo setting forth the conditions for conversion for emergency shelter and transitional housing pro</w:t>
      </w:r>
      <w:r>
        <w:rPr>
          <w:rFonts w:ascii="Arial" w:hAnsi="Arial" w:cs="Arial"/>
          <w:szCs w:val="22"/>
        </w:rPr>
        <w:t>jects previously funded by EHAP</w:t>
      </w:r>
      <w:r w:rsidR="00C901EC">
        <w:rPr>
          <w:rFonts w:ascii="Arial" w:hAnsi="Arial" w:cs="Arial"/>
          <w:szCs w:val="22"/>
        </w:rPr>
        <w:t>-</w:t>
      </w:r>
      <w:r w:rsidR="00C15CBF" w:rsidRPr="00737D72">
        <w:rPr>
          <w:rFonts w:ascii="Arial" w:hAnsi="Arial" w:cs="Arial"/>
          <w:szCs w:val="22"/>
        </w:rPr>
        <w:t xml:space="preserve">CD that now wish to covert to permanent housing but that are </w:t>
      </w:r>
      <w:r w:rsidR="00C15CBF" w:rsidRPr="00737D72">
        <w:rPr>
          <w:rFonts w:ascii="Arial" w:hAnsi="Arial" w:cs="Arial"/>
          <w:szCs w:val="22"/>
          <w:u w:val="single"/>
        </w:rPr>
        <w:t>not</w:t>
      </w:r>
      <w:r w:rsidR="00C15CBF" w:rsidRPr="00737D72">
        <w:rPr>
          <w:rFonts w:ascii="Arial" w:hAnsi="Arial" w:cs="Arial"/>
          <w:szCs w:val="22"/>
        </w:rPr>
        <w:t xml:space="preserve"> requesting funds under this NOFA. </w:t>
      </w:r>
    </w:p>
    <w:p w:rsidR="00C15CBF" w:rsidRPr="00737D72" w:rsidRDefault="00C15CBF" w:rsidP="00C15CBF">
      <w:pPr>
        <w:ind w:left="1800"/>
        <w:rPr>
          <w:rFonts w:ascii="Arial" w:hAnsi="Arial" w:cs="Arial"/>
          <w:szCs w:val="24"/>
        </w:rPr>
      </w:pPr>
      <w:r w:rsidRPr="00737D72">
        <w:rPr>
          <w:rFonts w:ascii="Arial" w:hAnsi="Arial" w:cs="Arial"/>
          <w:szCs w:val="24"/>
        </w:rPr>
        <w:t xml:space="preserve"> </w:t>
      </w:r>
    </w:p>
    <w:p w:rsidR="00C15CBF" w:rsidRPr="006B33B0" w:rsidRDefault="00C15CBF" w:rsidP="00C15CBF">
      <w:pPr>
        <w:tabs>
          <w:tab w:val="left" w:pos="360"/>
        </w:tabs>
        <w:jc w:val="both"/>
        <w:rPr>
          <w:rFonts w:ascii="Arial" w:hAnsi="Arial"/>
          <w:b/>
          <w:szCs w:val="22"/>
        </w:rPr>
      </w:pPr>
      <w:r w:rsidRPr="00737D72">
        <w:rPr>
          <w:rFonts w:ascii="Arial" w:hAnsi="Arial"/>
          <w:b/>
          <w:szCs w:val="22"/>
        </w:rPr>
        <w:t>B.</w:t>
      </w:r>
      <w:r w:rsidRPr="00737D72">
        <w:rPr>
          <w:rFonts w:ascii="Arial" w:hAnsi="Arial"/>
          <w:b/>
          <w:szCs w:val="22"/>
        </w:rPr>
        <w:tab/>
      </w:r>
      <w:r w:rsidRPr="00737D72">
        <w:rPr>
          <w:rFonts w:ascii="Arial" w:hAnsi="Arial"/>
          <w:b/>
          <w:szCs w:val="22"/>
          <w:u w:val="single"/>
        </w:rPr>
        <w:t>Application</w:t>
      </w:r>
      <w:r w:rsidRPr="006B33B0">
        <w:rPr>
          <w:rFonts w:ascii="Arial" w:hAnsi="Arial"/>
          <w:b/>
          <w:szCs w:val="22"/>
          <w:u w:val="single"/>
        </w:rPr>
        <w:t xml:space="preserve"> Packaging and Submittal</w:t>
      </w:r>
    </w:p>
    <w:p w:rsidR="00C15CBF" w:rsidRPr="00BB1789" w:rsidRDefault="00C15CBF" w:rsidP="00C15CBF">
      <w:pPr>
        <w:ind w:left="1440"/>
        <w:jc w:val="both"/>
        <w:rPr>
          <w:rFonts w:ascii="Times New Roman" w:hAnsi="Times New Roman"/>
          <w:b/>
          <w:szCs w:val="24"/>
        </w:rPr>
      </w:pPr>
    </w:p>
    <w:p w:rsidR="00C15CBF" w:rsidRDefault="00C15CBF" w:rsidP="00C15CBF">
      <w:pPr>
        <w:pStyle w:val="Default"/>
        <w:ind w:left="330"/>
      </w:pPr>
      <w:r w:rsidRPr="00CA7BD1">
        <w:rPr>
          <w:szCs w:val="22"/>
        </w:rPr>
        <w:t xml:space="preserve">Applications must be submitted on forms provided or approved by </w:t>
      </w:r>
      <w:r>
        <w:rPr>
          <w:szCs w:val="22"/>
        </w:rPr>
        <w:t>HCD</w:t>
      </w:r>
      <w:r w:rsidRPr="00CA7BD1">
        <w:rPr>
          <w:szCs w:val="22"/>
        </w:rPr>
        <w:t xml:space="preserve">.  Application forms must not be modified.  The </w:t>
      </w:r>
      <w:r>
        <w:rPr>
          <w:szCs w:val="22"/>
        </w:rPr>
        <w:t>a</w:t>
      </w:r>
      <w:r w:rsidRPr="00CA7BD1">
        <w:rPr>
          <w:szCs w:val="22"/>
        </w:rPr>
        <w:t xml:space="preserve">pplication form will be available on </w:t>
      </w:r>
      <w:r>
        <w:rPr>
          <w:szCs w:val="22"/>
        </w:rPr>
        <w:t>HCD</w:t>
      </w:r>
      <w:r w:rsidRPr="00CA7BD1">
        <w:rPr>
          <w:szCs w:val="22"/>
        </w:rPr>
        <w:t>’s website</w:t>
      </w:r>
      <w:r w:rsidR="006B4BA9">
        <w:rPr>
          <w:szCs w:val="22"/>
        </w:rPr>
        <w:t xml:space="preserve"> along with this NOFA.</w:t>
      </w:r>
      <w:r>
        <w:rPr>
          <w:szCs w:val="22"/>
        </w:rPr>
        <w:t xml:space="preserve"> </w:t>
      </w:r>
      <w:r w:rsidRPr="00CA7BD1">
        <w:rPr>
          <w:szCs w:val="22"/>
        </w:rPr>
        <w:t xml:space="preserve">  </w:t>
      </w:r>
      <w:r>
        <w:rPr>
          <w:szCs w:val="22"/>
        </w:rPr>
        <w:t xml:space="preserve">HCD </w:t>
      </w:r>
      <w:r w:rsidRPr="00040430">
        <w:t>will only accept applications through a postal carrier service such as U.S. Postal Service, UPS, Fed Ex or other carrier services that provide date stamp verification</w:t>
      </w:r>
      <w:r>
        <w:t xml:space="preserve"> confirming delivery to HCD’s office at:</w:t>
      </w:r>
    </w:p>
    <w:p w:rsidR="00C15CBF" w:rsidRDefault="00C15CBF" w:rsidP="00C15CBF">
      <w:pPr>
        <w:pStyle w:val="Default"/>
        <w:ind w:left="1440"/>
      </w:pPr>
    </w:p>
    <w:p w:rsidR="00C15CBF" w:rsidRPr="00CA7BD1" w:rsidRDefault="00C15CBF" w:rsidP="00C15CBF">
      <w:pPr>
        <w:keepNext/>
        <w:keepLines/>
        <w:ind w:left="360"/>
        <w:jc w:val="center"/>
        <w:rPr>
          <w:rFonts w:ascii="Arial" w:hAnsi="Arial" w:cs="Arial"/>
          <w:spacing w:val="-3"/>
          <w:szCs w:val="22"/>
        </w:rPr>
      </w:pPr>
      <w:r w:rsidRPr="00237D7C">
        <w:rPr>
          <w:rFonts w:ascii="Arial" w:hAnsi="Arial" w:cs="Arial"/>
          <w:spacing w:val="-3"/>
          <w:szCs w:val="22"/>
        </w:rPr>
        <w:t>Multifamily Housing Program</w:t>
      </w:r>
    </w:p>
    <w:p w:rsidR="00C15CBF" w:rsidRPr="00CA7BD1" w:rsidRDefault="00C15CBF" w:rsidP="00C15CBF">
      <w:pPr>
        <w:keepNext/>
        <w:keepLines/>
        <w:ind w:left="360"/>
        <w:jc w:val="center"/>
        <w:rPr>
          <w:rFonts w:ascii="Arial" w:hAnsi="Arial" w:cs="Arial"/>
          <w:spacing w:val="-3"/>
          <w:szCs w:val="22"/>
        </w:rPr>
      </w:pPr>
      <w:r w:rsidRPr="00CA7BD1">
        <w:rPr>
          <w:rFonts w:ascii="Arial" w:hAnsi="Arial" w:cs="Arial"/>
          <w:spacing w:val="-3"/>
          <w:szCs w:val="22"/>
        </w:rPr>
        <w:t>Department of Housing and Community</w:t>
      </w:r>
      <w:r>
        <w:rPr>
          <w:rFonts w:ascii="Arial" w:hAnsi="Arial" w:cs="Arial"/>
          <w:spacing w:val="-3"/>
          <w:szCs w:val="22"/>
        </w:rPr>
        <w:t xml:space="preserve"> </w:t>
      </w:r>
      <w:r w:rsidRPr="00CA7BD1">
        <w:rPr>
          <w:rFonts w:ascii="Arial" w:hAnsi="Arial" w:cs="Arial"/>
          <w:spacing w:val="-3"/>
          <w:szCs w:val="22"/>
        </w:rPr>
        <w:t>Development</w:t>
      </w:r>
    </w:p>
    <w:p w:rsidR="00C15CBF" w:rsidRPr="00CA7BD1" w:rsidRDefault="00C15CBF" w:rsidP="00C15CBF">
      <w:pPr>
        <w:keepNext/>
        <w:keepLines/>
        <w:ind w:left="360"/>
        <w:jc w:val="center"/>
        <w:rPr>
          <w:rFonts w:ascii="Arial" w:hAnsi="Arial" w:cs="Arial"/>
          <w:spacing w:val="-3"/>
          <w:szCs w:val="22"/>
        </w:rPr>
      </w:pPr>
      <w:r w:rsidRPr="00CA7BD1">
        <w:rPr>
          <w:rFonts w:ascii="Arial" w:hAnsi="Arial" w:cs="Arial"/>
          <w:spacing w:val="-3"/>
          <w:szCs w:val="22"/>
        </w:rPr>
        <w:t>Division of Financial Assistance</w:t>
      </w:r>
    </w:p>
    <w:p w:rsidR="00C15CBF" w:rsidRPr="00CA7BD1" w:rsidRDefault="00C15CBF" w:rsidP="00C15CBF">
      <w:pPr>
        <w:keepNext/>
        <w:keepLines/>
        <w:ind w:left="360"/>
        <w:jc w:val="center"/>
        <w:rPr>
          <w:rFonts w:ascii="Arial" w:hAnsi="Arial" w:cs="Arial"/>
          <w:spacing w:val="-3"/>
          <w:szCs w:val="22"/>
        </w:rPr>
      </w:pPr>
      <w:r>
        <w:rPr>
          <w:rFonts w:ascii="Arial" w:hAnsi="Arial" w:cs="Arial"/>
          <w:spacing w:val="-3"/>
          <w:szCs w:val="22"/>
        </w:rPr>
        <w:t>202</w:t>
      </w:r>
      <w:r w:rsidR="009933C2">
        <w:rPr>
          <w:rFonts w:ascii="Arial" w:hAnsi="Arial" w:cs="Arial"/>
          <w:spacing w:val="-3"/>
          <w:szCs w:val="22"/>
        </w:rPr>
        <w:t>0 W. El Camino Avenue, Suite 500</w:t>
      </w:r>
    </w:p>
    <w:p w:rsidR="00C15CBF" w:rsidRDefault="00C15CBF" w:rsidP="00C15CBF">
      <w:pPr>
        <w:pStyle w:val="Default"/>
        <w:ind w:left="360"/>
        <w:jc w:val="center"/>
      </w:pPr>
      <w:r w:rsidRPr="00CA7BD1">
        <w:rPr>
          <w:spacing w:val="-3"/>
          <w:szCs w:val="22"/>
        </w:rPr>
        <w:t>Sacramento, CA 958</w:t>
      </w:r>
      <w:r>
        <w:rPr>
          <w:spacing w:val="-3"/>
          <w:szCs w:val="22"/>
        </w:rPr>
        <w:t>33</w:t>
      </w:r>
    </w:p>
    <w:p w:rsidR="00C15CBF" w:rsidRDefault="00C15CBF" w:rsidP="00C15CBF">
      <w:pPr>
        <w:pStyle w:val="Default"/>
        <w:ind w:left="1440"/>
      </w:pPr>
    </w:p>
    <w:p w:rsidR="00C15CBF" w:rsidRDefault="00C15CBF" w:rsidP="00C15CBF">
      <w:pPr>
        <w:ind w:left="330"/>
        <w:rPr>
          <w:rFonts w:ascii="Arial" w:hAnsi="Arial" w:cs="Arial"/>
          <w:szCs w:val="24"/>
        </w:rPr>
      </w:pPr>
      <w:r w:rsidRPr="001C0A4D">
        <w:rPr>
          <w:rFonts w:ascii="Arial" w:hAnsi="Arial" w:cs="Arial"/>
          <w:szCs w:val="24"/>
        </w:rPr>
        <w:t xml:space="preserve">A complete original application, plus one copy, must be received by </w:t>
      </w:r>
      <w:r>
        <w:rPr>
          <w:rFonts w:ascii="Arial" w:hAnsi="Arial" w:cs="Arial"/>
          <w:szCs w:val="24"/>
        </w:rPr>
        <w:t xml:space="preserve">HCD </w:t>
      </w:r>
      <w:r w:rsidRPr="001C0A4D">
        <w:rPr>
          <w:rFonts w:ascii="Arial" w:hAnsi="Arial" w:cs="Arial"/>
          <w:szCs w:val="24"/>
        </w:rPr>
        <w:t xml:space="preserve">via postal carrier no later than </w:t>
      </w:r>
      <w:r w:rsidRPr="001C0A4D">
        <w:rPr>
          <w:rFonts w:ascii="Arial" w:hAnsi="Arial" w:cs="Arial"/>
          <w:b/>
          <w:szCs w:val="24"/>
        </w:rPr>
        <w:t xml:space="preserve">5:00 p.m. on </w:t>
      </w:r>
      <w:r w:rsidR="004F08D5">
        <w:rPr>
          <w:rFonts w:ascii="Arial" w:hAnsi="Arial" w:cs="Arial"/>
          <w:b/>
          <w:szCs w:val="24"/>
        </w:rPr>
        <w:t xml:space="preserve">Friday </w:t>
      </w:r>
      <w:r w:rsidR="008A45F5">
        <w:rPr>
          <w:rFonts w:ascii="Arial" w:hAnsi="Arial" w:cs="Arial"/>
          <w:b/>
          <w:szCs w:val="24"/>
        </w:rPr>
        <w:t>May 1, 2015</w:t>
      </w:r>
      <w:r w:rsidR="00FA74DB">
        <w:rPr>
          <w:rFonts w:ascii="Arial" w:hAnsi="Arial" w:cs="Arial"/>
          <w:b/>
          <w:szCs w:val="24"/>
        </w:rPr>
        <w:t>.</w:t>
      </w:r>
      <w:r w:rsidRPr="001C0A4D">
        <w:rPr>
          <w:rFonts w:ascii="Arial" w:hAnsi="Arial" w:cs="Arial"/>
          <w:szCs w:val="24"/>
        </w:rPr>
        <w:t xml:space="preserve">  No facsimiles, late applications, incomplete applications, application revisions, electronically transmitted, or walk</w:t>
      </w:r>
      <w:r>
        <w:rPr>
          <w:rFonts w:ascii="Arial" w:hAnsi="Arial" w:cs="Arial"/>
          <w:szCs w:val="24"/>
        </w:rPr>
        <w:t>-</w:t>
      </w:r>
      <w:r w:rsidRPr="001C0A4D">
        <w:rPr>
          <w:rFonts w:ascii="Arial" w:hAnsi="Arial" w:cs="Arial"/>
          <w:szCs w:val="24"/>
        </w:rPr>
        <w:t xml:space="preserve">in application packages will be accepted.  Applications must </w:t>
      </w:r>
      <w:r w:rsidRPr="001C0A4D">
        <w:rPr>
          <w:rFonts w:ascii="Arial" w:hAnsi="Arial" w:cs="Arial"/>
          <w:szCs w:val="24"/>
        </w:rPr>
        <w:lastRenderedPageBreak/>
        <w:t xml:space="preserve">meet all eligibility requirements upon submission.  Applications having material internal inconsistencies will not be rated and ranked.  For application questions contact any member of the </w:t>
      </w:r>
      <w:r>
        <w:rPr>
          <w:rFonts w:ascii="Arial" w:hAnsi="Arial" w:cs="Arial"/>
          <w:szCs w:val="24"/>
        </w:rPr>
        <w:t>HCD</w:t>
      </w:r>
      <w:r w:rsidRPr="001C0A4D">
        <w:rPr>
          <w:rFonts w:ascii="Arial" w:hAnsi="Arial" w:cs="Arial"/>
          <w:szCs w:val="24"/>
        </w:rPr>
        <w:t xml:space="preserve"> staff as listed in the application.</w:t>
      </w:r>
    </w:p>
    <w:p w:rsidR="00C21B26" w:rsidRDefault="00C21B26" w:rsidP="00C15CBF">
      <w:pPr>
        <w:tabs>
          <w:tab w:val="left" w:pos="360"/>
        </w:tabs>
        <w:jc w:val="both"/>
        <w:rPr>
          <w:rFonts w:ascii="Arial Bold" w:hAnsi="Arial Bold"/>
          <w:b/>
          <w:spacing w:val="-3"/>
        </w:rPr>
      </w:pPr>
    </w:p>
    <w:p w:rsidR="00C15CBF" w:rsidRDefault="00C15CBF" w:rsidP="00C15CBF">
      <w:pPr>
        <w:tabs>
          <w:tab w:val="left" w:pos="360"/>
        </w:tabs>
        <w:jc w:val="both"/>
        <w:rPr>
          <w:rFonts w:ascii="Arial Bold" w:hAnsi="Arial Bold"/>
          <w:b/>
          <w:spacing w:val="-3"/>
          <w:u w:val="single"/>
        </w:rPr>
      </w:pPr>
      <w:r>
        <w:rPr>
          <w:rFonts w:ascii="Arial Bold" w:hAnsi="Arial Bold"/>
          <w:b/>
          <w:spacing w:val="-3"/>
        </w:rPr>
        <w:t>C</w:t>
      </w:r>
      <w:r w:rsidRPr="002D2319">
        <w:rPr>
          <w:rFonts w:ascii="Arial Bold" w:hAnsi="Arial Bold"/>
          <w:b/>
          <w:spacing w:val="-3"/>
        </w:rPr>
        <w:t>.</w:t>
      </w:r>
      <w:r w:rsidRPr="006B33B0">
        <w:rPr>
          <w:rFonts w:ascii="Arial Bold" w:hAnsi="Arial Bold"/>
          <w:b/>
          <w:spacing w:val="-3"/>
        </w:rPr>
        <w:tab/>
      </w:r>
      <w:r w:rsidRPr="006B33B0">
        <w:rPr>
          <w:rFonts w:ascii="Arial Bold" w:hAnsi="Arial Bold"/>
          <w:b/>
          <w:spacing w:val="-3"/>
          <w:u w:val="single"/>
        </w:rPr>
        <w:t xml:space="preserve">Application </w:t>
      </w:r>
      <w:r>
        <w:rPr>
          <w:rFonts w:ascii="Arial Bold" w:hAnsi="Arial Bold"/>
          <w:b/>
          <w:spacing w:val="-3"/>
          <w:u w:val="single"/>
        </w:rPr>
        <w:t>Technical Assistance</w:t>
      </w:r>
    </w:p>
    <w:p w:rsidR="00C15CBF" w:rsidRDefault="00C15CBF" w:rsidP="00C15CBF">
      <w:pPr>
        <w:tabs>
          <w:tab w:val="left" w:pos="360"/>
        </w:tabs>
        <w:jc w:val="both"/>
        <w:rPr>
          <w:rFonts w:ascii="Arial Bold" w:hAnsi="Arial Bold"/>
          <w:b/>
          <w:spacing w:val="-3"/>
          <w:u w:val="single"/>
        </w:rPr>
      </w:pPr>
    </w:p>
    <w:p w:rsidR="00C15CBF" w:rsidRDefault="00C15CBF" w:rsidP="00C15CBF">
      <w:pPr>
        <w:tabs>
          <w:tab w:val="left" w:pos="360"/>
        </w:tabs>
        <w:jc w:val="both"/>
        <w:rPr>
          <w:rFonts w:ascii="Arial" w:hAnsi="Arial"/>
          <w:szCs w:val="22"/>
        </w:rPr>
      </w:pPr>
      <w:r>
        <w:rPr>
          <w:rFonts w:ascii="Arial" w:hAnsi="Arial"/>
          <w:szCs w:val="22"/>
        </w:rPr>
        <w:t xml:space="preserve">In lieu of NOFA and Application trainings, the Department will schedule technical assistance </w:t>
      </w:r>
      <w:r w:rsidR="00516D20">
        <w:rPr>
          <w:rFonts w:ascii="Arial" w:hAnsi="Arial"/>
          <w:szCs w:val="22"/>
        </w:rPr>
        <w:t xml:space="preserve">(TA) </w:t>
      </w:r>
      <w:r>
        <w:rPr>
          <w:rFonts w:ascii="Arial" w:hAnsi="Arial"/>
          <w:szCs w:val="22"/>
        </w:rPr>
        <w:t xml:space="preserve">calls with individual parties to address NOFA and application requirements and project-specific questions. </w:t>
      </w:r>
      <w:r w:rsidR="00516D20">
        <w:rPr>
          <w:rFonts w:ascii="Arial" w:hAnsi="Arial"/>
          <w:szCs w:val="22"/>
        </w:rPr>
        <w:t>If an applicant</w:t>
      </w:r>
      <w:r w:rsidRPr="00B95E6F">
        <w:rPr>
          <w:rFonts w:ascii="Arial" w:hAnsi="Arial"/>
          <w:szCs w:val="22"/>
        </w:rPr>
        <w:t xml:space="preserve"> and </w:t>
      </w:r>
      <w:r>
        <w:rPr>
          <w:rFonts w:ascii="Arial" w:hAnsi="Arial"/>
          <w:szCs w:val="22"/>
        </w:rPr>
        <w:t xml:space="preserve">their </w:t>
      </w:r>
      <w:r w:rsidR="00FA74DB">
        <w:rPr>
          <w:rFonts w:ascii="Arial" w:hAnsi="Arial"/>
          <w:szCs w:val="22"/>
        </w:rPr>
        <w:t>p</w:t>
      </w:r>
      <w:r w:rsidRPr="00B95E6F">
        <w:rPr>
          <w:rFonts w:ascii="Arial" w:hAnsi="Arial"/>
          <w:szCs w:val="22"/>
        </w:rPr>
        <w:t>roject S</w:t>
      </w:r>
      <w:r w:rsidR="00516D20">
        <w:rPr>
          <w:rFonts w:ascii="Arial" w:hAnsi="Arial"/>
          <w:szCs w:val="22"/>
        </w:rPr>
        <w:t>ponsor would like a TA call</w:t>
      </w:r>
      <w:r w:rsidR="00A81C07">
        <w:rPr>
          <w:rFonts w:ascii="Arial" w:hAnsi="Arial"/>
          <w:szCs w:val="22"/>
        </w:rPr>
        <w:t>, please</w:t>
      </w:r>
      <w:r>
        <w:rPr>
          <w:rFonts w:ascii="Arial" w:hAnsi="Arial"/>
          <w:szCs w:val="22"/>
        </w:rPr>
        <w:t xml:space="preserve"> notify the </w:t>
      </w:r>
      <w:r w:rsidR="00516D20">
        <w:rPr>
          <w:rFonts w:ascii="Arial" w:hAnsi="Arial"/>
          <w:szCs w:val="22"/>
        </w:rPr>
        <w:t xml:space="preserve">Department </w:t>
      </w:r>
      <w:r>
        <w:rPr>
          <w:rFonts w:ascii="Arial" w:hAnsi="Arial"/>
          <w:szCs w:val="22"/>
        </w:rPr>
        <w:t xml:space="preserve">so that a TA call can be scheduled. </w:t>
      </w:r>
      <w:r w:rsidR="00CD368E" w:rsidRPr="00F22812">
        <w:rPr>
          <w:rFonts w:ascii="Arial" w:hAnsi="Arial"/>
          <w:szCs w:val="22"/>
        </w:rPr>
        <w:t>Contact Kendra Gubaydullin</w:t>
      </w:r>
      <w:r w:rsidRPr="00F22812">
        <w:rPr>
          <w:rFonts w:ascii="Arial" w:hAnsi="Arial"/>
          <w:szCs w:val="22"/>
        </w:rPr>
        <w:t xml:space="preserve"> at </w:t>
      </w:r>
      <w:hyperlink r:id="rId14" w:history="1">
        <w:r w:rsidR="00CD368E" w:rsidRPr="00F22812">
          <w:rPr>
            <w:rStyle w:val="Hyperlink"/>
            <w:rFonts w:ascii="Arial" w:hAnsi="Arial"/>
            <w:szCs w:val="22"/>
          </w:rPr>
          <w:t>Kendra.Gubaydullin@hcd.ca.gov</w:t>
        </w:r>
      </w:hyperlink>
      <w:r w:rsidR="00F22812" w:rsidRPr="00F22812">
        <w:rPr>
          <w:rFonts w:ascii="Arial" w:hAnsi="Arial"/>
          <w:szCs w:val="22"/>
        </w:rPr>
        <w:t xml:space="preserve"> </w:t>
      </w:r>
      <w:r w:rsidRPr="00F22812">
        <w:rPr>
          <w:rFonts w:ascii="Arial" w:hAnsi="Arial"/>
          <w:szCs w:val="22"/>
        </w:rPr>
        <w:t>to request a TA call.</w:t>
      </w:r>
      <w:r>
        <w:rPr>
          <w:rFonts w:ascii="Arial" w:hAnsi="Arial"/>
          <w:szCs w:val="22"/>
        </w:rPr>
        <w:t xml:space="preserve"> </w:t>
      </w:r>
    </w:p>
    <w:p w:rsidR="00C15CBF" w:rsidRDefault="00C15CBF" w:rsidP="00C15CBF">
      <w:pPr>
        <w:tabs>
          <w:tab w:val="left" w:pos="360"/>
        </w:tabs>
        <w:jc w:val="both"/>
        <w:rPr>
          <w:rFonts w:ascii="Arial" w:hAnsi="Arial"/>
          <w:szCs w:val="22"/>
        </w:rPr>
      </w:pPr>
    </w:p>
    <w:p w:rsidR="00C15CBF" w:rsidRPr="00543805" w:rsidRDefault="00C15CBF" w:rsidP="00C15CBF">
      <w:pPr>
        <w:tabs>
          <w:tab w:val="left" w:pos="360"/>
        </w:tabs>
        <w:jc w:val="both"/>
        <w:rPr>
          <w:rFonts w:ascii="Arial" w:hAnsi="Arial"/>
          <w:szCs w:val="22"/>
          <w:u w:val="single"/>
        </w:rPr>
      </w:pPr>
      <w:r>
        <w:rPr>
          <w:rFonts w:ascii="Arial" w:hAnsi="Arial"/>
          <w:szCs w:val="22"/>
        </w:rPr>
        <w:t xml:space="preserve">Failure to notify the Department of the intention to apply, or failure to request this TA, </w:t>
      </w:r>
      <w:r w:rsidRPr="00543805">
        <w:rPr>
          <w:rFonts w:ascii="Arial" w:hAnsi="Arial"/>
          <w:szCs w:val="22"/>
          <w:u w:val="single"/>
        </w:rPr>
        <w:t>will not</w:t>
      </w:r>
      <w:r>
        <w:rPr>
          <w:rFonts w:ascii="Arial" w:hAnsi="Arial"/>
          <w:szCs w:val="22"/>
        </w:rPr>
        <w:t xml:space="preserve"> prohibit a project from seeking funds under this NOFA.</w:t>
      </w:r>
    </w:p>
    <w:p w:rsidR="00C15CBF" w:rsidRDefault="00C15CBF" w:rsidP="00C15CBF">
      <w:pPr>
        <w:tabs>
          <w:tab w:val="left" w:pos="360"/>
        </w:tabs>
        <w:jc w:val="both"/>
        <w:rPr>
          <w:rFonts w:ascii="Arial" w:hAnsi="Arial" w:cs="Arial"/>
          <w:szCs w:val="22"/>
        </w:rPr>
      </w:pPr>
    </w:p>
    <w:p w:rsidR="00C15CBF" w:rsidRPr="006B33B0" w:rsidRDefault="00C15CBF" w:rsidP="00C15CBF">
      <w:pPr>
        <w:tabs>
          <w:tab w:val="left" w:pos="360"/>
        </w:tabs>
        <w:rPr>
          <w:rFonts w:ascii="Arial Bold" w:hAnsi="Arial Bold"/>
          <w:b/>
          <w:szCs w:val="22"/>
        </w:rPr>
      </w:pPr>
      <w:r>
        <w:rPr>
          <w:rFonts w:ascii="Arial Bold" w:hAnsi="Arial Bold"/>
          <w:b/>
          <w:szCs w:val="22"/>
        </w:rPr>
        <w:t>D</w:t>
      </w:r>
      <w:r w:rsidRPr="002D2319">
        <w:rPr>
          <w:rFonts w:ascii="Arial Bold" w:hAnsi="Arial Bold"/>
          <w:b/>
          <w:szCs w:val="22"/>
        </w:rPr>
        <w:t>.</w:t>
      </w:r>
      <w:r w:rsidRPr="006B33B0">
        <w:rPr>
          <w:rFonts w:ascii="Arial Bold" w:hAnsi="Arial Bold"/>
          <w:b/>
          <w:szCs w:val="22"/>
        </w:rPr>
        <w:tab/>
      </w:r>
      <w:r>
        <w:rPr>
          <w:rFonts w:ascii="Arial Bold" w:hAnsi="Arial Bold"/>
          <w:b/>
          <w:szCs w:val="22"/>
          <w:u w:val="single"/>
        </w:rPr>
        <w:t>Program Summary</w:t>
      </w:r>
    </w:p>
    <w:p w:rsidR="00C15CBF" w:rsidRDefault="00C15CBF" w:rsidP="00C15CBF">
      <w:pPr>
        <w:ind w:left="1440"/>
        <w:rPr>
          <w:rFonts w:ascii="Arial" w:hAnsi="Arial"/>
          <w:szCs w:val="22"/>
        </w:rPr>
      </w:pPr>
    </w:p>
    <w:p w:rsidR="00C15CBF" w:rsidRDefault="00C15CBF" w:rsidP="00C15CBF">
      <w:pPr>
        <w:ind w:left="360"/>
        <w:rPr>
          <w:rFonts w:ascii="Arial" w:hAnsi="Arial"/>
          <w:szCs w:val="22"/>
        </w:rPr>
      </w:pPr>
      <w:r w:rsidRPr="00D3576E">
        <w:rPr>
          <w:rFonts w:ascii="Arial" w:hAnsi="Arial"/>
          <w:szCs w:val="22"/>
        </w:rPr>
        <w:t xml:space="preserve"> </w:t>
      </w:r>
      <w:r>
        <w:rPr>
          <w:rFonts w:ascii="Arial" w:hAnsi="Arial"/>
          <w:szCs w:val="22"/>
        </w:rPr>
        <w:t>EHAP-CD funds available under this NOFA must</w:t>
      </w:r>
      <w:r w:rsidRPr="00D3576E">
        <w:rPr>
          <w:rFonts w:ascii="Arial" w:hAnsi="Arial"/>
          <w:szCs w:val="22"/>
        </w:rPr>
        <w:t xml:space="preserve"> be used </w:t>
      </w:r>
      <w:r>
        <w:rPr>
          <w:rFonts w:ascii="Arial" w:hAnsi="Arial"/>
          <w:szCs w:val="22"/>
        </w:rPr>
        <w:t>for rehabilitation and other eligible project costs associated with th</w:t>
      </w:r>
      <w:r w:rsidR="00FA74DB">
        <w:rPr>
          <w:rFonts w:ascii="Arial" w:hAnsi="Arial"/>
          <w:szCs w:val="22"/>
        </w:rPr>
        <w:t>e conversion of an emergency or</w:t>
      </w:r>
      <w:r>
        <w:rPr>
          <w:rFonts w:ascii="Arial" w:hAnsi="Arial"/>
          <w:szCs w:val="22"/>
        </w:rPr>
        <w:t xml:space="preserve"> transitional housing facility into </w:t>
      </w:r>
      <w:r w:rsidR="00FA74DB">
        <w:rPr>
          <w:rFonts w:ascii="Arial" w:hAnsi="Arial"/>
          <w:szCs w:val="22"/>
        </w:rPr>
        <w:t xml:space="preserve">a </w:t>
      </w:r>
      <w:r>
        <w:rPr>
          <w:rFonts w:ascii="Arial" w:hAnsi="Arial"/>
          <w:szCs w:val="22"/>
        </w:rPr>
        <w:t>Rental Housing Development providing permanent supportive housing to individuals or families who are Homeless or At-risk of Homelessness.</w:t>
      </w:r>
      <w:r w:rsidRPr="00815E12">
        <w:rPr>
          <w:rFonts w:ascii="Arial" w:hAnsi="Arial" w:cs="Arial"/>
          <w:color w:val="000000"/>
        </w:rPr>
        <w:t xml:space="preserve"> </w:t>
      </w:r>
      <w:r w:rsidRPr="008B7215">
        <w:rPr>
          <w:rFonts w:ascii="Arial" w:hAnsi="Arial" w:cs="Arial"/>
          <w:color w:val="000000"/>
        </w:rPr>
        <w:t>At initial occupanc</w:t>
      </w:r>
      <w:r>
        <w:rPr>
          <w:rFonts w:ascii="Arial" w:hAnsi="Arial" w:cs="Arial"/>
          <w:color w:val="000000"/>
        </w:rPr>
        <w:t>y, the tenant household income</w:t>
      </w:r>
      <w:r w:rsidRPr="008B7215">
        <w:rPr>
          <w:rFonts w:ascii="Arial" w:hAnsi="Arial" w:cs="Arial"/>
          <w:color w:val="000000"/>
        </w:rPr>
        <w:t xml:space="preserve"> shall not exceed </w:t>
      </w:r>
      <w:r w:rsidR="00FA74DB">
        <w:rPr>
          <w:rFonts w:ascii="Arial" w:hAnsi="Arial" w:cs="Arial"/>
          <w:color w:val="000000"/>
        </w:rPr>
        <w:t xml:space="preserve">the 30 percent </w:t>
      </w:r>
      <w:r>
        <w:rPr>
          <w:rFonts w:ascii="Arial" w:hAnsi="Arial" w:cs="Arial"/>
          <w:color w:val="000000"/>
        </w:rPr>
        <w:t>Extremely Low Income (ELI)</w:t>
      </w:r>
      <w:r w:rsidR="00FA74DB">
        <w:rPr>
          <w:rFonts w:ascii="Arial" w:hAnsi="Arial" w:cs="Arial"/>
          <w:color w:val="000000"/>
        </w:rPr>
        <w:t xml:space="preserve"> income limit</w:t>
      </w:r>
      <w:r>
        <w:rPr>
          <w:rFonts w:ascii="Arial" w:hAnsi="Arial" w:cs="Arial"/>
          <w:color w:val="000000"/>
        </w:rPr>
        <w:t xml:space="preserve"> for the area. </w:t>
      </w:r>
      <w:r>
        <w:rPr>
          <w:rFonts w:ascii="Arial" w:hAnsi="Arial"/>
          <w:szCs w:val="22"/>
        </w:rPr>
        <w:t xml:space="preserve">  </w:t>
      </w:r>
      <w:r w:rsidRPr="00DA0070">
        <w:rPr>
          <w:rFonts w:ascii="Arial" w:hAnsi="Arial"/>
          <w:szCs w:val="22"/>
        </w:rPr>
        <w:t xml:space="preserve">Project rents shall not exceed </w:t>
      </w:r>
      <w:r w:rsidR="00FA74DB">
        <w:rPr>
          <w:rFonts w:ascii="Arial" w:hAnsi="Arial"/>
          <w:szCs w:val="22"/>
        </w:rPr>
        <w:t xml:space="preserve">the </w:t>
      </w:r>
      <w:r w:rsidRPr="00DA0070">
        <w:rPr>
          <w:rFonts w:ascii="Arial" w:hAnsi="Arial"/>
          <w:szCs w:val="22"/>
        </w:rPr>
        <w:t>30</w:t>
      </w:r>
      <w:r>
        <w:rPr>
          <w:rFonts w:ascii="Arial" w:hAnsi="Arial"/>
          <w:szCs w:val="22"/>
        </w:rPr>
        <w:t xml:space="preserve"> percent ELI </w:t>
      </w:r>
      <w:r w:rsidR="00FA74DB">
        <w:rPr>
          <w:rFonts w:ascii="Arial" w:hAnsi="Arial"/>
          <w:szCs w:val="22"/>
        </w:rPr>
        <w:t>rent limit</w:t>
      </w:r>
      <w:r>
        <w:rPr>
          <w:rFonts w:ascii="Arial" w:hAnsi="Arial"/>
          <w:szCs w:val="22"/>
        </w:rPr>
        <w:t>.</w:t>
      </w:r>
      <w:r w:rsidR="00FA74DB">
        <w:rPr>
          <w:rFonts w:ascii="Arial" w:hAnsi="Arial"/>
          <w:szCs w:val="22"/>
        </w:rPr>
        <w:t xml:space="preserve"> (See NOFA Section M for more information.) </w:t>
      </w:r>
    </w:p>
    <w:p w:rsidR="00C15CBF" w:rsidRDefault="00C15CBF" w:rsidP="00C15CBF">
      <w:pPr>
        <w:ind w:left="360"/>
        <w:rPr>
          <w:rFonts w:ascii="Arial" w:hAnsi="Arial"/>
          <w:szCs w:val="22"/>
        </w:rPr>
      </w:pPr>
    </w:p>
    <w:p w:rsidR="00C15CBF" w:rsidRPr="00B1763B" w:rsidRDefault="00C15CBF" w:rsidP="00C15CBF">
      <w:pPr>
        <w:ind w:left="360"/>
        <w:rPr>
          <w:rFonts w:ascii="Arial" w:hAnsi="Arial" w:cs="Arial"/>
        </w:rPr>
      </w:pPr>
      <w:r w:rsidRPr="00C96B1C">
        <w:rPr>
          <w:rFonts w:ascii="Arial" w:hAnsi="Arial" w:cs="Arial"/>
          <w:b/>
          <w:u w:val="single"/>
        </w:rPr>
        <w:t xml:space="preserve">Projects must </w:t>
      </w:r>
      <w:r>
        <w:rPr>
          <w:rFonts w:ascii="Arial" w:hAnsi="Arial" w:cs="Arial"/>
          <w:b/>
          <w:u w:val="single"/>
        </w:rPr>
        <w:t>score a minimum of 5</w:t>
      </w:r>
      <w:r w:rsidRPr="00C96B1C">
        <w:rPr>
          <w:rFonts w:ascii="Arial" w:hAnsi="Arial" w:cs="Arial"/>
          <w:b/>
          <w:u w:val="single"/>
        </w:rPr>
        <w:t>5 points pursuant to the rating factors in Section T of the NOFA to be considered for funding.</w:t>
      </w:r>
      <w:r>
        <w:rPr>
          <w:rFonts w:ascii="Arial" w:hAnsi="Arial" w:cs="Arial"/>
        </w:rPr>
        <w:t xml:space="preserve"> </w:t>
      </w:r>
      <w:r w:rsidRPr="009D6862">
        <w:rPr>
          <w:rFonts w:ascii="Arial" w:hAnsi="Arial" w:cs="Arial"/>
        </w:rPr>
        <w:t>Depending on applicant demand, up to 80</w:t>
      </w:r>
      <w:r>
        <w:rPr>
          <w:rFonts w:ascii="Arial" w:hAnsi="Arial" w:cs="Arial"/>
        </w:rPr>
        <w:t xml:space="preserve"> percent</w:t>
      </w:r>
      <w:r w:rsidRPr="009D6862">
        <w:rPr>
          <w:rFonts w:ascii="Arial" w:hAnsi="Arial" w:cs="Arial"/>
        </w:rPr>
        <w:t xml:space="preserve"> of the funds will be available to projects located in urban counties, and a minimum of 20</w:t>
      </w:r>
      <w:r>
        <w:rPr>
          <w:rFonts w:ascii="Arial" w:hAnsi="Arial" w:cs="Arial"/>
        </w:rPr>
        <w:t xml:space="preserve"> percent</w:t>
      </w:r>
      <w:r w:rsidRPr="009D6862">
        <w:rPr>
          <w:rFonts w:ascii="Arial" w:hAnsi="Arial" w:cs="Arial"/>
        </w:rPr>
        <w:t xml:space="preserve"> of the funds will be available to projects in non-urban counties. Successful applicants will have 12 months from the execution date of the </w:t>
      </w:r>
      <w:r w:rsidR="007A7BF3">
        <w:rPr>
          <w:rFonts w:ascii="Arial" w:hAnsi="Arial" w:cs="Arial"/>
        </w:rPr>
        <w:t xml:space="preserve">HCD </w:t>
      </w:r>
      <w:r w:rsidRPr="009D6862">
        <w:rPr>
          <w:rFonts w:ascii="Arial" w:hAnsi="Arial" w:cs="Arial"/>
        </w:rPr>
        <w:t xml:space="preserve">Standard Agreement to commence a project, (to obtain a permit or other similar evidence of commencement of development related activities), or the Standard Agreement may be terminated and the funds reallocated. This commencement deadline may also be extended </w:t>
      </w:r>
      <w:r>
        <w:rPr>
          <w:rFonts w:ascii="Arial" w:hAnsi="Arial" w:cs="Arial"/>
        </w:rPr>
        <w:t xml:space="preserve">for up to 24 months </w:t>
      </w:r>
      <w:r w:rsidRPr="009D6862">
        <w:rPr>
          <w:rFonts w:ascii="Arial" w:hAnsi="Arial" w:cs="Arial"/>
        </w:rPr>
        <w:t>at the discretion of the Department</w:t>
      </w:r>
      <w:r w:rsidRPr="00237D7C">
        <w:rPr>
          <w:rFonts w:ascii="Arial" w:hAnsi="Arial" w:cs="Arial"/>
        </w:rPr>
        <w:t>.</w:t>
      </w:r>
    </w:p>
    <w:p w:rsidR="00C15CBF" w:rsidRDefault="00C15CBF" w:rsidP="00C15CBF">
      <w:pPr>
        <w:ind w:left="360"/>
        <w:rPr>
          <w:rFonts w:ascii="Arial" w:hAnsi="Arial"/>
          <w:szCs w:val="22"/>
        </w:rPr>
      </w:pPr>
    </w:p>
    <w:p w:rsidR="00C15CBF" w:rsidRDefault="007A7BF3" w:rsidP="00C15CBF">
      <w:pPr>
        <w:ind w:left="360"/>
        <w:rPr>
          <w:rFonts w:ascii="Arial" w:hAnsi="Arial"/>
          <w:szCs w:val="22"/>
        </w:rPr>
      </w:pPr>
      <w:r>
        <w:rPr>
          <w:rFonts w:ascii="Arial" w:hAnsi="Arial"/>
          <w:szCs w:val="22"/>
        </w:rPr>
        <w:t>EHAP</w:t>
      </w:r>
      <w:r w:rsidR="00C901EC">
        <w:rPr>
          <w:rFonts w:ascii="Arial" w:hAnsi="Arial"/>
          <w:szCs w:val="22"/>
        </w:rPr>
        <w:t>-</w:t>
      </w:r>
      <w:r w:rsidR="00C15CBF">
        <w:rPr>
          <w:rFonts w:ascii="Arial" w:hAnsi="Arial"/>
          <w:szCs w:val="22"/>
        </w:rPr>
        <w:t xml:space="preserve">CD conversion loans shall not exceed $3 million. Principal and interest shall be deferred for a 20-year loan term and forgiven at the end of the loan term as long as the facility remains permanent supportive housing in accordance with the terms of the project’s regulatory agreement </w:t>
      </w:r>
    </w:p>
    <w:p w:rsidR="00C15CBF" w:rsidRDefault="00C15CBF" w:rsidP="00C15CBF">
      <w:pPr>
        <w:ind w:left="360"/>
        <w:rPr>
          <w:rFonts w:ascii="Arial" w:hAnsi="Arial"/>
          <w:szCs w:val="22"/>
        </w:rPr>
      </w:pPr>
    </w:p>
    <w:p w:rsidR="00C15CBF" w:rsidRDefault="007A7BF3" w:rsidP="00C15CBF">
      <w:pPr>
        <w:ind w:left="360"/>
        <w:rPr>
          <w:rFonts w:ascii="Arial" w:hAnsi="Arial"/>
          <w:szCs w:val="22"/>
        </w:rPr>
      </w:pPr>
      <w:r>
        <w:rPr>
          <w:rFonts w:ascii="Arial" w:hAnsi="Arial"/>
          <w:szCs w:val="22"/>
        </w:rPr>
        <w:t>HCD expects EHAP</w:t>
      </w:r>
      <w:r w:rsidR="00C901EC">
        <w:rPr>
          <w:rFonts w:ascii="Arial" w:hAnsi="Arial"/>
          <w:szCs w:val="22"/>
        </w:rPr>
        <w:t>-</w:t>
      </w:r>
      <w:r w:rsidR="00C15CBF">
        <w:rPr>
          <w:rFonts w:ascii="Arial" w:hAnsi="Arial"/>
          <w:szCs w:val="22"/>
        </w:rPr>
        <w:t xml:space="preserve">CD conversion </w:t>
      </w:r>
      <w:r w:rsidR="00C15CBF" w:rsidRPr="00D3576E">
        <w:rPr>
          <w:rFonts w:ascii="Arial" w:hAnsi="Arial"/>
          <w:szCs w:val="22"/>
        </w:rPr>
        <w:t>funds to be leveraged with o</w:t>
      </w:r>
      <w:r w:rsidR="00C15CBF">
        <w:rPr>
          <w:rFonts w:ascii="Arial" w:hAnsi="Arial"/>
          <w:szCs w:val="22"/>
        </w:rPr>
        <w:t xml:space="preserve">ther resources, including federal </w:t>
      </w:r>
      <w:r w:rsidR="00C15CBF" w:rsidRPr="00D3576E">
        <w:rPr>
          <w:rFonts w:ascii="Arial" w:hAnsi="Arial"/>
          <w:szCs w:val="22"/>
        </w:rPr>
        <w:t>Continuum of Care programs</w:t>
      </w:r>
      <w:r w:rsidR="00C15CBF">
        <w:rPr>
          <w:rFonts w:ascii="Arial" w:hAnsi="Arial"/>
          <w:szCs w:val="22"/>
        </w:rPr>
        <w:t xml:space="preserve"> for services and operations</w:t>
      </w:r>
      <w:r w:rsidR="00C15CBF" w:rsidRPr="00D3576E">
        <w:rPr>
          <w:rFonts w:ascii="Arial" w:hAnsi="Arial"/>
          <w:szCs w:val="22"/>
        </w:rPr>
        <w:t xml:space="preserve">, </w:t>
      </w:r>
      <w:r w:rsidR="00C15CBF">
        <w:rPr>
          <w:rFonts w:ascii="Arial" w:hAnsi="Arial"/>
          <w:szCs w:val="22"/>
        </w:rPr>
        <w:t xml:space="preserve">and other funds necessary to house the target population, keep the project affordable to </w:t>
      </w:r>
      <w:r>
        <w:rPr>
          <w:rFonts w:ascii="Arial" w:hAnsi="Arial"/>
          <w:szCs w:val="22"/>
        </w:rPr>
        <w:t xml:space="preserve">ELI </w:t>
      </w:r>
      <w:r w:rsidR="00C15CBF">
        <w:rPr>
          <w:rFonts w:ascii="Arial" w:hAnsi="Arial"/>
          <w:szCs w:val="22"/>
        </w:rPr>
        <w:t xml:space="preserve">households for not less than 20 years from the time the project coverts to </w:t>
      </w:r>
      <w:r w:rsidR="00C15CBF">
        <w:rPr>
          <w:rFonts w:ascii="Arial" w:hAnsi="Arial"/>
          <w:szCs w:val="22"/>
        </w:rPr>
        <w:lastRenderedPageBreak/>
        <w:t xml:space="preserve">permanent supportive housing, and to maintain overall financial viability.  Project-based </w:t>
      </w:r>
      <w:r w:rsidR="00EF4CBE">
        <w:rPr>
          <w:rFonts w:ascii="Arial" w:hAnsi="Arial"/>
          <w:szCs w:val="22"/>
        </w:rPr>
        <w:t xml:space="preserve">rental </w:t>
      </w:r>
      <w:r w:rsidR="00C15CBF">
        <w:rPr>
          <w:rFonts w:ascii="Arial" w:hAnsi="Arial"/>
          <w:szCs w:val="22"/>
        </w:rPr>
        <w:t xml:space="preserve">subsidies </w:t>
      </w:r>
      <w:r>
        <w:rPr>
          <w:rFonts w:ascii="Arial" w:hAnsi="Arial"/>
          <w:szCs w:val="22"/>
        </w:rPr>
        <w:t xml:space="preserve">will </w:t>
      </w:r>
      <w:r w:rsidR="00C15CBF">
        <w:rPr>
          <w:rFonts w:ascii="Arial" w:hAnsi="Arial"/>
          <w:szCs w:val="22"/>
        </w:rPr>
        <w:t xml:space="preserve">also allow the project to accommodate those target population households who earn less than an ELI income. </w:t>
      </w:r>
    </w:p>
    <w:p w:rsidR="00C15CBF" w:rsidRDefault="00C15CBF" w:rsidP="00C15CBF">
      <w:pPr>
        <w:ind w:left="360"/>
        <w:rPr>
          <w:rFonts w:ascii="Arial" w:hAnsi="Arial"/>
          <w:szCs w:val="22"/>
        </w:rPr>
      </w:pPr>
    </w:p>
    <w:p w:rsidR="00C15CBF" w:rsidRPr="006B33B0" w:rsidRDefault="00C15CBF" w:rsidP="00C15CBF">
      <w:pPr>
        <w:ind w:left="360"/>
        <w:rPr>
          <w:rFonts w:ascii="Arial Bold" w:hAnsi="Arial Bold"/>
        </w:rPr>
      </w:pPr>
      <w:r>
        <w:rPr>
          <w:rFonts w:ascii="Arial" w:hAnsi="Arial"/>
          <w:szCs w:val="22"/>
        </w:rPr>
        <w:t xml:space="preserve">All funded projects must meet requirements of this NOFA. </w:t>
      </w:r>
      <w:r>
        <w:rPr>
          <w:rFonts w:ascii="Arial Bold" w:hAnsi="Arial Bold"/>
        </w:rPr>
        <w:t xml:space="preserve">Applications are due </w:t>
      </w:r>
      <w:r w:rsidR="008A45F5">
        <w:rPr>
          <w:rFonts w:ascii="Arial Bold" w:hAnsi="Arial Bold"/>
        </w:rPr>
        <w:t>May 1</w:t>
      </w:r>
      <w:r w:rsidRPr="007C584C">
        <w:rPr>
          <w:rFonts w:ascii="Arial Bold" w:hAnsi="Arial Bold"/>
        </w:rPr>
        <w:t>, 2015</w:t>
      </w:r>
      <w:r>
        <w:rPr>
          <w:rFonts w:ascii="Arial Bold" w:hAnsi="Arial Bold"/>
        </w:rPr>
        <w:t>. Award announcements will be made by June 2015.</w:t>
      </w:r>
    </w:p>
    <w:p w:rsidR="00C15CBF" w:rsidRDefault="00C15CBF" w:rsidP="00C15CBF">
      <w:pPr>
        <w:tabs>
          <w:tab w:val="left" w:pos="360"/>
        </w:tabs>
        <w:rPr>
          <w:rFonts w:ascii="Arial Bold" w:hAnsi="Arial Bold"/>
          <w:b/>
          <w:szCs w:val="22"/>
        </w:rPr>
      </w:pPr>
    </w:p>
    <w:p w:rsidR="00C15CBF" w:rsidRPr="006B33B0" w:rsidRDefault="00C15CBF" w:rsidP="00C15CBF">
      <w:pPr>
        <w:tabs>
          <w:tab w:val="left" w:pos="360"/>
        </w:tabs>
        <w:rPr>
          <w:rFonts w:ascii="Arial Bold" w:hAnsi="Arial Bold"/>
          <w:b/>
          <w:szCs w:val="22"/>
        </w:rPr>
      </w:pPr>
      <w:r>
        <w:rPr>
          <w:rFonts w:ascii="Arial Bold" w:hAnsi="Arial Bold"/>
          <w:b/>
          <w:szCs w:val="22"/>
        </w:rPr>
        <w:t>E</w:t>
      </w:r>
      <w:r w:rsidRPr="002D2319">
        <w:rPr>
          <w:rFonts w:ascii="Arial Bold" w:hAnsi="Arial Bold"/>
          <w:b/>
          <w:szCs w:val="22"/>
        </w:rPr>
        <w:t>.</w:t>
      </w:r>
      <w:r w:rsidRPr="006B33B0">
        <w:rPr>
          <w:rFonts w:ascii="Arial Bold" w:hAnsi="Arial Bold"/>
          <w:b/>
          <w:szCs w:val="22"/>
        </w:rPr>
        <w:tab/>
      </w:r>
      <w:r w:rsidRPr="00576EBF">
        <w:rPr>
          <w:rFonts w:ascii="Arial Bold" w:hAnsi="Arial Bold"/>
          <w:b/>
          <w:szCs w:val="22"/>
          <w:u w:val="single"/>
        </w:rPr>
        <w:t>Legal Authority</w:t>
      </w:r>
    </w:p>
    <w:p w:rsidR="00C15CBF" w:rsidRDefault="00C15CBF" w:rsidP="00C15CBF">
      <w:pPr>
        <w:pStyle w:val="BodyTextIndent"/>
        <w:tabs>
          <w:tab w:val="left" w:pos="720"/>
        </w:tabs>
        <w:overflowPunct/>
        <w:autoSpaceDE/>
        <w:autoSpaceDN/>
        <w:adjustRightInd/>
        <w:ind w:left="360"/>
        <w:textAlignment w:val="auto"/>
        <w:rPr>
          <w:rFonts w:ascii="Arial" w:hAnsi="Arial"/>
          <w:sz w:val="24"/>
          <w:szCs w:val="22"/>
        </w:rPr>
      </w:pPr>
    </w:p>
    <w:p w:rsidR="00C15CBF" w:rsidRPr="006338E2" w:rsidRDefault="00C15CBF" w:rsidP="00C15CBF">
      <w:pPr>
        <w:pStyle w:val="BodyTextIndent"/>
        <w:tabs>
          <w:tab w:val="left" w:pos="720"/>
        </w:tabs>
        <w:overflowPunct/>
        <w:autoSpaceDE/>
        <w:autoSpaceDN/>
        <w:adjustRightInd/>
        <w:ind w:left="360"/>
        <w:textAlignment w:val="auto"/>
        <w:rPr>
          <w:rFonts w:ascii="Arial" w:hAnsi="Arial"/>
          <w:sz w:val="24"/>
          <w:szCs w:val="22"/>
        </w:rPr>
      </w:pPr>
      <w:r>
        <w:rPr>
          <w:rFonts w:ascii="Arial" w:hAnsi="Arial"/>
          <w:sz w:val="24"/>
          <w:szCs w:val="22"/>
        </w:rPr>
        <w:t>EHAP-CD Conversion funds are authorized under Chapter 488, Statutes of 2013</w:t>
      </w:r>
      <w:r w:rsidRPr="00C22520">
        <w:rPr>
          <w:rFonts w:ascii="Arial" w:hAnsi="Arial"/>
          <w:sz w:val="24"/>
          <w:szCs w:val="22"/>
        </w:rPr>
        <w:t xml:space="preserve"> (</w:t>
      </w:r>
      <w:r>
        <w:rPr>
          <w:rFonts w:ascii="Arial" w:hAnsi="Arial"/>
          <w:sz w:val="24"/>
          <w:szCs w:val="22"/>
        </w:rPr>
        <w:t>AB 873</w:t>
      </w:r>
      <w:r w:rsidRPr="00C22520">
        <w:rPr>
          <w:rFonts w:ascii="Arial" w:hAnsi="Arial"/>
          <w:sz w:val="24"/>
          <w:szCs w:val="22"/>
        </w:rPr>
        <w:t>), which</w:t>
      </w:r>
      <w:r>
        <w:rPr>
          <w:rFonts w:ascii="Arial" w:hAnsi="Arial"/>
          <w:sz w:val="24"/>
          <w:szCs w:val="22"/>
        </w:rPr>
        <w:t xml:space="preserve"> amended Sections 50802 and 50803 of the Health and Safety Code governing the EHAP Program.</w:t>
      </w:r>
      <w:r w:rsidRPr="00C22520">
        <w:rPr>
          <w:rFonts w:ascii="Arial" w:hAnsi="Arial"/>
          <w:sz w:val="24"/>
          <w:szCs w:val="22"/>
        </w:rPr>
        <w:t xml:space="preserve"> Applications submitted under this NOFA are also subject to</w:t>
      </w:r>
      <w:r>
        <w:rPr>
          <w:rFonts w:ascii="Arial" w:hAnsi="Arial"/>
          <w:sz w:val="24"/>
          <w:szCs w:val="22"/>
        </w:rPr>
        <w:t xml:space="preserve"> </w:t>
      </w:r>
      <w:r w:rsidRPr="00C22520">
        <w:rPr>
          <w:rFonts w:ascii="Arial" w:hAnsi="Arial"/>
          <w:sz w:val="24"/>
          <w:szCs w:val="22"/>
        </w:rPr>
        <w:t>the requirements specified in this NOFA</w:t>
      </w:r>
      <w:r>
        <w:rPr>
          <w:rFonts w:ascii="Arial" w:hAnsi="Arial"/>
          <w:sz w:val="24"/>
          <w:szCs w:val="22"/>
        </w:rPr>
        <w:t xml:space="preserve"> and other </w:t>
      </w:r>
      <w:r w:rsidRPr="00C22520">
        <w:rPr>
          <w:rFonts w:ascii="Arial" w:hAnsi="Arial"/>
          <w:sz w:val="24"/>
          <w:szCs w:val="22"/>
        </w:rPr>
        <w:t xml:space="preserve">applicable federal, </w:t>
      </w:r>
      <w:r>
        <w:rPr>
          <w:rFonts w:ascii="Arial" w:hAnsi="Arial"/>
          <w:sz w:val="24"/>
          <w:szCs w:val="22"/>
        </w:rPr>
        <w:t>State, and local laws</w:t>
      </w:r>
      <w:r w:rsidRPr="00C22520">
        <w:rPr>
          <w:rFonts w:ascii="Arial" w:hAnsi="Arial"/>
          <w:sz w:val="24"/>
          <w:szCs w:val="22"/>
        </w:rPr>
        <w:t>.</w:t>
      </w:r>
    </w:p>
    <w:p w:rsidR="00C15CBF" w:rsidRDefault="00C15CBF" w:rsidP="00C15CBF">
      <w:pPr>
        <w:tabs>
          <w:tab w:val="left" w:pos="360"/>
        </w:tabs>
        <w:rPr>
          <w:rFonts w:ascii="Arial Bold" w:hAnsi="Arial Bold"/>
          <w:b/>
          <w:szCs w:val="22"/>
        </w:rPr>
      </w:pPr>
    </w:p>
    <w:p w:rsidR="00C15CBF" w:rsidRPr="002414D6" w:rsidRDefault="00C15CBF" w:rsidP="00C15CBF">
      <w:pPr>
        <w:tabs>
          <w:tab w:val="left" w:pos="360"/>
        </w:tabs>
        <w:rPr>
          <w:rFonts w:ascii="Arial Bold" w:hAnsi="Arial Bold"/>
          <w:u w:val="single"/>
        </w:rPr>
      </w:pPr>
      <w:r>
        <w:rPr>
          <w:rFonts w:ascii="Arial Bold" w:hAnsi="Arial Bold"/>
          <w:b/>
        </w:rPr>
        <w:t>F</w:t>
      </w:r>
      <w:r w:rsidRPr="002414D6">
        <w:rPr>
          <w:rFonts w:ascii="Arial Bold" w:hAnsi="Arial Bold"/>
          <w:b/>
        </w:rPr>
        <w:t>.</w:t>
      </w:r>
      <w:r w:rsidRPr="002414D6">
        <w:rPr>
          <w:rFonts w:ascii="Arial Bold" w:hAnsi="Arial Bold"/>
        </w:rPr>
        <w:tab/>
      </w:r>
      <w:r>
        <w:rPr>
          <w:rFonts w:ascii="Arial" w:hAnsi="Arial" w:cs="Arial"/>
          <w:b/>
          <w:szCs w:val="22"/>
          <w:u w:val="single"/>
        </w:rPr>
        <w:t>Definitions</w:t>
      </w:r>
    </w:p>
    <w:p w:rsidR="00C15CBF" w:rsidRDefault="00C15CBF" w:rsidP="00C15CBF">
      <w:pPr>
        <w:ind w:left="1440"/>
        <w:rPr>
          <w:rFonts w:ascii="Arial" w:hAnsi="Arial"/>
        </w:rPr>
      </w:pPr>
    </w:p>
    <w:p w:rsidR="00C15CBF" w:rsidRDefault="00C15CBF" w:rsidP="00C15CBF">
      <w:pPr>
        <w:tabs>
          <w:tab w:val="left" w:pos="1080"/>
        </w:tabs>
        <w:ind w:left="360"/>
        <w:rPr>
          <w:rFonts w:ascii="Arial" w:hAnsi="Arial"/>
        </w:rPr>
      </w:pPr>
      <w:r>
        <w:rPr>
          <w:rFonts w:ascii="Arial" w:hAnsi="Arial"/>
        </w:rPr>
        <w:t xml:space="preserve">For purposes of this NOFA, the following definitions shall be used: </w:t>
      </w:r>
    </w:p>
    <w:p w:rsidR="00C15CBF" w:rsidRDefault="00C15CBF" w:rsidP="00C15CBF">
      <w:pPr>
        <w:tabs>
          <w:tab w:val="left" w:pos="1080"/>
        </w:tabs>
        <w:ind w:left="360"/>
        <w:rPr>
          <w:rFonts w:ascii="Arial" w:hAnsi="Arial"/>
        </w:rPr>
      </w:pPr>
    </w:p>
    <w:p w:rsidR="00C15CBF" w:rsidRPr="00067A66" w:rsidRDefault="00C15CBF" w:rsidP="00C15CBF">
      <w:pPr>
        <w:pStyle w:val="HTMLPreformatted"/>
        <w:ind w:left="360"/>
        <w:rPr>
          <w:rFonts w:ascii="Arial" w:hAnsi="Arial"/>
          <w:sz w:val="24"/>
          <w:szCs w:val="24"/>
        </w:rPr>
      </w:pPr>
      <w:r w:rsidRPr="00067A66">
        <w:rPr>
          <w:rFonts w:ascii="Arial" w:hAnsi="Arial"/>
          <w:i/>
          <w:sz w:val="24"/>
          <w:szCs w:val="24"/>
        </w:rPr>
        <w:t>At-risk of Homelessness</w:t>
      </w:r>
      <w:r w:rsidRPr="00067A66">
        <w:rPr>
          <w:rFonts w:ascii="Arial" w:hAnsi="Arial"/>
          <w:sz w:val="24"/>
          <w:szCs w:val="24"/>
        </w:rPr>
        <w:t xml:space="preserve"> means:  the same as defined under 24 </w:t>
      </w:r>
      <w:hyperlink r:id="rId15" w:history="1">
        <w:r w:rsidRPr="00067A66">
          <w:rPr>
            <w:rStyle w:val="Hyperlink"/>
            <w:rFonts w:ascii="Arial" w:hAnsi="Arial"/>
            <w:sz w:val="24"/>
            <w:szCs w:val="24"/>
          </w:rPr>
          <w:t>CFR 578.3</w:t>
        </w:r>
      </w:hyperlink>
    </w:p>
    <w:p w:rsidR="00C15CBF" w:rsidRPr="00067A66" w:rsidRDefault="00C15CBF" w:rsidP="00C15CBF">
      <w:pPr>
        <w:pStyle w:val="HTMLPreformatted"/>
        <w:ind w:left="360"/>
        <w:rPr>
          <w:rFonts w:ascii="Arial" w:hAnsi="Arial"/>
          <w:sz w:val="24"/>
          <w:szCs w:val="24"/>
        </w:rPr>
      </w:pPr>
    </w:p>
    <w:p w:rsidR="00C15CBF" w:rsidRPr="00067A66" w:rsidRDefault="00C15CBF" w:rsidP="00C15CBF">
      <w:pPr>
        <w:overflowPunct/>
        <w:ind w:left="360"/>
        <w:textAlignment w:val="auto"/>
        <w:rPr>
          <w:szCs w:val="24"/>
        </w:rPr>
      </w:pPr>
      <w:r w:rsidRPr="00067A66">
        <w:rPr>
          <w:i/>
          <w:szCs w:val="24"/>
        </w:rPr>
        <w:t>Chronically Homeless</w:t>
      </w:r>
      <w:r w:rsidRPr="00067A66">
        <w:rPr>
          <w:szCs w:val="24"/>
        </w:rPr>
        <w:t xml:space="preserve"> means the same as defined under the federal Continuum of Care program, at 24 CFR </w:t>
      </w:r>
      <w:hyperlink r:id="rId16" w:history="1">
        <w:r w:rsidRPr="00067A66">
          <w:rPr>
            <w:rStyle w:val="Hyperlink"/>
            <w:szCs w:val="24"/>
          </w:rPr>
          <w:t>578.3</w:t>
        </w:r>
      </w:hyperlink>
      <w:r w:rsidRPr="00067A66">
        <w:rPr>
          <w:szCs w:val="24"/>
        </w:rPr>
        <w:t xml:space="preserve"> </w:t>
      </w:r>
    </w:p>
    <w:p w:rsidR="00C15CBF" w:rsidRPr="00067A66" w:rsidRDefault="00C15CBF" w:rsidP="00C15CBF">
      <w:pPr>
        <w:overflowPunct/>
        <w:ind w:left="360"/>
        <w:textAlignment w:val="auto"/>
        <w:rPr>
          <w:szCs w:val="24"/>
        </w:rPr>
      </w:pPr>
    </w:p>
    <w:p w:rsidR="00C15CBF" w:rsidRPr="00067A66" w:rsidRDefault="00C15CBF" w:rsidP="00C15CBF">
      <w:pPr>
        <w:overflowPunct/>
        <w:ind w:left="360"/>
        <w:textAlignment w:val="auto"/>
        <w:rPr>
          <w:szCs w:val="24"/>
        </w:rPr>
      </w:pPr>
      <w:r w:rsidRPr="00067A66">
        <w:rPr>
          <w:i/>
          <w:szCs w:val="24"/>
        </w:rPr>
        <w:t xml:space="preserve">Emergency Shelter </w:t>
      </w:r>
      <w:r w:rsidRPr="00067A66">
        <w:rPr>
          <w:szCs w:val="24"/>
        </w:rPr>
        <w:t>means housing with minimal supportive services for homeless persons that is limited to occupancy of six months or less by a homeless person.</w:t>
      </w:r>
    </w:p>
    <w:p w:rsidR="00C15CBF" w:rsidRPr="00067A66" w:rsidRDefault="00C15CBF" w:rsidP="00C15CBF">
      <w:pPr>
        <w:overflowPunct/>
        <w:ind w:left="360"/>
        <w:textAlignment w:val="auto"/>
        <w:rPr>
          <w:szCs w:val="24"/>
        </w:rPr>
      </w:pPr>
    </w:p>
    <w:p w:rsidR="00C15CBF" w:rsidRPr="00067A66" w:rsidRDefault="00C15CBF" w:rsidP="00C15CBF">
      <w:pPr>
        <w:overflowPunct/>
        <w:ind w:left="360"/>
        <w:textAlignment w:val="auto"/>
        <w:rPr>
          <w:rStyle w:val="Hyperlink"/>
          <w:rFonts w:ascii="Arial" w:hAnsi="Arial"/>
          <w:szCs w:val="24"/>
        </w:rPr>
      </w:pPr>
      <w:r w:rsidRPr="00067A66">
        <w:rPr>
          <w:i/>
          <w:szCs w:val="24"/>
        </w:rPr>
        <w:t>Extremely Low Income</w:t>
      </w:r>
      <w:r w:rsidRPr="00067A66">
        <w:rPr>
          <w:szCs w:val="24"/>
        </w:rPr>
        <w:t xml:space="preserve"> means households with incom</w:t>
      </w:r>
      <w:r w:rsidR="00EF4CBE">
        <w:rPr>
          <w:szCs w:val="24"/>
        </w:rPr>
        <w:t>es not exceeding 30 percent of Area Median I</w:t>
      </w:r>
      <w:r w:rsidRPr="00067A66">
        <w:rPr>
          <w:szCs w:val="24"/>
        </w:rPr>
        <w:t>ncome (AMI), calculated in accordance with Health and Safety Code Se</w:t>
      </w:r>
      <w:r w:rsidR="007A7BF3">
        <w:rPr>
          <w:szCs w:val="24"/>
        </w:rPr>
        <w:t>ction 50106 and published by HCD</w:t>
      </w:r>
      <w:r w:rsidRPr="00067A66">
        <w:rPr>
          <w:szCs w:val="24"/>
        </w:rPr>
        <w:t xml:space="preserve"> as part of the Official State Income Limits, at: </w:t>
      </w:r>
      <w:r w:rsidRPr="00067A66">
        <w:rPr>
          <w:szCs w:val="24"/>
          <w:u w:val="single"/>
        </w:rPr>
        <w:fldChar w:fldCharType="begin"/>
      </w:r>
      <w:r w:rsidRPr="00067A66">
        <w:rPr>
          <w:szCs w:val="24"/>
          <w:u w:val="single"/>
        </w:rPr>
        <w:instrText xml:space="preserve"> HYPERLINK "http://www.hcd.ca.gov/hpd/hrc/rep/state/incNote.html" </w:instrText>
      </w:r>
      <w:r w:rsidRPr="00067A66">
        <w:rPr>
          <w:szCs w:val="24"/>
          <w:u w:val="single"/>
        </w:rPr>
        <w:fldChar w:fldCharType="separate"/>
      </w:r>
      <w:r w:rsidRPr="00067A66">
        <w:rPr>
          <w:rStyle w:val="Hyperlink"/>
          <w:szCs w:val="24"/>
        </w:rPr>
        <w:t>http://www.hcd.ca.gov/hpd/hrc/rep/state/incNote.html.</w:t>
      </w:r>
    </w:p>
    <w:p w:rsidR="00C15CBF" w:rsidRPr="00067A66" w:rsidRDefault="00C15CBF" w:rsidP="00C15CBF">
      <w:pPr>
        <w:tabs>
          <w:tab w:val="left" w:pos="1080"/>
        </w:tabs>
        <w:ind w:left="360"/>
        <w:rPr>
          <w:rFonts w:ascii="Arial" w:hAnsi="Arial"/>
          <w:i/>
          <w:szCs w:val="24"/>
          <w:u w:val="single"/>
        </w:rPr>
      </w:pPr>
      <w:r w:rsidRPr="00067A66">
        <w:rPr>
          <w:szCs w:val="24"/>
          <w:u w:val="single"/>
        </w:rPr>
        <w:fldChar w:fldCharType="end"/>
      </w:r>
    </w:p>
    <w:p w:rsidR="00C15CBF" w:rsidRDefault="00C15CBF" w:rsidP="00C15CBF">
      <w:pPr>
        <w:tabs>
          <w:tab w:val="left" w:pos="1080"/>
        </w:tabs>
        <w:ind w:left="360"/>
        <w:rPr>
          <w:rFonts w:ascii="Arial" w:hAnsi="Arial"/>
        </w:rPr>
      </w:pPr>
      <w:r w:rsidRPr="001C368D">
        <w:rPr>
          <w:rFonts w:ascii="Arial" w:hAnsi="Arial"/>
          <w:i/>
        </w:rPr>
        <w:t>Homeless</w:t>
      </w:r>
      <w:r>
        <w:rPr>
          <w:rFonts w:ascii="Arial" w:hAnsi="Arial"/>
        </w:rPr>
        <w:t xml:space="preserve"> is defined in </w:t>
      </w:r>
      <w:hyperlink r:id="rId17" w:history="1">
        <w:r w:rsidRPr="00A43046">
          <w:rPr>
            <w:rStyle w:val="Hyperlink"/>
            <w:rFonts w:ascii="Arial" w:hAnsi="Arial"/>
          </w:rPr>
          <w:t>42 U.S.C 11302</w:t>
        </w:r>
      </w:hyperlink>
      <w:r>
        <w:rPr>
          <w:rFonts w:ascii="Arial" w:hAnsi="Arial"/>
        </w:rPr>
        <w:t xml:space="preserve"> and implementing regulations under 24 CFR 578.3, and also includes Homeless Youth defined as:</w:t>
      </w:r>
    </w:p>
    <w:p w:rsidR="00C15CBF" w:rsidRDefault="00C15CBF" w:rsidP="00C15CBF">
      <w:pPr>
        <w:tabs>
          <w:tab w:val="left" w:pos="1080"/>
        </w:tabs>
        <w:ind w:left="360"/>
        <w:rPr>
          <w:rFonts w:ascii="Arial" w:hAnsi="Arial"/>
        </w:rPr>
      </w:pPr>
    </w:p>
    <w:p w:rsidR="00C15CBF" w:rsidRPr="001C368D" w:rsidRDefault="00C15CBF" w:rsidP="00C15CBF">
      <w:pPr>
        <w:pStyle w:val="HTMLPreformatted"/>
        <w:ind w:left="360"/>
        <w:rPr>
          <w:rFonts w:ascii="Arial" w:hAnsi="Arial" w:cs="Times New Roman"/>
          <w:sz w:val="24"/>
        </w:rPr>
      </w:pPr>
      <w:r>
        <w:rPr>
          <w:color w:val="000000"/>
        </w:rPr>
        <w:t xml:space="preserve"> </w:t>
      </w:r>
      <w:r w:rsidRPr="001C368D">
        <w:rPr>
          <w:rFonts w:ascii="Arial" w:hAnsi="Arial" w:cs="Times New Roman"/>
          <w:sz w:val="24"/>
        </w:rPr>
        <w:t xml:space="preserve">(A) </w:t>
      </w:r>
      <w:r>
        <w:rPr>
          <w:rFonts w:ascii="Arial" w:hAnsi="Arial" w:cs="Times New Roman"/>
          <w:sz w:val="24"/>
        </w:rPr>
        <w:t xml:space="preserve"> </w:t>
      </w:r>
      <w:r w:rsidRPr="001C368D">
        <w:rPr>
          <w:rFonts w:ascii="Arial" w:hAnsi="Arial" w:cs="Times New Roman"/>
          <w:sz w:val="24"/>
        </w:rPr>
        <w:t>A person who is not older than 24 years of age, and meets one</w:t>
      </w:r>
    </w:p>
    <w:p w:rsidR="00C15CBF" w:rsidRPr="004866D5" w:rsidRDefault="00C15CBF" w:rsidP="00C15CBF">
      <w:pPr>
        <w:pStyle w:val="HTMLPreformatted"/>
        <w:ind w:left="360"/>
        <w:rPr>
          <w:rFonts w:ascii="Arial" w:hAnsi="Arial" w:cs="Times New Roman"/>
          <w:sz w:val="24"/>
        </w:rPr>
      </w:pPr>
      <w:r w:rsidRPr="001C368D">
        <w:rPr>
          <w:rFonts w:ascii="Arial" w:hAnsi="Arial" w:cs="Times New Roman"/>
          <w:sz w:val="24"/>
        </w:rPr>
        <w:t>of the following conditions:</w:t>
      </w:r>
      <w:r>
        <w:rPr>
          <w:rFonts w:ascii="Arial" w:hAnsi="Arial" w:cs="Times New Roman"/>
          <w:sz w:val="24"/>
        </w:rPr>
        <w:t xml:space="preserve"> </w:t>
      </w:r>
      <w:r w:rsidRPr="001C368D">
        <w:rPr>
          <w:rFonts w:ascii="Arial" w:hAnsi="Arial" w:cs="Times New Roman"/>
          <w:sz w:val="24"/>
        </w:rPr>
        <w:t xml:space="preserve">(i) Is homeless </w:t>
      </w:r>
      <w:r>
        <w:rPr>
          <w:rFonts w:ascii="Arial" w:hAnsi="Arial" w:cs="Times New Roman"/>
          <w:sz w:val="24"/>
        </w:rPr>
        <w:t>or at risk of becoming homeless</w:t>
      </w:r>
      <w:r w:rsidRPr="001C368D">
        <w:rPr>
          <w:rFonts w:ascii="Arial" w:hAnsi="Arial" w:cs="Times New Roman"/>
          <w:sz w:val="24"/>
        </w:rPr>
        <w:t xml:space="preserve"> (ii) Is no longer eligible for </w:t>
      </w:r>
      <w:r>
        <w:rPr>
          <w:rFonts w:ascii="Arial" w:hAnsi="Arial" w:cs="Times New Roman"/>
          <w:sz w:val="24"/>
        </w:rPr>
        <w:t>foster care on the basis of age or  (iii) h</w:t>
      </w:r>
      <w:r w:rsidRPr="001C368D">
        <w:rPr>
          <w:rFonts w:ascii="Arial" w:hAnsi="Arial" w:cs="Times New Roman"/>
          <w:sz w:val="24"/>
        </w:rPr>
        <w:t>as run away from home</w:t>
      </w:r>
      <w:r>
        <w:rPr>
          <w:rFonts w:ascii="Arial" w:hAnsi="Arial" w:cs="Times New Roman"/>
          <w:sz w:val="24"/>
        </w:rPr>
        <w:t>; or</w:t>
      </w:r>
      <w:r w:rsidRPr="004866D5">
        <w:rPr>
          <w:rFonts w:ascii="Arial" w:hAnsi="Arial" w:cs="Times New Roman"/>
          <w:sz w:val="24"/>
        </w:rPr>
        <w:t xml:space="preserve"> </w:t>
      </w:r>
    </w:p>
    <w:p w:rsidR="00C15CBF" w:rsidRDefault="00C15CBF" w:rsidP="00C15CBF">
      <w:pPr>
        <w:pStyle w:val="HTMLPreformatted"/>
        <w:ind w:left="360"/>
        <w:rPr>
          <w:color w:val="000000"/>
        </w:rPr>
      </w:pPr>
    </w:p>
    <w:p w:rsidR="00C15CBF" w:rsidRPr="001C368D" w:rsidRDefault="00C15CBF" w:rsidP="00C15CBF">
      <w:pPr>
        <w:pStyle w:val="HTMLPreformatted"/>
        <w:ind w:left="360"/>
        <w:rPr>
          <w:rFonts w:ascii="Arial" w:hAnsi="Arial" w:cs="Times New Roman"/>
          <w:sz w:val="24"/>
        </w:rPr>
      </w:pPr>
      <w:r>
        <w:rPr>
          <w:rFonts w:ascii="Arial" w:hAnsi="Arial" w:cs="Times New Roman"/>
          <w:sz w:val="24"/>
        </w:rPr>
        <w:t xml:space="preserve">   (</w:t>
      </w:r>
      <w:r w:rsidRPr="001C368D">
        <w:rPr>
          <w:rFonts w:ascii="Arial" w:hAnsi="Arial" w:cs="Times New Roman"/>
          <w:sz w:val="24"/>
        </w:rPr>
        <w:t xml:space="preserve">B) </w:t>
      </w:r>
      <w:r>
        <w:rPr>
          <w:rFonts w:ascii="Arial" w:hAnsi="Arial" w:cs="Times New Roman"/>
          <w:sz w:val="24"/>
        </w:rPr>
        <w:t xml:space="preserve">  </w:t>
      </w:r>
      <w:r w:rsidRPr="001C368D">
        <w:rPr>
          <w:rFonts w:ascii="Arial" w:hAnsi="Arial" w:cs="Times New Roman"/>
          <w:sz w:val="24"/>
        </w:rPr>
        <w:t>A person who is less than 18 years of age who is emancipated</w:t>
      </w:r>
    </w:p>
    <w:p w:rsidR="00C15CBF" w:rsidRPr="001C368D" w:rsidRDefault="00C15CBF" w:rsidP="00C15CBF">
      <w:pPr>
        <w:pStyle w:val="HTMLPreformatted"/>
        <w:ind w:left="360"/>
        <w:rPr>
          <w:rFonts w:ascii="Arial" w:hAnsi="Arial" w:cs="Times New Roman"/>
          <w:sz w:val="24"/>
        </w:rPr>
      </w:pPr>
      <w:r w:rsidRPr="001C368D">
        <w:rPr>
          <w:rFonts w:ascii="Arial" w:hAnsi="Arial" w:cs="Times New Roman"/>
          <w:sz w:val="24"/>
        </w:rPr>
        <w:t>pursuant to Part 6 (commencing with Section 7000) of Division 1 of</w:t>
      </w:r>
    </w:p>
    <w:p w:rsidR="00C15CBF" w:rsidRDefault="00C15CBF" w:rsidP="00C15CBF">
      <w:pPr>
        <w:pStyle w:val="HTMLPreformatted"/>
        <w:ind w:left="360"/>
        <w:rPr>
          <w:rFonts w:ascii="Arial" w:hAnsi="Arial" w:cs="Times New Roman"/>
          <w:sz w:val="24"/>
        </w:rPr>
      </w:pPr>
      <w:r w:rsidRPr="001C368D">
        <w:rPr>
          <w:rFonts w:ascii="Arial" w:hAnsi="Arial" w:cs="Times New Roman"/>
          <w:sz w:val="24"/>
        </w:rPr>
        <w:t>the Family Code and who is homeless or at risk of becoming homeless.</w:t>
      </w:r>
    </w:p>
    <w:p w:rsidR="00C15CBF" w:rsidRDefault="00C15CBF" w:rsidP="00C15CBF">
      <w:pPr>
        <w:pStyle w:val="HTMLPreformatted"/>
        <w:ind w:left="360"/>
        <w:rPr>
          <w:rFonts w:ascii="Arial" w:hAnsi="Arial" w:cs="Times New Roman"/>
          <w:sz w:val="24"/>
        </w:rPr>
      </w:pPr>
    </w:p>
    <w:p w:rsidR="00C15CBF" w:rsidRDefault="00C15CBF" w:rsidP="00C15CBF">
      <w:pPr>
        <w:pStyle w:val="HTMLPreformatted"/>
        <w:ind w:left="360"/>
        <w:rPr>
          <w:rFonts w:ascii="Arial" w:hAnsi="Arial" w:cs="Times New Roman"/>
          <w:sz w:val="24"/>
        </w:rPr>
      </w:pPr>
      <w:r w:rsidRPr="004710EA">
        <w:rPr>
          <w:rFonts w:ascii="Arial" w:hAnsi="Arial" w:cs="Times New Roman"/>
          <w:sz w:val="24"/>
        </w:rPr>
        <w:t>“Homeless” includes “Chronically Homeless” and “Homeless with a Disability</w:t>
      </w:r>
      <w:r>
        <w:rPr>
          <w:rFonts w:ascii="Arial" w:hAnsi="Arial" w:cs="Times New Roman"/>
          <w:sz w:val="24"/>
        </w:rPr>
        <w:t>” as defined in this section of the NOFA.</w:t>
      </w:r>
    </w:p>
    <w:p w:rsidR="00C15CBF" w:rsidRPr="004710EA" w:rsidRDefault="00C15CBF" w:rsidP="00C15CBF">
      <w:pPr>
        <w:pStyle w:val="HTMLPreformatted"/>
        <w:ind w:left="360"/>
        <w:rPr>
          <w:rFonts w:ascii="Arial" w:hAnsi="Arial" w:cs="Times New Roman"/>
          <w:sz w:val="24"/>
        </w:rPr>
      </w:pPr>
    </w:p>
    <w:p w:rsidR="00C15CBF" w:rsidRPr="00A248FF" w:rsidRDefault="00C15CBF" w:rsidP="00C15CBF">
      <w:pPr>
        <w:tabs>
          <w:tab w:val="left" w:pos="1080"/>
        </w:tabs>
        <w:ind w:left="360"/>
        <w:rPr>
          <w:szCs w:val="24"/>
        </w:rPr>
      </w:pPr>
      <w:r w:rsidRPr="00A248FF">
        <w:rPr>
          <w:i/>
          <w:szCs w:val="24"/>
        </w:rPr>
        <w:lastRenderedPageBreak/>
        <w:t>Homeless with a Disability</w:t>
      </w:r>
      <w:r w:rsidRPr="00A248FF">
        <w:rPr>
          <w:szCs w:val="24"/>
        </w:rPr>
        <w:t xml:space="preserve"> means the same as “Chronically Homeless”, excluding the requirement of having been homeless for a defined period of time</w:t>
      </w:r>
      <w:r w:rsidR="00EF4CBE">
        <w:rPr>
          <w:szCs w:val="24"/>
        </w:rPr>
        <w:t>.</w:t>
      </w:r>
      <w:r w:rsidRPr="00A248FF">
        <w:rPr>
          <w:szCs w:val="24"/>
        </w:rPr>
        <w:t xml:space="preserve"> </w:t>
      </w:r>
    </w:p>
    <w:p w:rsidR="00C15CBF" w:rsidRDefault="00C15CBF" w:rsidP="00C15CBF">
      <w:pPr>
        <w:tabs>
          <w:tab w:val="left" w:pos="1080"/>
        </w:tabs>
        <w:ind w:left="360"/>
        <w:rPr>
          <w:szCs w:val="24"/>
        </w:rPr>
      </w:pPr>
    </w:p>
    <w:p w:rsidR="00C15CBF" w:rsidRPr="00DC7E26" w:rsidRDefault="00C15CBF" w:rsidP="00C15CBF">
      <w:pPr>
        <w:pStyle w:val="Default"/>
        <w:ind w:left="360"/>
        <w:rPr>
          <w:rFonts w:ascii="Antique Olive" w:hAnsi="Antique Olive" w:cs="Times New Roman"/>
          <w:color w:val="auto"/>
        </w:rPr>
      </w:pPr>
      <w:r w:rsidRPr="00DC7E26">
        <w:rPr>
          <w:i/>
        </w:rPr>
        <w:t>Literally Homeless means</w:t>
      </w:r>
      <w:r>
        <w:rPr>
          <w:i/>
        </w:rPr>
        <w:t xml:space="preserve">: </w:t>
      </w:r>
      <w:r w:rsidRPr="00DC7E26">
        <w:rPr>
          <w:rFonts w:ascii="Antique Olive" w:hAnsi="Antique Olive" w:cs="Times New Roman"/>
          <w:color w:val="auto"/>
        </w:rPr>
        <w:t xml:space="preserve">the </w:t>
      </w:r>
      <w:r>
        <w:rPr>
          <w:rFonts w:ascii="Antique Olive" w:hAnsi="Antique Olive" w:cs="Times New Roman"/>
          <w:color w:val="auto"/>
        </w:rPr>
        <w:t>individual or family</w:t>
      </w:r>
      <w:r w:rsidRPr="00DC7E26">
        <w:rPr>
          <w:rFonts w:ascii="Antique Olive" w:hAnsi="Antique Olive" w:cs="Times New Roman"/>
          <w:color w:val="auto"/>
        </w:rPr>
        <w:t xml:space="preserve"> lacks a fixed, regular, and adequa</w:t>
      </w:r>
      <w:r>
        <w:rPr>
          <w:rFonts w:ascii="Antique Olive" w:hAnsi="Antique Olive" w:cs="Times New Roman"/>
          <w:color w:val="auto"/>
        </w:rPr>
        <w:t xml:space="preserve">te nighttime residence meaning the individual or family </w:t>
      </w:r>
      <w:r w:rsidRPr="00DC7E26">
        <w:rPr>
          <w:rFonts w:ascii="Antique Olive" w:hAnsi="Antique Olive" w:cs="Times New Roman"/>
          <w:color w:val="auto"/>
        </w:rPr>
        <w:t>(i) Has a primary nighttime residence that is a public or private place not meant for human habitation; (ii) Is living in a publicly or privately operated shelter designated to provide temporary living arrangements (including congregate shelters, transitional housing, and hotels and motels paid for by charitable organizations or by federal, state and local government programs); or (iii) Is exiting an institution where (s)he has resided for 90 days or less and who resided in an emergency shelter or place not meant for human habitation immediately before entering that institution</w:t>
      </w:r>
      <w:r>
        <w:rPr>
          <w:rFonts w:ascii="Antique Olive" w:hAnsi="Antique Olive" w:cs="Times New Roman"/>
          <w:color w:val="auto"/>
        </w:rPr>
        <w:t>.</w:t>
      </w:r>
      <w:r w:rsidRPr="00DC7E26">
        <w:rPr>
          <w:rFonts w:ascii="Antique Olive" w:hAnsi="Antique Olive" w:cs="Times New Roman"/>
          <w:color w:val="auto"/>
        </w:rPr>
        <w:t xml:space="preserve"> </w:t>
      </w:r>
    </w:p>
    <w:p w:rsidR="00C15CBF" w:rsidRPr="00DC7E26" w:rsidRDefault="00C15CBF" w:rsidP="00C15CBF">
      <w:pPr>
        <w:tabs>
          <w:tab w:val="left" w:pos="1080"/>
        </w:tabs>
        <w:ind w:left="360"/>
        <w:rPr>
          <w:szCs w:val="24"/>
        </w:rPr>
      </w:pPr>
    </w:p>
    <w:p w:rsidR="00C15CBF" w:rsidRDefault="00C15CBF" w:rsidP="00C15CBF">
      <w:pPr>
        <w:overflowPunct/>
        <w:ind w:left="360"/>
        <w:textAlignment w:val="auto"/>
        <w:rPr>
          <w:szCs w:val="24"/>
        </w:rPr>
      </w:pPr>
      <w:r w:rsidRPr="002F64E2">
        <w:rPr>
          <w:i/>
          <w:szCs w:val="24"/>
        </w:rPr>
        <w:t>Rental Housing Development</w:t>
      </w:r>
      <w:r>
        <w:rPr>
          <w:szCs w:val="24"/>
        </w:rPr>
        <w:t xml:space="preserve"> means a structure or set of structures with common financing, ownership, and management, and which collectively contains five or more dwelling units.  </w:t>
      </w:r>
      <w:r>
        <w:rPr>
          <w:rFonts w:ascii="Times-Roman" w:hAnsi="Times-Roman" w:cs="Times-Roman"/>
          <w:szCs w:val="24"/>
        </w:rPr>
        <w:t>“Rental Housing Development” does not include any “health facility” as defined by Section 1250 of the Health and Safety Code or any “alcoholism or drug abuse recovery or treatment facility” as defined by Section 11834.02 of the Health and Safety Code. Where a Rental Housing Development is located on non-contiguous parcels, all of the parcels shall be governed by similar tenant selection criteria, serve similar tenant populations and have similar rent and income restrictions.</w:t>
      </w:r>
    </w:p>
    <w:p w:rsidR="00C15CBF" w:rsidRDefault="00C15CBF" w:rsidP="00C15CBF">
      <w:pPr>
        <w:tabs>
          <w:tab w:val="left" w:pos="1080"/>
        </w:tabs>
        <w:ind w:left="360"/>
        <w:rPr>
          <w:rFonts w:ascii="Arial" w:hAnsi="Arial"/>
          <w:i/>
        </w:rPr>
      </w:pPr>
    </w:p>
    <w:p w:rsidR="00C15CBF" w:rsidRPr="00601FF3" w:rsidRDefault="00C15CBF" w:rsidP="00C15CBF">
      <w:pPr>
        <w:tabs>
          <w:tab w:val="left" w:pos="1080"/>
        </w:tabs>
        <w:ind w:left="360"/>
        <w:rPr>
          <w:rFonts w:ascii="Arial" w:hAnsi="Arial"/>
        </w:rPr>
      </w:pPr>
      <w:r>
        <w:rPr>
          <w:rFonts w:ascii="Arial" w:hAnsi="Arial"/>
          <w:i/>
        </w:rPr>
        <w:t xml:space="preserve">Sponsor means </w:t>
      </w:r>
      <w:r w:rsidRPr="00601FF3">
        <w:rPr>
          <w:rFonts w:ascii="Arial" w:hAnsi="Arial"/>
        </w:rPr>
        <w:t>the legal entity or combination of legal entities with continuing control of the Rental Housing Development.</w:t>
      </w:r>
      <w:r w:rsidRPr="00601FF3">
        <w:t xml:space="preserve"> </w:t>
      </w:r>
      <w:r w:rsidRPr="00601FF3">
        <w:rPr>
          <w:rFonts w:ascii="Arial" w:hAnsi="Arial"/>
        </w:rPr>
        <w:t xml:space="preserve">Sponsor does not include the seller of the property to be developed as the Project, unless the seller will retain </w:t>
      </w:r>
      <w:r>
        <w:rPr>
          <w:rFonts w:ascii="Arial" w:hAnsi="Arial"/>
        </w:rPr>
        <w:t>control</w:t>
      </w:r>
      <w:r w:rsidRPr="00601FF3">
        <w:rPr>
          <w:rFonts w:ascii="Arial" w:hAnsi="Arial"/>
        </w:rPr>
        <w:t xml:space="preserve"> of the Project for the period of time necessary to ensure Project feasibility as determined by the Department.</w:t>
      </w:r>
    </w:p>
    <w:p w:rsidR="00C15CBF" w:rsidRDefault="00C15CBF" w:rsidP="00C15CBF">
      <w:pPr>
        <w:tabs>
          <w:tab w:val="left" w:pos="1080"/>
        </w:tabs>
        <w:ind w:left="360"/>
        <w:rPr>
          <w:rFonts w:ascii="Arial" w:hAnsi="Arial"/>
          <w:i/>
        </w:rPr>
      </w:pPr>
    </w:p>
    <w:p w:rsidR="00C15CBF" w:rsidRDefault="00C15CBF" w:rsidP="00C15CBF">
      <w:pPr>
        <w:tabs>
          <w:tab w:val="left" w:pos="1080"/>
        </w:tabs>
        <w:ind w:left="360"/>
        <w:rPr>
          <w:rFonts w:ascii="Arial" w:hAnsi="Arial"/>
        </w:rPr>
      </w:pPr>
      <w:r w:rsidRPr="004A65FE">
        <w:rPr>
          <w:rFonts w:ascii="Arial" w:hAnsi="Arial"/>
          <w:i/>
        </w:rPr>
        <w:t>Supportive Housing</w:t>
      </w:r>
      <w:r w:rsidRPr="000909CB">
        <w:rPr>
          <w:rFonts w:ascii="Arial" w:hAnsi="Arial"/>
        </w:rPr>
        <w:t xml:space="preserve"> means</w:t>
      </w:r>
      <w:r>
        <w:rPr>
          <w:rFonts w:ascii="Arial" w:hAnsi="Arial"/>
        </w:rPr>
        <w:t xml:space="preserve"> </w:t>
      </w:r>
      <w:r w:rsidRPr="000909CB">
        <w:rPr>
          <w:rFonts w:ascii="Arial" w:hAnsi="Arial"/>
        </w:rPr>
        <w:t>housing with no limit on length of</w:t>
      </w:r>
      <w:r>
        <w:rPr>
          <w:rFonts w:ascii="Arial" w:hAnsi="Arial"/>
        </w:rPr>
        <w:t xml:space="preserve"> </w:t>
      </w:r>
      <w:r w:rsidRPr="000909CB">
        <w:rPr>
          <w:rFonts w:ascii="Arial" w:hAnsi="Arial"/>
        </w:rPr>
        <w:t>stay, that is occupied by the target population, and that is linked</w:t>
      </w:r>
      <w:r>
        <w:rPr>
          <w:rFonts w:ascii="Arial" w:hAnsi="Arial"/>
        </w:rPr>
        <w:t xml:space="preserve"> </w:t>
      </w:r>
      <w:r w:rsidRPr="000909CB">
        <w:rPr>
          <w:rFonts w:ascii="Arial" w:hAnsi="Arial"/>
        </w:rPr>
        <w:t>to onsite or offsite services that assist the supportive housing</w:t>
      </w:r>
      <w:r>
        <w:rPr>
          <w:rFonts w:ascii="Arial" w:hAnsi="Arial"/>
        </w:rPr>
        <w:t xml:space="preserve"> </w:t>
      </w:r>
      <w:r w:rsidRPr="000909CB">
        <w:rPr>
          <w:rFonts w:ascii="Arial" w:hAnsi="Arial"/>
        </w:rPr>
        <w:t>resident in retaining the housing, improving his or her health</w:t>
      </w:r>
      <w:r>
        <w:rPr>
          <w:rFonts w:ascii="Arial" w:hAnsi="Arial"/>
        </w:rPr>
        <w:t xml:space="preserve"> </w:t>
      </w:r>
      <w:r w:rsidRPr="000909CB">
        <w:rPr>
          <w:rFonts w:ascii="Arial" w:hAnsi="Arial"/>
        </w:rPr>
        <w:t>status, and maximizing his or her ability to live and, when possible,</w:t>
      </w:r>
      <w:r>
        <w:rPr>
          <w:rFonts w:ascii="Arial" w:hAnsi="Arial"/>
        </w:rPr>
        <w:t xml:space="preserve"> </w:t>
      </w:r>
      <w:r w:rsidRPr="000909CB">
        <w:rPr>
          <w:rFonts w:ascii="Arial" w:hAnsi="Arial"/>
        </w:rPr>
        <w:t>work in the community.</w:t>
      </w:r>
    </w:p>
    <w:p w:rsidR="00C15CBF" w:rsidRDefault="00C15CBF" w:rsidP="00C15CBF">
      <w:pPr>
        <w:tabs>
          <w:tab w:val="left" w:pos="1080"/>
        </w:tabs>
        <w:ind w:left="360"/>
        <w:rPr>
          <w:rFonts w:ascii="Arial" w:hAnsi="Arial"/>
        </w:rPr>
      </w:pPr>
    </w:p>
    <w:p w:rsidR="00C15CBF" w:rsidRDefault="00C15CBF" w:rsidP="00C15CBF">
      <w:pPr>
        <w:tabs>
          <w:tab w:val="left" w:pos="1080"/>
        </w:tabs>
        <w:ind w:left="360"/>
        <w:rPr>
          <w:rFonts w:ascii="Arial" w:hAnsi="Arial"/>
        </w:rPr>
      </w:pPr>
      <w:r>
        <w:rPr>
          <w:rFonts w:ascii="Arial" w:hAnsi="Arial"/>
        </w:rPr>
        <w:t>Typically, the household must: (1) hold</w:t>
      </w:r>
      <w:r w:rsidRPr="00551E02">
        <w:rPr>
          <w:rFonts w:ascii="Arial" w:hAnsi="Arial"/>
        </w:rPr>
        <w:t xml:space="preserve"> a leas</w:t>
      </w:r>
      <w:r w:rsidR="007A7BF3">
        <w:rPr>
          <w:rFonts w:ascii="Arial" w:hAnsi="Arial"/>
        </w:rPr>
        <w:t>e or rental agreement in their</w:t>
      </w:r>
      <w:r w:rsidRPr="00551E02">
        <w:rPr>
          <w:rFonts w:ascii="Arial" w:hAnsi="Arial"/>
        </w:rPr>
        <w:t xml:space="preserve"> own name and </w:t>
      </w:r>
      <w:r>
        <w:rPr>
          <w:rFonts w:ascii="Arial" w:hAnsi="Arial"/>
        </w:rPr>
        <w:t>pay</w:t>
      </w:r>
      <w:r w:rsidRPr="00551E02">
        <w:rPr>
          <w:rFonts w:ascii="Arial" w:hAnsi="Arial"/>
        </w:rPr>
        <w:t xml:space="preserve"> rent</w:t>
      </w:r>
      <w:r w:rsidR="007A7BF3">
        <w:rPr>
          <w:rFonts w:ascii="Arial" w:hAnsi="Arial"/>
        </w:rPr>
        <w:t>, (2) have their</w:t>
      </w:r>
      <w:r>
        <w:rPr>
          <w:rFonts w:ascii="Arial" w:hAnsi="Arial"/>
        </w:rPr>
        <w:t xml:space="preserve"> own room or apartment and be </w:t>
      </w:r>
      <w:r w:rsidRPr="00551E02">
        <w:rPr>
          <w:rFonts w:ascii="Arial" w:hAnsi="Arial"/>
        </w:rPr>
        <w:t xml:space="preserve">individually responsible for arranging any shared tenancy, to the extent that shared tenancy is allowed under </w:t>
      </w:r>
      <w:r>
        <w:rPr>
          <w:rFonts w:ascii="Arial" w:hAnsi="Arial"/>
        </w:rPr>
        <w:t>the</w:t>
      </w:r>
      <w:r w:rsidRPr="00551E02">
        <w:rPr>
          <w:rFonts w:ascii="Arial" w:hAnsi="Arial"/>
        </w:rPr>
        <w:t xml:space="preserve"> lease; and </w:t>
      </w:r>
      <w:r>
        <w:rPr>
          <w:rFonts w:ascii="Arial" w:hAnsi="Arial"/>
        </w:rPr>
        <w:t>(3) m</w:t>
      </w:r>
      <w:r w:rsidRPr="00551E02">
        <w:rPr>
          <w:rFonts w:ascii="Arial" w:hAnsi="Arial"/>
        </w:rPr>
        <w:t xml:space="preserve">ay stay as long as </w:t>
      </w:r>
      <w:r>
        <w:rPr>
          <w:rFonts w:ascii="Arial" w:hAnsi="Arial"/>
        </w:rPr>
        <w:t>the</w:t>
      </w:r>
      <w:r w:rsidRPr="00551E02">
        <w:rPr>
          <w:rFonts w:ascii="Arial" w:hAnsi="Arial"/>
        </w:rPr>
        <w:t xml:space="preserve"> </w:t>
      </w:r>
      <w:r>
        <w:rPr>
          <w:rFonts w:ascii="Arial" w:hAnsi="Arial"/>
        </w:rPr>
        <w:t>household pays its</w:t>
      </w:r>
      <w:r w:rsidRPr="00551E02">
        <w:rPr>
          <w:rFonts w:ascii="Arial" w:hAnsi="Arial"/>
        </w:rPr>
        <w:t xml:space="preserve"> share of rent and complies with</w:t>
      </w:r>
      <w:r>
        <w:rPr>
          <w:rFonts w:ascii="Arial" w:hAnsi="Arial"/>
        </w:rPr>
        <w:t xml:space="preserve"> the terms of the lease, which is subject to applicable state and federal landlord-tenant laws. Participation in services is not required as a condition of tenancy.</w:t>
      </w:r>
    </w:p>
    <w:p w:rsidR="00C15CBF" w:rsidRDefault="00C15CBF" w:rsidP="00C15CBF">
      <w:pPr>
        <w:ind w:left="360"/>
        <w:rPr>
          <w:rFonts w:ascii="Arial" w:hAnsi="Arial"/>
        </w:rPr>
      </w:pPr>
    </w:p>
    <w:p w:rsidR="00C15CBF" w:rsidRPr="001D5BBF" w:rsidRDefault="00C15CBF" w:rsidP="00C15CBF">
      <w:pPr>
        <w:tabs>
          <w:tab w:val="left" w:pos="1080"/>
        </w:tabs>
        <w:ind w:left="360"/>
        <w:rPr>
          <w:rFonts w:ascii="Arial" w:hAnsi="Arial"/>
        </w:rPr>
      </w:pPr>
      <w:r>
        <w:rPr>
          <w:rFonts w:ascii="Arial" w:hAnsi="Arial"/>
          <w:i/>
        </w:rPr>
        <w:t xml:space="preserve">Transitional Housing </w:t>
      </w:r>
      <w:r>
        <w:rPr>
          <w:rFonts w:ascii="Arial" w:hAnsi="Arial"/>
        </w:rPr>
        <w:t xml:space="preserve">means housing with supportive services for up to 24 months that is exclusively designated and targeted for recently homeless persons. </w:t>
      </w:r>
    </w:p>
    <w:p w:rsidR="00C15CBF" w:rsidRDefault="00C15CBF" w:rsidP="00C15CBF">
      <w:pPr>
        <w:tabs>
          <w:tab w:val="left" w:pos="360"/>
        </w:tabs>
        <w:rPr>
          <w:rFonts w:ascii="Arial Bold" w:hAnsi="Arial Bold"/>
          <w:b/>
          <w:szCs w:val="22"/>
        </w:rPr>
      </w:pPr>
    </w:p>
    <w:p w:rsidR="00C15CBF" w:rsidRPr="006B33B0" w:rsidRDefault="00C15CBF" w:rsidP="00C15CBF">
      <w:pPr>
        <w:tabs>
          <w:tab w:val="left" w:pos="360"/>
        </w:tabs>
        <w:rPr>
          <w:rFonts w:ascii="Arial Bold" w:hAnsi="Arial Bold"/>
          <w:b/>
          <w:szCs w:val="22"/>
          <w:u w:val="single"/>
        </w:rPr>
      </w:pPr>
      <w:r>
        <w:rPr>
          <w:rFonts w:ascii="Arial Bold" w:hAnsi="Arial Bold"/>
          <w:b/>
          <w:szCs w:val="22"/>
        </w:rPr>
        <w:lastRenderedPageBreak/>
        <w:t>G</w:t>
      </w:r>
      <w:r w:rsidRPr="002D2319">
        <w:rPr>
          <w:rFonts w:ascii="Arial Bold" w:hAnsi="Arial Bold"/>
          <w:b/>
          <w:szCs w:val="22"/>
        </w:rPr>
        <w:t>.</w:t>
      </w:r>
      <w:r>
        <w:rPr>
          <w:rFonts w:ascii="Arial Bold" w:hAnsi="Arial Bold"/>
          <w:b/>
          <w:szCs w:val="22"/>
        </w:rPr>
        <w:tab/>
      </w:r>
      <w:r w:rsidRPr="00563155">
        <w:rPr>
          <w:rFonts w:ascii="Arial Bold" w:hAnsi="Arial Bold"/>
          <w:b/>
          <w:szCs w:val="22"/>
          <w:u w:val="single"/>
        </w:rPr>
        <w:t xml:space="preserve">Applicant, </w:t>
      </w:r>
      <w:r w:rsidRPr="00563155">
        <w:rPr>
          <w:rFonts w:ascii="Arial" w:hAnsi="Arial" w:cs="Arial"/>
          <w:b/>
          <w:szCs w:val="22"/>
          <w:u w:val="single"/>
        </w:rPr>
        <w:t>Sponsor</w:t>
      </w:r>
      <w:r>
        <w:rPr>
          <w:rFonts w:ascii="Arial" w:hAnsi="Arial" w:cs="Arial"/>
          <w:b/>
          <w:szCs w:val="22"/>
          <w:u w:val="single"/>
        </w:rPr>
        <w:t>, Service Provider, and Management Agent Requirements</w:t>
      </w:r>
    </w:p>
    <w:p w:rsidR="00C15CBF" w:rsidRDefault="00C15CBF" w:rsidP="00C15CBF">
      <w:pPr>
        <w:ind w:left="1440"/>
        <w:rPr>
          <w:rFonts w:ascii="Arial" w:hAnsi="Arial"/>
          <w:szCs w:val="22"/>
        </w:rPr>
      </w:pPr>
      <w:r>
        <w:rPr>
          <w:rFonts w:ascii="Arial" w:hAnsi="Arial"/>
          <w:szCs w:val="22"/>
        </w:rPr>
        <w:t xml:space="preserve"> </w:t>
      </w:r>
    </w:p>
    <w:p w:rsidR="00C15CBF" w:rsidRDefault="00C15CBF" w:rsidP="00C15CBF">
      <w:pPr>
        <w:ind w:left="360"/>
        <w:rPr>
          <w:rFonts w:ascii="Arial" w:hAnsi="Arial"/>
          <w:szCs w:val="22"/>
        </w:rPr>
      </w:pPr>
      <w:r>
        <w:rPr>
          <w:rFonts w:ascii="Arial" w:hAnsi="Arial"/>
          <w:i/>
          <w:szCs w:val="22"/>
        </w:rPr>
        <w:t xml:space="preserve">Applicant:  </w:t>
      </w:r>
      <w:r w:rsidRPr="001C7055">
        <w:rPr>
          <w:rFonts w:ascii="Arial" w:hAnsi="Arial"/>
          <w:szCs w:val="22"/>
        </w:rPr>
        <w:t xml:space="preserve">The </w:t>
      </w:r>
      <w:r>
        <w:rPr>
          <w:rFonts w:ascii="Arial" w:hAnsi="Arial"/>
          <w:szCs w:val="22"/>
        </w:rPr>
        <w:t>A</w:t>
      </w:r>
      <w:r w:rsidRPr="001C7055">
        <w:rPr>
          <w:rFonts w:ascii="Arial" w:hAnsi="Arial"/>
          <w:szCs w:val="22"/>
        </w:rPr>
        <w:t xml:space="preserve">pplicant must be an agency of </w:t>
      </w:r>
      <w:r>
        <w:rPr>
          <w:rFonts w:ascii="Arial" w:hAnsi="Arial"/>
          <w:szCs w:val="22"/>
        </w:rPr>
        <w:t>local government or nonprofit corporation that provides, or contracts with community organizations to provide, emergency shelter or transitional housing, a public housing authority, tribal government, or Continuum of Care entity.</w:t>
      </w:r>
    </w:p>
    <w:p w:rsidR="00C15CBF" w:rsidRPr="001C7055" w:rsidRDefault="00C15CBF" w:rsidP="00C15CBF">
      <w:pPr>
        <w:ind w:left="360"/>
        <w:rPr>
          <w:rFonts w:ascii="Arial" w:hAnsi="Arial"/>
          <w:i/>
          <w:szCs w:val="22"/>
        </w:rPr>
      </w:pPr>
    </w:p>
    <w:p w:rsidR="00C15CBF" w:rsidRDefault="00C15CBF" w:rsidP="00C15CBF">
      <w:pPr>
        <w:ind w:left="360"/>
        <w:rPr>
          <w:rFonts w:ascii="Arial" w:hAnsi="Arial"/>
          <w:szCs w:val="22"/>
        </w:rPr>
      </w:pPr>
      <w:r>
        <w:rPr>
          <w:rFonts w:ascii="Arial" w:hAnsi="Arial"/>
          <w:i/>
          <w:szCs w:val="22"/>
        </w:rPr>
        <w:t xml:space="preserve">Sponsor: </w:t>
      </w:r>
      <w:r>
        <w:rPr>
          <w:rFonts w:ascii="Arial" w:hAnsi="Arial"/>
          <w:szCs w:val="22"/>
        </w:rPr>
        <w:t xml:space="preserve">The Sponsor is the entity relied upon for experience and capacity, and which controls the project during the development and occupancy.  </w:t>
      </w:r>
    </w:p>
    <w:p w:rsidR="00C15CBF" w:rsidRDefault="00C15CBF" w:rsidP="00C15CBF">
      <w:pPr>
        <w:ind w:left="360"/>
        <w:rPr>
          <w:rFonts w:ascii="Arial" w:hAnsi="Arial"/>
          <w:szCs w:val="22"/>
        </w:rPr>
      </w:pPr>
    </w:p>
    <w:p w:rsidR="00C15CBF" w:rsidRDefault="00C15CBF" w:rsidP="00C15CBF">
      <w:pPr>
        <w:ind w:left="360"/>
        <w:rPr>
          <w:rFonts w:ascii="Arial" w:hAnsi="Arial"/>
          <w:szCs w:val="22"/>
        </w:rPr>
      </w:pPr>
      <w:r>
        <w:rPr>
          <w:rFonts w:ascii="Arial" w:hAnsi="Arial"/>
          <w:szCs w:val="22"/>
        </w:rPr>
        <w:t>Eligible Sponsors must meet one of the following requirements:</w:t>
      </w:r>
    </w:p>
    <w:p w:rsidR="00C15CBF" w:rsidRDefault="00C15CBF" w:rsidP="00C15CBF">
      <w:pPr>
        <w:ind w:left="450"/>
        <w:rPr>
          <w:rFonts w:ascii="Arial" w:hAnsi="Arial"/>
          <w:szCs w:val="22"/>
        </w:rPr>
      </w:pPr>
    </w:p>
    <w:p w:rsidR="00C15CBF" w:rsidRPr="00563155" w:rsidRDefault="00C15CBF" w:rsidP="00C15CBF">
      <w:pPr>
        <w:tabs>
          <w:tab w:val="left" w:pos="360"/>
        </w:tabs>
        <w:ind w:left="450"/>
        <w:rPr>
          <w:rFonts w:ascii="Arial Bold" w:hAnsi="Arial Bold"/>
          <w:b/>
          <w:szCs w:val="22"/>
        </w:rPr>
      </w:pPr>
      <w:r w:rsidRPr="00563155">
        <w:rPr>
          <w:rFonts w:ascii="Arial" w:hAnsi="Arial"/>
          <w:szCs w:val="22"/>
        </w:rPr>
        <w:t xml:space="preserve">(1) The Sponsor has successfully developed </w:t>
      </w:r>
      <w:r>
        <w:rPr>
          <w:rFonts w:ascii="Arial" w:hAnsi="Arial"/>
          <w:szCs w:val="22"/>
        </w:rPr>
        <w:t xml:space="preserve">and owned </w:t>
      </w:r>
      <w:r w:rsidRPr="00563155">
        <w:rPr>
          <w:rFonts w:ascii="Arial" w:hAnsi="Arial"/>
          <w:szCs w:val="22"/>
        </w:rPr>
        <w:t xml:space="preserve">at least one affordable rental housing project or </w:t>
      </w:r>
      <w:r>
        <w:rPr>
          <w:rFonts w:ascii="Arial" w:hAnsi="Arial"/>
          <w:szCs w:val="22"/>
        </w:rPr>
        <w:t xml:space="preserve">emergency or </w:t>
      </w:r>
      <w:r w:rsidR="00EF4CBE">
        <w:rPr>
          <w:rFonts w:ascii="Arial" w:hAnsi="Arial"/>
        </w:rPr>
        <w:t xml:space="preserve">transitional housing </w:t>
      </w:r>
      <w:r w:rsidR="00A81C07">
        <w:rPr>
          <w:rFonts w:ascii="Arial" w:hAnsi="Arial"/>
        </w:rPr>
        <w:t>project</w:t>
      </w:r>
      <w:r w:rsidR="00F03616">
        <w:rPr>
          <w:rFonts w:ascii="Arial" w:hAnsi="Arial"/>
        </w:rPr>
        <w:t xml:space="preserve">. </w:t>
      </w:r>
      <w:r w:rsidR="00A81C07">
        <w:rPr>
          <w:rFonts w:ascii="Arial" w:hAnsi="Arial"/>
        </w:rPr>
        <w:t xml:space="preserve"> </w:t>
      </w:r>
      <w:r w:rsidR="00A81C07" w:rsidRPr="00563155">
        <w:rPr>
          <w:rFonts w:ascii="Arial" w:hAnsi="Arial"/>
        </w:rPr>
        <w:t>OR</w:t>
      </w:r>
    </w:p>
    <w:p w:rsidR="00C15CBF" w:rsidRDefault="00C15CBF" w:rsidP="00C15CBF">
      <w:pPr>
        <w:ind w:left="360"/>
        <w:rPr>
          <w:rFonts w:ascii="Arial" w:hAnsi="Arial"/>
          <w:szCs w:val="22"/>
        </w:rPr>
      </w:pPr>
    </w:p>
    <w:p w:rsidR="00C15CBF" w:rsidRDefault="00C15CBF" w:rsidP="00C15CBF">
      <w:pPr>
        <w:ind w:left="360"/>
        <w:rPr>
          <w:rFonts w:ascii="Arial" w:hAnsi="Arial"/>
          <w:szCs w:val="22"/>
        </w:rPr>
      </w:pPr>
      <w:r>
        <w:rPr>
          <w:rFonts w:ascii="Arial" w:hAnsi="Arial"/>
          <w:szCs w:val="22"/>
        </w:rPr>
        <w:t>(2)   (a) The Sponsor contracts with a</w:t>
      </w:r>
      <w:r w:rsidRPr="005B2A32">
        <w:rPr>
          <w:rFonts w:ascii="Arial" w:hAnsi="Arial"/>
          <w:szCs w:val="22"/>
        </w:rPr>
        <w:t xml:space="preserve"> developer or development consultant for the provision of comprehensive development management services, provided that the Sponsor and the contractor have entered into an agreement acceptable to the Department making the contractor responsible for financial packaging, selection of other consultants, selecting the general construction contractor and property management agent, oversight of architectural design, construction management, and other major aspects of the development process; </w:t>
      </w:r>
      <w:r w:rsidRPr="00623602">
        <w:rPr>
          <w:rFonts w:ascii="Arial" w:hAnsi="Arial"/>
          <w:szCs w:val="22"/>
          <w:u w:val="single"/>
        </w:rPr>
        <w:t>and</w:t>
      </w:r>
      <w:r w:rsidRPr="005B2A32">
        <w:rPr>
          <w:rFonts w:ascii="Arial" w:hAnsi="Arial"/>
          <w:szCs w:val="22"/>
        </w:rPr>
        <w:t xml:space="preserve"> </w:t>
      </w:r>
    </w:p>
    <w:p w:rsidR="00C15CBF" w:rsidRPr="005B2A32" w:rsidRDefault="00C15CBF" w:rsidP="00C15CBF">
      <w:pPr>
        <w:ind w:left="360"/>
        <w:rPr>
          <w:rFonts w:ascii="Arial" w:hAnsi="Arial"/>
          <w:szCs w:val="22"/>
        </w:rPr>
      </w:pPr>
    </w:p>
    <w:p w:rsidR="00C15CBF" w:rsidRPr="00563155" w:rsidRDefault="00C15CBF" w:rsidP="00C15CBF">
      <w:pPr>
        <w:ind w:left="360"/>
        <w:rPr>
          <w:rFonts w:ascii="Arial" w:hAnsi="Arial"/>
          <w:szCs w:val="22"/>
        </w:rPr>
      </w:pPr>
      <w:r w:rsidRPr="005B2A32">
        <w:rPr>
          <w:rFonts w:ascii="Arial" w:hAnsi="Arial"/>
          <w:szCs w:val="22"/>
        </w:rPr>
        <w:t xml:space="preserve"> </w:t>
      </w:r>
      <w:r>
        <w:rPr>
          <w:rFonts w:ascii="Arial" w:hAnsi="Arial"/>
          <w:szCs w:val="22"/>
        </w:rPr>
        <w:tab/>
        <w:t>(b</w:t>
      </w:r>
      <w:r w:rsidRPr="00563155">
        <w:rPr>
          <w:rFonts w:ascii="Arial" w:hAnsi="Arial"/>
          <w:szCs w:val="22"/>
        </w:rPr>
        <w:t>) The Sponsor documents that it has current ownership experience commensurate with the ownership role and responsibilities in the proposed Project. (This may include ownership of an emergency shelter or transitional housing project.)</w:t>
      </w:r>
    </w:p>
    <w:p w:rsidR="00C15CBF" w:rsidRPr="00563155" w:rsidRDefault="00C15CBF" w:rsidP="00C15CBF">
      <w:pPr>
        <w:ind w:left="360"/>
        <w:rPr>
          <w:rFonts w:ascii="Arial" w:hAnsi="Arial"/>
          <w:szCs w:val="22"/>
        </w:rPr>
      </w:pPr>
    </w:p>
    <w:p w:rsidR="00C15CBF" w:rsidRPr="000D6E27" w:rsidRDefault="00C15CBF" w:rsidP="00C15CBF">
      <w:pPr>
        <w:ind w:left="360"/>
        <w:rPr>
          <w:rFonts w:ascii="Arial" w:hAnsi="Arial"/>
          <w:b/>
          <w:szCs w:val="22"/>
        </w:rPr>
      </w:pPr>
      <w:r w:rsidRPr="008E2AC8">
        <w:rPr>
          <w:rFonts w:ascii="Arial" w:hAnsi="Arial"/>
          <w:szCs w:val="22"/>
        </w:rPr>
        <w:t xml:space="preserve">HCD will evaluate all Sponsors, including the roles of any </w:t>
      </w:r>
      <w:r w:rsidRPr="00623602">
        <w:rPr>
          <w:rFonts w:ascii="Arial" w:hAnsi="Arial"/>
          <w:szCs w:val="22"/>
        </w:rPr>
        <w:t>general partner(s) in a limited partnership, to determine if the Sponsor’s roles, responsibilities, and benefits in the project development and operations are commensurate with activities necessary for Sponsor control of a Department funded project.  The Sponsor entity will be reviewed to determine if adequate staffing levels exist to undertake and complete the proposed project</w:t>
      </w:r>
      <w:r w:rsidRPr="009B7B5D">
        <w:rPr>
          <w:rFonts w:ascii="Arial" w:hAnsi="Arial"/>
          <w:szCs w:val="22"/>
        </w:rPr>
        <w:t xml:space="preserve">. </w:t>
      </w:r>
      <w:r w:rsidRPr="009B7B5D">
        <w:rPr>
          <w:rFonts w:ascii="Arial" w:hAnsi="Arial"/>
          <w:b/>
          <w:szCs w:val="22"/>
        </w:rPr>
        <w:t>The Managing General Partner of the Sponsorship entity must be a nonprofit that has effective control within the partnership as determined by the Department.</w:t>
      </w:r>
      <w:r>
        <w:rPr>
          <w:rFonts w:ascii="Arial" w:hAnsi="Arial"/>
          <w:b/>
          <w:szCs w:val="22"/>
        </w:rPr>
        <w:t xml:space="preserve"> </w:t>
      </w:r>
    </w:p>
    <w:p w:rsidR="00C15CBF" w:rsidRPr="00623602" w:rsidRDefault="00C15CBF" w:rsidP="00C15CBF">
      <w:pPr>
        <w:ind w:left="360"/>
        <w:rPr>
          <w:rFonts w:ascii="Arial" w:hAnsi="Arial"/>
          <w:szCs w:val="22"/>
        </w:rPr>
      </w:pPr>
    </w:p>
    <w:p w:rsidR="00C15CBF" w:rsidRPr="00623602" w:rsidRDefault="00C15CBF" w:rsidP="00C15CBF">
      <w:pPr>
        <w:ind w:left="360"/>
        <w:rPr>
          <w:rFonts w:ascii="Arial" w:hAnsi="Arial"/>
          <w:szCs w:val="22"/>
        </w:rPr>
      </w:pPr>
      <w:r w:rsidRPr="00623602">
        <w:rPr>
          <w:rFonts w:ascii="Arial" w:hAnsi="Arial"/>
          <w:szCs w:val="22"/>
        </w:rPr>
        <w:t xml:space="preserve">If the </w:t>
      </w:r>
      <w:r>
        <w:rPr>
          <w:rFonts w:ascii="Arial" w:hAnsi="Arial"/>
          <w:szCs w:val="22"/>
        </w:rPr>
        <w:t>b</w:t>
      </w:r>
      <w:r w:rsidRPr="00623602">
        <w:rPr>
          <w:rFonts w:ascii="Arial" w:hAnsi="Arial"/>
          <w:szCs w:val="22"/>
        </w:rPr>
        <w:t>orrower is an entity other than the Sponsor identified in the application, HCD may require the Sponsor to enter into a Sponsor Operating Guaranty as a condition of closing the EHA</w:t>
      </w:r>
      <w:r w:rsidR="00A460F1">
        <w:rPr>
          <w:rFonts w:ascii="Arial" w:hAnsi="Arial"/>
          <w:szCs w:val="22"/>
        </w:rPr>
        <w:t>P</w:t>
      </w:r>
      <w:r w:rsidR="00EF4CBE">
        <w:rPr>
          <w:rFonts w:ascii="Arial" w:hAnsi="Arial"/>
          <w:szCs w:val="22"/>
        </w:rPr>
        <w:t>-</w:t>
      </w:r>
      <w:r w:rsidRPr="00623602">
        <w:rPr>
          <w:rFonts w:ascii="Arial" w:hAnsi="Arial"/>
          <w:szCs w:val="22"/>
        </w:rPr>
        <w:t xml:space="preserve">CD </w:t>
      </w:r>
      <w:r>
        <w:rPr>
          <w:rFonts w:ascii="Arial" w:hAnsi="Arial"/>
          <w:szCs w:val="22"/>
        </w:rPr>
        <w:t>conversion l</w:t>
      </w:r>
      <w:r w:rsidRPr="00623602">
        <w:rPr>
          <w:rFonts w:ascii="Arial" w:hAnsi="Arial"/>
          <w:szCs w:val="22"/>
        </w:rPr>
        <w:t>oan.</w:t>
      </w:r>
    </w:p>
    <w:p w:rsidR="00C15CBF" w:rsidRPr="00623602" w:rsidRDefault="00C15CBF" w:rsidP="00C15CBF">
      <w:pPr>
        <w:ind w:left="360"/>
        <w:rPr>
          <w:rFonts w:ascii="Arial" w:hAnsi="Arial"/>
          <w:szCs w:val="22"/>
        </w:rPr>
      </w:pPr>
    </w:p>
    <w:p w:rsidR="00C15CBF" w:rsidRPr="00623602" w:rsidRDefault="00C15CBF" w:rsidP="00C15CBF">
      <w:pPr>
        <w:ind w:left="360"/>
        <w:rPr>
          <w:rFonts w:ascii="Arial" w:hAnsi="Arial"/>
          <w:szCs w:val="22"/>
        </w:rPr>
      </w:pPr>
      <w:r w:rsidRPr="00623602">
        <w:rPr>
          <w:rFonts w:ascii="Arial" w:hAnsi="Arial"/>
          <w:szCs w:val="22"/>
        </w:rPr>
        <w:t xml:space="preserve">Sponsors will be required to demonstrate how the Sponsor identified in the application will maintain full control of the </w:t>
      </w:r>
      <w:r w:rsidRPr="006F606C">
        <w:rPr>
          <w:rFonts w:ascii="Arial" w:hAnsi="Arial"/>
          <w:szCs w:val="22"/>
        </w:rPr>
        <w:t>ultimate borrower</w:t>
      </w:r>
      <w:r w:rsidRPr="00563155">
        <w:rPr>
          <w:rFonts w:ascii="Arial" w:hAnsi="Arial"/>
          <w:szCs w:val="22"/>
        </w:rPr>
        <w:t xml:space="preserve"> entity</w:t>
      </w:r>
      <w:r w:rsidRPr="00623602">
        <w:rPr>
          <w:rFonts w:ascii="Arial" w:hAnsi="Arial"/>
          <w:szCs w:val="22"/>
        </w:rPr>
        <w:t>, and the development, ownership, and management of the project.  Sponsor control must be in accord with UMR Section 8301(r) requirements of no more than one non-performing (shell) enti</w:t>
      </w:r>
      <w:r>
        <w:rPr>
          <w:rFonts w:ascii="Arial" w:hAnsi="Arial"/>
          <w:szCs w:val="22"/>
        </w:rPr>
        <w:t>ty between the Sponsor and the ultimate b</w:t>
      </w:r>
      <w:r w:rsidRPr="00623602">
        <w:rPr>
          <w:rFonts w:ascii="Arial" w:hAnsi="Arial"/>
          <w:szCs w:val="22"/>
        </w:rPr>
        <w:t xml:space="preserve">orrower.  </w:t>
      </w:r>
      <w:r w:rsidRPr="00623602">
        <w:rPr>
          <w:rFonts w:ascii="Arial" w:hAnsi="Arial"/>
          <w:szCs w:val="22"/>
        </w:rPr>
        <w:lastRenderedPageBreak/>
        <w:t>Documentation supporting the Sponsor’s control of the borrowing entity mus</w:t>
      </w:r>
      <w:r>
        <w:rPr>
          <w:rFonts w:ascii="Arial" w:hAnsi="Arial"/>
          <w:szCs w:val="22"/>
        </w:rPr>
        <w:t>t be submitted at the time the ultimate b</w:t>
      </w:r>
      <w:r w:rsidRPr="00623602">
        <w:rPr>
          <w:rFonts w:ascii="Arial" w:hAnsi="Arial"/>
          <w:szCs w:val="22"/>
        </w:rPr>
        <w:t xml:space="preserve">orrower is formed and in all cases, prior to the construction loan close.  </w:t>
      </w:r>
    </w:p>
    <w:p w:rsidR="00C15CBF" w:rsidRPr="00623602" w:rsidRDefault="00C15CBF" w:rsidP="00C15CBF">
      <w:pPr>
        <w:ind w:left="360"/>
        <w:rPr>
          <w:rFonts w:ascii="Arial" w:hAnsi="Arial"/>
          <w:szCs w:val="22"/>
        </w:rPr>
      </w:pPr>
    </w:p>
    <w:p w:rsidR="00C15CBF" w:rsidRPr="008E2AC8" w:rsidRDefault="00C15CBF" w:rsidP="00C15CBF">
      <w:pPr>
        <w:ind w:left="360"/>
        <w:rPr>
          <w:rFonts w:ascii="Arial" w:hAnsi="Arial"/>
          <w:szCs w:val="22"/>
        </w:rPr>
      </w:pPr>
      <w:r w:rsidRPr="00623602">
        <w:rPr>
          <w:rFonts w:ascii="Arial" w:hAnsi="Arial"/>
          <w:b/>
          <w:szCs w:val="22"/>
        </w:rPr>
        <w:t>The entity that submits information to garner experience points must be named as the Sponsor in the application.</w:t>
      </w:r>
      <w:r w:rsidRPr="00623602">
        <w:rPr>
          <w:rFonts w:ascii="Arial" w:hAnsi="Arial"/>
          <w:szCs w:val="22"/>
        </w:rPr>
        <w:t xml:space="preserve">  HCD will permit loan commitments to be transferred to single-asset entities provided the Sponsor entities maintain sufficient control of the borro</w:t>
      </w:r>
      <w:r>
        <w:rPr>
          <w:rFonts w:ascii="Arial" w:hAnsi="Arial"/>
          <w:szCs w:val="22"/>
        </w:rPr>
        <w:t>wing entity to ensure that the ultimate b</w:t>
      </w:r>
      <w:r w:rsidRPr="00623602">
        <w:rPr>
          <w:rFonts w:ascii="Arial" w:hAnsi="Arial"/>
          <w:szCs w:val="22"/>
        </w:rPr>
        <w:t>orrower has the resources and experience to develop, own and manage the project.  The same threshold criteria will be applied to evaluate Sponsor experience for purpose of awarding points</w:t>
      </w:r>
      <w:r w:rsidRPr="008E2AC8">
        <w:rPr>
          <w:rFonts w:ascii="Arial" w:hAnsi="Arial"/>
          <w:szCs w:val="22"/>
        </w:rPr>
        <w:t xml:space="preserve">.  </w:t>
      </w:r>
    </w:p>
    <w:p w:rsidR="00C15CBF" w:rsidRPr="008E2AC8" w:rsidRDefault="00C15CBF" w:rsidP="00C15CBF">
      <w:pPr>
        <w:ind w:left="360"/>
        <w:rPr>
          <w:rFonts w:ascii="Arial" w:hAnsi="Arial"/>
          <w:szCs w:val="22"/>
        </w:rPr>
      </w:pPr>
    </w:p>
    <w:p w:rsidR="00C15CBF" w:rsidRDefault="00C15CBF" w:rsidP="00C15CBF">
      <w:pPr>
        <w:ind w:left="360"/>
        <w:rPr>
          <w:rFonts w:ascii="Arial" w:hAnsi="Arial"/>
          <w:szCs w:val="22"/>
        </w:rPr>
      </w:pPr>
      <w:r w:rsidRPr="008E2AC8">
        <w:rPr>
          <w:rFonts w:ascii="Arial" w:hAnsi="Arial"/>
          <w:szCs w:val="22"/>
        </w:rPr>
        <w:t xml:space="preserve">Sponsors must have site control documentation as required under the </w:t>
      </w:r>
      <w:hyperlink r:id="rId18" w:history="1">
        <w:r w:rsidRPr="00637900">
          <w:rPr>
            <w:rStyle w:val="Hyperlink"/>
            <w:rFonts w:ascii="Arial" w:hAnsi="Arial"/>
            <w:szCs w:val="22"/>
          </w:rPr>
          <w:t>UMR Section 8303</w:t>
        </w:r>
      </w:hyperlink>
      <w:r>
        <w:rPr>
          <w:rFonts w:ascii="Arial" w:hAnsi="Arial"/>
          <w:szCs w:val="22"/>
        </w:rPr>
        <w:t xml:space="preserve"> </w:t>
      </w:r>
      <w:r w:rsidRPr="008E2AC8">
        <w:rPr>
          <w:rFonts w:ascii="Arial" w:hAnsi="Arial"/>
          <w:szCs w:val="22"/>
        </w:rPr>
        <w:t>in the name of the Sponsor or an e</w:t>
      </w:r>
      <w:r>
        <w:rPr>
          <w:rFonts w:ascii="Arial" w:hAnsi="Arial"/>
          <w:szCs w:val="22"/>
        </w:rPr>
        <w:t>ntity controlled by the Sponsor.</w:t>
      </w:r>
    </w:p>
    <w:p w:rsidR="00C15CBF" w:rsidRDefault="00C15CBF" w:rsidP="00C15CBF">
      <w:pPr>
        <w:ind w:left="360"/>
        <w:rPr>
          <w:rFonts w:ascii="Arial" w:hAnsi="Arial"/>
          <w:szCs w:val="22"/>
        </w:rPr>
      </w:pPr>
    </w:p>
    <w:p w:rsidR="00C15CBF" w:rsidRPr="00563155" w:rsidRDefault="00C15CBF" w:rsidP="00C15CBF">
      <w:pPr>
        <w:ind w:left="360"/>
        <w:rPr>
          <w:rFonts w:ascii="Arial" w:hAnsi="Arial" w:cs="Arial"/>
          <w:szCs w:val="22"/>
        </w:rPr>
      </w:pPr>
      <w:r w:rsidRPr="00563155">
        <w:rPr>
          <w:rFonts w:ascii="Arial" w:hAnsi="Arial" w:cs="Arial"/>
          <w:i/>
          <w:szCs w:val="22"/>
        </w:rPr>
        <w:t>Supportive Service Provider</w:t>
      </w:r>
      <w:r w:rsidRPr="00563155">
        <w:rPr>
          <w:rFonts w:ascii="Arial" w:hAnsi="Arial" w:cs="Arial"/>
          <w:szCs w:val="22"/>
        </w:rPr>
        <w:t>: The primary or lead supportive service provider must meet the following requirements: (1) have a minimum of 24 months experience providing supportive services in emergency shelter, transitional housing, or permanent housing to a population similar to the proposed target population; (2) participate in their local Continuum of Care, if one exists; and (3) participate in the local Homelessness Management Information System (HMIS).  The primary or lead supportive service provider is the entity responsible for the overall implementation of the service plan, including comprehensive case management, referrals to community based services, housing retention services, and coordination between multiple service providers, where applicable.</w:t>
      </w:r>
    </w:p>
    <w:p w:rsidR="00C15CBF" w:rsidRPr="00563155" w:rsidRDefault="00C15CBF" w:rsidP="00C15CBF">
      <w:pPr>
        <w:ind w:left="360"/>
        <w:rPr>
          <w:rFonts w:ascii="Arial" w:hAnsi="Arial" w:cs="Arial"/>
          <w:i/>
          <w:szCs w:val="22"/>
          <w:highlight w:val="yellow"/>
        </w:rPr>
      </w:pPr>
    </w:p>
    <w:p w:rsidR="00C15CBF" w:rsidRPr="00563155" w:rsidRDefault="00C15CBF" w:rsidP="00C15CBF">
      <w:pPr>
        <w:ind w:left="360"/>
        <w:rPr>
          <w:rFonts w:ascii="Arial" w:hAnsi="Arial" w:cs="Arial"/>
          <w:szCs w:val="22"/>
        </w:rPr>
      </w:pPr>
      <w:r w:rsidRPr="00563155">
        <w:rPr>
          <w:rFonts w:ascii="Arial" w:hAnsi="Arial" w:cs="Arial"/>
          <w:i/>
          <w:szCs w:val="22"/>
        </w:rPr>
        <w:t xml:space="preserve">Property Manager: </w:t>
      </w:r>
      <w:r w:rsidRPr="00563155">
        <w:rPr>
          <w:rFonts w:ascii="Arial" w:hAnsi="Arial" w:cs="Arial"/>
          <w:szCs w:val="22"/>
        </w:rPr>
        <w:t>The project’s proposed property manager must have a minimum of 24 months experience managing a special needs or supportive housing project of five or more dwelling units. Where the proposed project contains less than 10 units, the Department may approve a property manager with experience managing properties that do not qualify as a Rental Housing Development provided that the property manager has experience serving a population similar to the proposed target population.</w:t>
      </w:r>
    </w:p>
    <w:p w:rsidR="00C15CBF" w:rsidRPr="00563155" w:rsidRDefault="00C15CBF" w:rsidP="00C15CBF">
      <w:pPr>
        <w:ind w:left="360"/>
        <w:rPr>
          <w:rFonts w:ascii="Arial" w:hAnsi="Arial" w:cs="Arial"/>
          <w:i/>
          <w:szCs w:val="22"/>
        </w:rPr>
      </w:pPr>
    </w:p>
    <w:p w:rsidR="00C15CBF" w:rsidRDefault="00C15CBF" w:rsidP="00C15CBF">
      <w:pPr>
        <w:pStyle w:val="BodyTextIndent2"/>
        <w:tabs>
          <w:tab w:val="left" w:pos="720"/>
        </w:tabs>
        <w:rPr>
          <w:rFonts w:ascii="Arial Bold" w:hAnsi="Arial Bold"/>
          <w:b/>
          <w:szCs w:val="22"/>
        </w:rPr>
      </w:pPr>
      <w:r w:rsidRPr="00563155" w:rsidDel="001B2916">
        <w:rPr>
          <w:rFonts w:ascii="Arial" w:hAnsi="Arial" w:cs="Arial"/>
          <w:sz w:val="24"/>
          <w:szCs w:val="22"/>
        </w:rPr>
        <w:t xml:space="preserve"> </w:t>
      </w:r>
      <w:bookmarkStart w:id="1" w:name="I582D7D74BD2611E38DBAC7149AD3176B"/>
      <w:bookmarkStart w:id="2" w:name="I582D7D75BD2611E38DBAC7149AD3176B"/>
      <w:bookmarkStart w:id="3" w:name="I582DA480BD2611E38DBAC7149AD3176B"/>
      <w:bookmarkStart w:id="4" w:name="I582DA481BD2611E38DBAC7149AD3176B"/>
      <w:bookmarkStart w:id="5" w:name="I582DA482BD2611E38DBAC7149AD3176B"/>
      <w:bookmarkStart w:id="6" w:name="I582DA483BD2611E38DBAC7149AD3176B"/>
      <w:bookmarkStart w:id="7" w:name="I582DA484BD2611E38DBAC7149AD3176B"/>
      <w:bookmarkStart w:id="8" w:name="I582DA485BD2611E38DBAC7149AD3176B"/>
      <w:bookmarkStart w:id="9" w:name="I582DCB90BD2611E38DBAC7149AD3176B"/>
      <w:bookmarkStart w:id="10" w:name="I582DCB91BD2611E38DBAC7149AD3176B"/>
      <w:bookmarkStart w:id="11" w:name="I582DCB92BD2611E38DBAC7149AD3176B"/>
      <w:bookmarkStart w:id="12" w:name="I582DCB93BD2611E38DBAC7149AD3176B"/>
      <w:bookmarkStart w:id="13" w:name="I582DF2A0BD2611E38DBAC7149AD3176B"/>
      <w:bookmarkStart w:id="14" w:name="I582DF2A1BD2611E38DBAC7149AD3176B"/>
      <w:bookmarkStart w:id="15" w:name="a_1"/>
      <w:bookmarkStart w:id="16" w:name="a_2"/>
      <w:bookmarkStart w:id="17" w:name="a_3"/>
      <w:bookmarkStart w:id="18" w:name="a_4"/>
      <w:bookmarkStart w:id="19" w:name="a_5"/>
      <w:bookmarkStart w:id="20" w:name="a_5_A"/>
      <w:bookmarkStart w:id="21" w:name="a_5_A_i"/>
      <w:bookmarkStart w:id="22" w:name="a_5_A_ii"/>
      <w:bookmarkStart w:id="23" w:name="a_5_A_iii"/>
      <w:bookmarkStart w:id="24" w:name="a_5_B"/>
      <w:bookmarkStart w:id="25" w:name="a_5_C"/>
      <w:bookmarkStart w:id="26" w:name="a_6"/>
      <w:bookmarkStart w:id="27" w:name="a_6_A"/>
      <w:bookmarkStart w:id="28" w:name="a_6_B"/>
      <w:bookmarkStart w:id="29" w:name="a_6_C"/>
      <w:bookmarkStart w:id="30" w:name="b"/>
      <w:bookmarkStart w:id="31" w:name="c"/>
      <w:bookmarkStart w:id="32" w:name="c_1"/>
      <w:bookmarkStart w:id="33" w:name="c_2"/>
      <w:bookmarkStart w:id="34" w:name="d"/>
      <w:bookmarkStart w:id="35" w:name="e"/>
      <w:bookmarkStart w:id="36" w:name="I582E19B2BD2611E38DBAC7149AD3176B"/>
      <w:bookmarkStart w:id="37" w:name="I582E19B3BD2611E38DBAC7149AD3176B"/>
      <w:bookmarkStart w:id="38" w:name="I582E19B4BD2611E38DBAC7149AD3176B"/>
      <w:bookmarkStart w:id="39" w:name="I582E19B5BD2611E38DBAC7149AD3176B"/>
      <w:bookmarkStart w:id="40" w:name="I582E40C0BD2611E38DBAC7149AD3176B"/>
      <w:bookmarkStart w:id="41" w:name="I582E40C1BD2611E38DBAC7149AD3176B"/>
      <w:bookmarkStart w:id="42" w:name="I582E40C2BD2611E38DBAC7149AD3176B"/>
      <w:bookmarkStart w:id="43" w:name="I582E40C3BD2611E38DBAC7149AD3176B"/>
      <w:bookmarkStart w:id="44" w:name="I582E40C4BD2611E38DBAC7149AD3176B"/>
      <w:bookmarkStart w:id="45" w:name="I582E40C5BD2611E38DBAC7149AD3176B"/>
      <w:bookmarkStart w:id="46" w:name="I582E67D0BD2611E38DBAC7149AD3176B"/>
      <w:bookmarkStart w:id="47" w:name="I582E67D1BD2611E38DBAC7149AD3176B"/>
      <w:bookmarkStart w:id="48" w:name="I582E67D2BD2611E38DBAC7149AD3176B"/>
      <w:bookmarkStart w:id="49" w:name="I582E67D3BD2611E38DBAC7149AD3176B"/>
      <w:bookmarkStart w:id="50" w:name="I582E8EE0BD2611E38DBAC7149AD3176B"/>
      <w:bookmarkStart w:id="51" w:name="I582E8EE1BD2611E38DBAC7149AD3176B"/>
      <w:bookmarkStart w:id="52" w:name="I582E8EE2BD2611E38DBAC7149AD3176B"/>
      <w:bookmarkStart w:id="53" w:name="I582E8EE3BD2611E38DBAC7149AD3176B"/>
      <w:bookmarkStart w:id="54" w:name="I582E8EE4BD2611E38DBAC7149AD3176B"/>
      <w:bookmarkStart w:id="55" w:name="I582E8EE5BD2611E38DBAC7149AD3176B"/>
      <w:bookmarkStart w:id="56" w:name="I582EB5F0BD2611E38DBAC7149AD3176B"/>
      <w:bookmarkStart w:id="57" w:name="I582EB5F1BD2611E38DBAC7149AD3176B"/>
      <w:bookmarkStart w:id="58" w:name="I582EB5F2BD2611E38DBAC7149AD3176B"/>
      <w:bookmarkStart w:id="59" w:name="I582EB5F3BD2611E38DBAC7149AD3176B"/>
      <w:bookmarkStart w:id="60" w:name="I582EDD00BD2611E38DBAC7149AD3176B"/>
      <w:bookmarkStart w:id="61" w:name="I582EDD01BD2611E38DBAC7149AD3176B"/>
      <w:bookmarkStart w:id="62" w:name="I582EDD02BD2611E38DBAC7149AD3176B"/>
      <w:bookmarkStart w:id="63" w:name="I582EDD03BD2611E38DBAC7149AD3176B"/>
      <w:bookmarkStart w:id="64" w:name="I582EDD04BD2611E38DBAC7149AD3176B"/>
      <w:bookmarkStart w:id="65" w:name="I582EDD05BD2611E38DBAC7149AD3176B"/>
      <w:bookmarkStart w:id="66" w:name="I582F0410BD2611E38DBAC7149AD3176B"/>
      <w:bookmarkStart w:id="67" w:name="I582F0411BD2611E38DBAC7149AD3176B"/>
      <w:bookmarkStart w:id="68" w:name="I582F0412BD2611E38DBAC7149AD3176B"/>
      <w:bookmarkStart w:id="69" w:name="I582F0413BD2611E38DBAC7149AD3176B"/>
      <w:bookmarkStart w:id="70" w:name="I582F2B20BD2611E38DBAC7149AD3176B"/>
      <w:bookmarkStart w:id="71" w:name="I582F2B21BD2611E38DBAC7149AD3176B"/>
      <w:bookmarkStart w:id="72" w:name="I582F2B22BD2611E38DBAC7149AD3176B"/>
      <w:bookmarkStart w:id="73" w:name="I582F2B23BD2611E38DBAC7149AD3176B"/>
      <w:bookmarkStart w:id="74" w:name="I582F2B24BD2611E38DBAC7149AD3176B"/>
      <w:bookmarkStart w:id="75" w:name="I582F5230BD2611E38DBAC7149AD3176B"/>
      <w:bookmarkStart w:id="76" w:name="I582F5231BD2611E38DBAC7149AD3176B"/>
      <w:bookmarkStart w:id="77" w:name="I582F5232BD2611E38DBAC7149AD3176B"/>
      <w:bookmarkStart w:id="78" w:name="I582F5233BD2611E38DBAC7149AD3176B"/>
      <w:bookmarkStart w:id="79" w:name="I582F5234BD2611E38DBAC7149AD3176B"/>
      <w:bookmarkStart w:id="80" w:name="I582F7940BD2611E38DBAC7149AD3176B"/>
      <w:bookmarkStart w:id="81" w:name="I582F7941BD2611E38DBAC7149AD3176B"/>
      <w:bookmarkStart w:id="82" w:name="I582F7942BD2611E38DBAC7149AD3176B"/>
      <w:bookmarkStart w:id="83" w:name="I582F7943BD2611E38DBAC7149AD3176B"/>
      <w:bookmarkStart w:id="84" w:name="I582FA050BD2611E38DBAC7149AD3176B"/>
      <w:bookmarkStart w:id="85" w:name="I582FA051BD2611E38DBAC7149AD3176B"/>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15CBF" w:rsidRPr="002414D6" w:rsidRDefault="00C15CBF" w:rsidP="00C15CBF">
      <w:pPr>
        <w:tabs>
          <w:tab w:val="left" w:pos="360"/>
        </w:tabs>
        <w:rPr>
          <w:rFonts w:ascii="Arial Bold" w:hAnsi="Arial Bold"/>
          <w:b/>
          <w:szCs w:val="22"/>
        </w:rPr>
      </w:pPr>
      <w:r>
        <w:rPr>
          <w:rFonts w:ascii="Arial Bold" w:hAnsi="Arial Bold"/>
          <w:b/>
          <w:szCs w:val="22"/>
        </w:rPr>
        <w:t>H.</w:t>
      </w:r>
      <w:r w:rsidRPr="002414D6">
        <w:rPr>
          <w:rFonts w:ascii="Arial Bold" w:hAnsi="Arial Bold"/>
          <w:b/>
          <w:szCs w:val="22"/>
        </w:rPr>
        <w:tab/>
      </w:r>
      <w:r w:rsidRPr="00CA7BD1">
        <w:rPr>
          <w:rFonts w:ascii="Arial" w:hAnsi="Arial" w:cs="Arial"/>
          <w:b/>
          <w:szCs w:val="22"/>
          <w:u w:val="single"/>
        </w:rPr>
        <w:t>Eligible Uses of Funds</w:t>
      </w:r>
    </w:p>
    <w:p w:rsidR="00C15CBF" w:rsidRDefault="00C15CBF" w:rsidP="00C15CBF">
      <w:pPr>
        <w:ind w:left="360"/>
        <w:rPr>
          <w:rFonts w:ascii="Arial" w:hAnsi="Arial" w:cs="Arial"/>
          <w:szCs w:val="22"/>
        </w:rPr>
      </w:pPr>
    </w:p>
    <w:p w:rsidR="00C15CBF" w:rsidRDefault="00C15CBF" w:rsidP="00C15CBF">
      <w:pPr>
        <w:ind w:left="360"/>
        <w:rPr>
          <w:rFonts w:ascii="Arial" w:hAnsi="Arial" w:cs="Arial"/>
          <w:szCs w:val="22"/>
        </w:rPr>
      </w:pPr>
      <w:r>
        <w:rPr>
          <w:rFonts w:ascii="Arial" w:hAnsi="Arial" w:cs="Arial"/>
          <w:szCs w:val="22"/>
        </w:rPr>
        <w:t xml:space="preserve">EHAP-CD conversion </w:t>
      </w:r>
      <w:r w:rsidR="003E00B5">
        <w:rPr>
          <w:rFonts w:ascii="Arial" w:hAnsi="Arial" w:cs="Arial"/>
          <w:szCs w:val="22"/>
        </w:rPr>
        <w:t>funds may</w:t>
      </w:r>
      <w:r w:rsidRPr="00443957">
        <w:rPr>
          <w:rFonts w:ascii="Arial" w:hAnsi="Arial" w:cs="Arial"/>
          <w:szCs w:val="22"/>
        </w:rPr>
        <w:t xml:space="preserve"> be provided as </w:t>
      </w:r>
      <w:r>
        <w:rPr>
          <w:rFonts w:ascii="Arial" w:hAnsi="Arial" w:cs="Arial"/>
          <w:szCs w:val="22"/>
        </w:rPr>
        <w:t>construction financing which will convert to permanent financing, or</w:t>
      </w:r>
      <w:r w:rsidRPr="00443957">
        <w:rPr>
          <w:rFonts w:ascii="Arial" w:hAnsi="Arial" w:cs="Arial"/>
          <w:szCs w:val="22"/>
        </w:rPr>
        <w:t xml:space="preserve"> may be used </w:t>
      </w:r>
      <w:r>
        <w:rPr>
          <w:rFonts w:ascii="Arial" w:hAnsi="Arial" w:cs="Arial"/>
          <w:szCs w:val="22"/>
        </w:rPr>
        <w:t xml:space="preserve">only as permanent financing to pay off </w:t>
      </w:r>
      <w:r w:rsidRPr="00443957">
        <w:rPr>
          <w:rFonts w:ascii="Arial" w:hAnsi="Arial" w:cs="Arial"/>
          <w:szCs w:val="22"/>
        </w:rPr>
        <w:t xml:space="preserve">construction loans incurred for normal project development (capital) costs, as </w:t>
      </w:r>
      <w:r>
        <w:rPr>
          <w:rFonts w:ascii="Arial" w:hAnsi="Arial" w:cs="Arial"/>
          <w:szCs w:val="22"/>
        </w:rPr>
        <w:t xml:space="preserve">set forth below. </w:t>
      </w:r>
    </w:p>
    <w:p w:rsidR="00C15CBF" w:rsidRDefault="00C15CBF" w:rsidP="00C15CBF">
      <w:pPr>
        <w:ind w:left="360"/>
        <w:rPr>
          <w:rFonts w:ascii="Arial" w:hAnsi="Arial" w:cs="Arial"/>
          <w:szCs w:val="22"/>
        </w:rPr>
      </w:pPr>
    </w:p>
    <w:p w:rsidR="00C15CBF" w:rsidRPr="002A1E27" w:rsidRDefault="00C15CBF" w:rsidP="00C15CBF">
      <w:pPr>
        <w:ind w:left="360"/>
        <w:rPr>
          <w:rFonts w:ascii="Arial" w:hAnsi="Arial" w:cs="Arial"/>
          <w:szCs w:val="22"/>
        </w:rPr>
      </w:pPr>
      <w:r w:rsidRPr="002A1E27">
        <w:rPr>
          <w:rFonts w:ascii="Arial" w:hAnsi="Arial" w:cs="Arial"/>
          <w:szCs w:val="22"/>
        </w:rPr>
        <w:t xml:space="preserve">Funds shall be used only for approved eligible </w:t>
      </w:r>
      <w:r>
        <w:rPr>
          <w:rFonts w:ascii="Arial" w:hAnsi="Arial" w:cs="Arial"/>
          <w:szCs w:val="22"/>
        </w:rPr>
        <w:t>costs that are incurred on the p</w:t>
      </w:r>
      <w:r w:rsidRPr="002A1E27">
        <w:rPr>
          <w:rFonts w:ascii="Arial" w:hAnsi="Arial" w:cs="Arial"/>
          <w:szCs w:val="22"/>
        </w:rPr>
        <w:t>roject as set forth in this section</w:t>
      </w:r>
      <w:r>
        <w:rPr>
          <w:rFonts w:ascii="Arial" w:hAnsi="Arial" w:cs="Arial"/>
          <w:szCs w:val="22"/>
        </w:rPr>
        <w:t xml:space="preserve">. </w:t>
      </w:r>
      <w:r w:rsidRPr="002A1E27">
        <w:rPr>
          <w:rFonts w:ascii="Arial" w:hAnsi="Arial" w:cs="Arial"/>
          <w:szCs w:val="22"/>
        </w:rPr>
        <w:t>In addition, the costs must be necessary and must be consistent with the lowest reaso</w:t>
      </w:r>
      <w:r>
        <w:rPr>
          <w:rFonts w:ascii="Arial" w:hAnsi="Arial" w:cs="Arial"/>
          <w:szCs w:val="22"/>
        </w:rPr>
        <w:t>nable cost consistent with the p</w:t>
      </w:r>
      <w:r w:rsidRPr="002A1E27">
        <w:rPr>
          <w:rFonts w:ascii="Arial" w:hAnsi="Arial" w:cs="Arial"/>
          <w:szCs w:val="22"/>
        </w:rPr>
        <w:t xml:space="preserve">roject's scope and area as determined by the Department. </w:t>
      </w:r>
    </w:p>
    <w:p w:rsidR="00C15CBF" w:rsidRDefault="00C15CBF" w:rsidP="00C15CBF">
      <w:pPr>
        <w:overflowPunct/>
        <w:ind w:left="1440" w:hanging="720"/>
        <w:jc w:val="both"/>
        <w:textAlignment w:val="auto"/>
        <w:rPr>
          <w:rFonts w:ascii="Arial" w:hAnsi="Arial" w:cs="Arial"/>
          <w:szCs w:val="22"/>
        </w:rPr>
      </w:pPr>
    </w:p>
    <w:p w:rsidR="00C15CBF" w:rsidRPr="002A1E27" w:rsidRDefault="00C15CBF" w:rsidP="00C15CBF">
      <w:pPr>
        <w:overflowPunct/>
        <w:ind w:left="1440" w:hanging="720"/>
        <w:jc w:val="both"/>
        <w:textAlignment w:val="auto"/>
        <w:rPr>
          <w:rFonts w:ascii="Arial" w:hAnsi="Arial" w:cs="Arial"/>
          <w:szCs w:val="22"/>
        </w:rPr>
      </w:pPr>
      <w:r w:rsidRPr="002A1E27">
        <w:rPr>
          <w:rFonts w:ascii="Arial" w:hAnsi="Arial" w:cs="Arial"/>
          <w:szCs w:val="22"/>
        </w:rPr>
        <w:lastRenderedPageBreak/>
        <w:t xml:space="preserve">Eligible costs include the following: </w:t>
      </w:r>
    </w:p>
    <w:p w:rsidR="00C15CBF" w:rsidRDefault="00C15CBF" w:rsidP="00C15CBF">
      <w:pPr>
        <w:overflowPunct/>
        <w:ind w:left="1440"/>
        <w:jc w:val="both"/>
        <w:textAlignment w:val="auto"/>
        <w:rPr>
          <w:rFonts w:ascii="Arial" w:hAnsi="Arial" w:cs="Arial"/>
          <w:szCs w:val="22"/>
        </w:rPr>
      </w:pPr>
    </w:p>
    <w:p w:rsidR="00C15CBF" w:rsidRDefault="00C15CBF" w:rsidP="00C15CBF">
      <w:pPr>
        <w:numPr>
          <w:ilvl w:val="0"/>
          <w:numId w:val="21"/>
        </w:numPr>
        <w:overflowPunct/>
        <w:jc w:val="both"/>
        <w:textAlignment w:val="auto"/>
        <w:rPr>
          <w:rFonts w:ascii="Arial" w:hAnsi="Arial" w:cs="Arial"/>
          <w:szCs w:val="22"/>
        </w:rPr>
      </w:pPr>
      <w:r>
        <w:rPr>
          <w:rFonts w:ascii="Arial" w:hAnsi="Arial" w:cs="Arial"/>
          <w:szCs w:val="22"/>
        </w:rPr>
        <w:t>P</w:t>
      </w:r>
      <w:r w:rsidRPr="002A1E27">
        <w:rPr>
          <w:rFonts w:ascii="Arial" w:hAnsi="Arial" w:cs="Arial"/>
          <w:szCs w:val="22"/>
        </w:rPr>
        <w:t>roperty acquisition</w:t>
      </w:r>
      <w:r>
        <w:rPr>
          <w:rFonts w:ascii="Arial" w:hAnsi="Arial" w:cs="Arial"/>
          <w:szCs w:val="22"/>
        </w:rPr>
        <w:t xml:space="preserve"> by the project Sponsor or another entity that will operate the project as Permanent Supportive Housing for homeless or at-risk homeless individuals or families. </w:t>
      </w:r>
    </w:p>
    <w:p w:rsidR="00C15CBF" w:rsidRDefault="00C15CBF" w:rsidP="00C15CBF">
      <w:pPr>
        <w:overflowPunct/>
        <w:ind w:left="1815"/>
        <w:jc w:val="both"/>
        <w:textAlignment w:val="auto"/>
        <w:rPr>
          <w:rFonts w:ascii="Arial" w:hAnsi="Arial" w:cs="Arial"/>
          <w:szCs w:val="22"/>
        </w:rPr>
      </w:pPr>
    </w:p>
    <w:p w:rsidR="00C15CBF" w:rsidRDefault="00C15CBF" w:rsidP="00C15CBF">
      <w:pPr>
        <w:numPr>
          <w:ilvl w:val="0"/>
          <w:numId w:val="21"/>
        </w:numPr>
        <w:overflowPunct/>
        <w:jc w:val="both"/>
        <w:textAlignment w:val="auto"/>
        <w:rPr>
          <w:rFonts w:ascii="Arial" w:hAnsi="Arial" w:cs="Arial"/>
          <w:szCs w:val="22"/>
        </w:rPr>
      </w:pPr>
      <w:r w:rsidRPr="004318CF">
        <w:rPr>
          <w:rFonts w:ascii="Arial" w:hAnsi="Arial" w:cs="Arial"/>
          <w:szCs w:val="22"/>
        </w:rPr>
        <w:t>Land lease payments; any prepaid leasehold payments for the proposed project must be reasonable compared to the fee purchase price of the property and based on the leasehold value as supported by an independent third party appraisal</w:t>
      </w:r>
    </w:p>
    <w:p w:rsidR="00C15CBF" w:rsidRDefault="00C15CBF" w:rsidP="00C15CBF">
      <w:pPr>
        <w:pStyle w:val="ListParagraph"/>
        <w:rPr>
          <w:rFonts w:ascii="Arial" w:hAnsi="Arial" w:cs="Arial"/>
          <w:szCs w:val="22"/>
        </w:rPr>
      </w:pPr>
    </w:p>
    <w:p w:rsidR="00C15CBF" w:rsidRDefault="00C15CBF" w:rsidP="00C15CBF">
      <w:pPr>
        <w:numPr>
          <w:ilvl w:val="0"/>
          <w:numId w:val="21"/>
        </w:numPr>
        <w:overflowPunct/>
        <w:jc w:val="both"/>
        <w:textAlignment w:val="auto"/>
        <w:rPr>
          <w:rFonts w:ascii="Arial" w:hAnsi="Arial" w:cs="Arial"/>
          <w:szCs w:val="22"/>
        </w:rPr>
      </w:pPr>
      <w:r w:rsidRPr="004318CF">
        <w:rPr>
          <w:rFonts w:ascii="Arial" w:hAnsi="Arial" w:cs="Arial"/>
          <w:szCs w:val="22"/>
        </w:rPr>
        <w:t xml:space="preserve">Construction and rehabilitation work necessary for the conversion of the facility from emergency shelter or transitional housing to permanent Supportive Housing </w:t>
      </w:r>
    </w:p>
    <w:p w:rsidR="00C15CBF" w:rsidRDefault="00C15CBF" w:rsidP="00C15CBF">
      <w:pPr>
        <w:pStyle w:val="ListParagraph"/>
        <w:rPr>
          <w:rFonts w:ascii="Arial" w:hAnsi="Arial" w:cs="Arial"/>
          <w:szCs w:val="22"/>
        </w:rPr>
      </w:pPr>
    </w:p>
    <w:p w:rsidR="00C15CBF" w:rsidRDefault="00C15CBF" w:rsidP="00C15CBF">
      <w:pPr>
        <w:numPr>
          <w:ilvl w:val="0"/>
          <w:numId w:val="21"/>
        </w:numPr>
        <w:overflowPunct/>
        <w:jc w:val="both"/>
        <w:textAlignment w:val="auto"/>
        <w:rPr>
          <w:rFonts w:ascii="Arial" w:hAnsi="Arial" w:cs="Arial"/>
          <w:szCs w:val="22"/>
        </w:rPr>
      </w:pPr>
      <w:r w:rsidRPr="004318CF">
        <w:rPr>
          <w:rFonts w:ascii="Arial" w:hAnsi="Arial" w:cs="Arial"/>
          <w:szCs w:val="22"/>
        </w:rPr>
        <w:t xml:space="preserve">On-site improvements related to the project; </w:t>
      </w:r>
    </w:p>
    <w:p w:rsidR="00C15CBF" w:rsidRDefault="00C15CBF" w:rsidP="00C15CBF">
      <w:pPr>
        <w:pStyle w:val="ListParagraph"/>
        <w:rPr>
          <w:rFonts w:ascii="Arial" w:hAnsi="Arial" w:cs="Arial"/>
          <w:szCs w:val="22"/>
        </w:rPr>
      </w:pPr>
    </w:p>
    <w:p w:rsidR="00C15CBF" w:rsidRDefault="00C15CBF" w:rsidP="00C15CBF">
      <w:pPr>
        <w:numPr>
          <w:ilvl w:val="0"/>
          <w:numId w:val="21"/>
        </w:numPr>
        <w:overflowPunct/>
        <w:jc w:val="both"/>
        <w:textAlignment w:val="auto"/>
        <w:rPr>
          <w:rFonts w:ascii="Arial" w:hAnsi="Arial" w:cs="Arial"/>
          <w:szCs w:val="22"/>
        </w:rPr>
      </w:pPr>
      <w:r w:rsidRPr="004318CF">
        <w:rPr>
          <w:rFonts w:ascii="Arial" w:hAnsi="Arial" w:cs="Arial"/>
          <w:szCs w:val="22"/>
        </w:rPr>
        <w:t>Architectural, appraisal, engineering, legal and other consulting costs and fees, which are directly related to the planning and execution of the project and which are</w:t>
      </w:r>
      <w:r>
        <w:rPr>
          <w:rFonts w:ascii="Arial" w:hAnsi="Arial" w:cs="Arial"/>
          <w:szCs w:val="22"/>
        </w:rPr>
        <w:t xml:space="preserve"> </w:t>
      </w:r>
      <w:r w:rsidRPr="004318CF">
        <w:rPr>
          <w:rFonts w:ascii="Arial" w:hAnsi="Arial" w:cs="Arial"/>
          <w:szCs w:val="22"/>
        </w:rPr>
        <w:t xml:space="preserve">incurred through third-party contracts; </w:t>
      </w:r>
    </w:p>
    <w:p w:rsidR="00C15CBF" w:rsidRDefault="00C15CBF" w:rsidP="00C15CBF">
      <w:pPr>
        <w:pStyle w:val="ListParagraph"/>
        <w:rPr>
          <w:rFonts w:ascii="Arial" w:hAnsi="Arial" w:cs="Arial"/>
          <w:szCs w:val="22"/>
        </w:rPr>
      </w:pPr>
    </w:p>
    <w:p w:rsidR="00C15CBF" w:rsidRDefault="00C15CBF" w:rsidP="00C15CBF">
      <w:pPr>
        <w:numPr>
          <w:ilvl w:val="0"/>
          <w:numId w:val="21"/>
        </w:numPr>
        <w:overflowPunct/>
        <w:jc w:val="both"/>
        <w:textAlignment w:val="auto"/>
        <w:rPr>
          <w:rFonts w:ascii="Arial" w:hAnsi="Arial" w:cs="Arial"/>
          <w:szCs w:val="22"/>
        </w:rPr>
      </w:pPr>
      <w:r>
        <w:rPr>
          <w:rFonts w:ascii="Arial" w:hAnsi="Arial" w:cs="Arial"/>
          <w:szCs w:val="22"/>
        </w:rPr>
        <w:t>D</w:t>
      </w:r>
      <w:r w:rsidRPr="004318CF">
        <w:rPr>
          <w:rFonts w:ascii="Arial" w:hAnsi="Arial" w:cs="Arial"/>
          <w:szCs w:val="22"/>
        </w:rPr>
        <w:t>evelopment costs of a residential unit reserved for an on-site manager. A manager’s unit may be considered to be a restricted unit for the purpose of allocating development costs, childcare facilities, and after-school care and social service facilities integrally linked to, and addressing the needs of the tenants of the Assisted Units</w:t>
      </w:r>
      <w:r w:rsidRPr="004318CF">
        <w:rPr>
          <w:rFonts w:ascii="Arial" w:hAnsi="Arial" w:cs="Arial"/>
          <w:strike/>
          <w:szCs w:val="22"/>
        </w:rPr>
        <w:t>;</w:t>
      </w:r>
      <w:r w:rsidRPr="004318CF">
        <w:rPr>
          <w:rFonts w:ascii="Arial" w:hAnsi="Arial" w:cs="Arial"/>
          <w:szCs w:val="22"/>
        </w:rPr>
        <w:t xml:space="preserve"> </w:t>
      </w:r>
    </w:p>
    <w:p w:rsidR="00C15CBF" w:rsidRDefault="00C15CBF" w:rsidP="00C15CBF">
      <w:pPr>
        <w:pStyle w:val="ListParagraph"/>
        <w:rPr>
          <w:rFonts w:ascii="Arial" w:hAnsi="Arial" w:cs="Arial"/>
          <w:szCs w:val="22"/>
        </w:rPr>
      </w:pPr>
    </w:p>
    <w:p w:rsidR="00C15CBF" w:rsidRPr="007C6039" w:rsidRDefault="00C15CBF" w:rsidP="00C15CBF">
      <w:pPr>
        <w:numPr>
          <w:ilvl w:val="0"/>
          <w:numId w:val="21"/>
        </w:numPr>
        <w:overflowPunct/>
        <w:jc w:val="both"/>
        <w:textAlignment w:val="auto"/>
        <w:rPr>
          <w:rFonts w:ascii="Arial" w:hAnsi="Arial" w:cs="Arial"/>
          <w:szCs w:val="22"/>
        </w:rPr>
      </w:pPr>
      <w:r w:rsidRPr="007C6039">
        <w:rPr>
          <w:rFonts w:ascii="Arial" w:hAnsi="Arial" w:cs="Arial"/>
          <w:szCs w:val="22"/>
        </w:rPr>
        <w:t xml:space="preserve">EHAP-CD will pay a portion of the project’s developer fee, not </w:t>
      </w:r>
      <w:r w:rsidR="00C901EC">
        <w:rPr>
          <w:rFonts w:ascii="Arial" w:hAnsi="Arial" w:cs="Arial"/>
          <w:szCs w:val="22"/>
        </w:rPr>
        <w:t>to exceed 5 percent of the EHAP-</w:t>
      </w:r>
      <w:r w:rsidRPr="007C6039">
        <w:rPr>
          <w:rFonts w:ascii="Arial" w:hAnsi="Arial" w:cs="Arial"/>
          <w:szCs w:val="22"/>
        </w:rPr>
        <w:t>CD award amount. A project’s tota</w:t>
      </w:r>
      <w:r w:rsidR="00C901EC">
        <w:rPr>
          <w:rFonts w:ascii="Arial" w:hAnsi="Arial" w:cs="Arial"/>
          <w:szCs w:val="22"/>
        </w:rPr>
        <w:t>l developer fee, paid from EHAP-</w:t>
      </w:r>
      <w:r w:rsidRPr="007C6039">
        <w:rPr>
          <w:rFonts w:ascii="Arial" w:hAnsi="Arial" w:cs="Arial"/>
          <w:szCs w:val="22"/>
        </w:rPr>
        <w:t>CD and/or other development sources, must be reasonable and cannot exceed the developer fee limits set forth by the Department for other rental housing programs. See NOFA Section N for more information on developer fee limitations.</w:t>
      </w:r>
    </w:p>
    <w:p w:rsidR="00C15CBF" w:rsidRPr="007C6039" w:rsidRDefault="00C15CBF" w:rsidP="00C15CBF">
      <w:pPr>
        <w:pStyle w:val="ListParagraph"/>
        <w:rPr>
          <w:rFonts w:ascii="Arial" w:hAnsi="Arial" w:cs="Arial"/>
          <w:szCs w:val="22"/>
        </w:rPr>
      </w:pPr>
    </w:p>
    <w:p w:rsidR="00C15CBF" w:rsidRPr="004318CF" w:rsidRDefault="00C15CBF" w:rsidP="00C15CBF">
      <w:pPr>
        <w:numPr>
          <w:ilvl w:val="0"/>
          <w:numId w:val="21"/>
        </w:numPr>
        <w:overflowPunct/>
        <w:jc w:val="both"/>
        <w:textAlignment w:val="auto"/>
        <w:rPr>
          <w:rFonts w:ascii="Arial" w:hAnsi="Arial" w:cs="Arial"/>
          <w:szCs w:val="22"/>
        </w:rPr>
      </w:pPr>
      <w:r w:rsidRPr="004318CF">
        <w:rPr>
          <w:rFonts w:ascii="Arial" w:hAnsi="Arial" w:cs="Arial"/>
          <w:szCs w:val="22"/>
        </w:rPr>
        <w:t xml:space="preserve">Rent-Up Costs; </w:t>
      </w:r>
    </w:p>
    <w:p w:rsidR="00C15CBF" w:rsidRDefault="00C15CBF" w:rsidP="00C15CBF">
      <w:pPr>
        <w:pStyle w:val="ListParagraph"/>
        <w:rPr>
          <w:rFonts w:ascii="Arial" w:hAnsi="Arial" w:cs="Arial"/>
          <w:szCs w:val="22"/>
        </w:rPr>
      </w:pPr>
    </w:p>
    <w:p w:rsidR="00C15CBF" w:rsidRDefault="00C15CBF" w:rsidP="00C15CBF">
      <w:pPr>
        <w:numPr>
          <w:ilvl w:val="0"/>
          <w:numId w:val="21"/>
        </w:numPr>
        <w:overflowPunct/>
        <w:jc w:val="both"/>
        <w:textAlignment w:val="auto"/>
        <w:rPr>
          <w:rFonts w:ascii="Arial" w:hAnsi="Arial" w:cs="Arial"/>
          <w:szCs w:val="22"/>
        </w:rPr>
      </w:pPr>
      <w:r>
        <w:rPr>
          <w:rFonts w:ascii="Arial" w:hAnsi="Arial" w:cs="Arial"/>
          <w:szCs w:val="22"/>
        </w:rPr>
        <w:t>C</w:t>
      </w:r>
      <w:r w:rsidRPr="004318CF">
        <w:rPr>
          <w:rFonts w:ascii="Arial" w:hAnsi="Arial" w:cs="Arial"/>
          <w:szCs w:val="22"/>
        </w:rPr>
        <w:t xml:space="preserve">arrying costs during construction, including insurance, construction financing fees and interest, taxes, and any other expenses necessary to hold the property while the Rental Housing Development is under construction; </w:t>
      </w:r>
    </w:p>
    <w:p w:rsidR="00C15CBF" w:rsidRDefault="00C15CBF" w:rsidP="00C15CBF">
      <w:pPr>
        <w:overflowPunct/>
        <w:ind w:left="1815"/>
        <w:jc w:val="both"/>
        <w:textAlignment w:val="auto"/>
        <w:rPr>
          <w:rFonts w:ascii="Arial" w:hAnsi="Arial" w:cs="Arial"/>
          <w:szCs w:val="22"/>
        </w:rPr>
      </w:pPr>
    </w:p>
    <w:p w:rsidR="00C15CBF" w:rsidRDefault="00EF4CBE" w:rsidP="00EF4CBE">
      <w:pPr>
        <w:numPr>
          <w:ilvl w:val="0"/>
          <w:numId w:val="21"/>
        </w:numPr>
        <w:overflowPunct/>
        <w:ind w:left="1890" w:hanging="450"/>
        <w:jc w:val="both"/>
        <w:textAlignment w:val="auto"/>
        <w:rPr>
          <w:rFonts w:ascii="Arial" w:hAnsi="Arial" w:cs="Arial"/>
          <w:szCs w:val="22"/>
        </w:rPr>
      </w:pPr>
      <w:r>
        <w:rPr>
          <w:rFonts w:ascii="Arial" w:hAnsi="Arial" w:cs="Arial"/>
          <w:szCs w:val="22"/>
        </w:rPr>
        <w:t xml:space="preserve"> </w:t>
      </w:r>
      <w:r w:rsidR="00C15CBF">
        <w:rPr>
          <w:rFonts w:ascii="Arial" w:hAnsi="Arial" w:cs="Arial"/>
          <w:szCs w:val="22"/>
        </w:rPr>
        <w:t>B</w:t>
      </w:r>
      <w:r w:rsidR="00C15CBF" w:rsidRPr="004318CF">
        <w:rPr>
          <w:rFonts w:ascii="Arial" w:hAnsi="Arial" w:cs="Arial"/>
          <w:szCs w:val="22"/>
        </w:rPr>
        <w:t>uilding pe</w:t>
      </w:r>
      <w:r w:rsidR="00C15CBF">
        <w:rPr>
          <w:rFonts w:ascii="Arial" w:hAnsi="Arial" w:cs="Arial"/>
          <w:szCs w:val="22"/>
        </w:rPr>
        <w:t>rmits and state and local fees;</w:t>
      </w:r>
    </w:p>
    <w:p w:rsidR="00C15CBF" w:rsidRDefault="00C15CBF" w:rsidP="00C15CBF">
      <w:pPr>
        <w:pStyle w:val="ListParagraph"/>
        <w:rPr>
          <w:rFonts w:ascii="Arial" w:hAnsi="Arial" w:cs="Arial"/>
          <w:szCs w:val="22"/>
        </w:rPr>
      </w:pPr>
    </w:p>
    <w:p w:rsidR="00C15CBF" w:rsidRPr="00934E8D" w:rsidRDefault="00C15CBF" w:rsidP="00EF4CBE">
      <w:pPr>
        <w:numPr>
          <w:ilvl w:val="0"/>
          <w:numId w:val="21"/>
        </w:numPr>
        <w:overflowPunct/>
        <w:ind w:left="1980" w:hanging="540"/>
        <w:jc w:val="both"/>
        <w:textAlignment w:val="auto"/>
        <w:rPr>
          <w:rFonts w:ascii="Arial" w:hAnsi="Arial" w:cs="Arial"/>
          <w:szCs w:val="22"/>
        </w:rPr>
      </w:pPr>
      <w:r w:rsidRPr="00934E8D">
        <w:rPr>
          <w:rFonts w:ascii="Arial" w:hAnsi="Arial" w:cs="Arial"/>
          <w:szCs w:val="22"/>
        </w:rPr>
        <w:t xml:space="preserve">Capitalized replacement reserves up to the amount of the initial deposit required by the Department pursuant to UMR Section </w:t>
      </w:r>
      <w:r w:rsidRPr="00934E8D">
        <w:rPr>
          <w:rFonts w:ascii="Arial" w:hAnsi="Arial" w:cs="Arial"/>
          <w:szCs w:val="22"/>
        </w:rPr>
        <w:lastRenderedPageBreak/>
        <w:t>8309(b). See NOFA Section O for current replacement reserve amounts.</w:t>
      </w:r>
    </w:p>
    <w:p w:rsidR="00C15CBF" w:rsidRPr="00934E8D" w:rsidRDefault="00C15CBF" w:rsidP="00C15CBF">
      <w:pPr>
        <w:pStyle w:val="ListParagraph"/>
        <w:rPr>
          <w:rFonts w:ascii="Arial" w:hAnsi="Arial" w:cs="Arial"/>
          <w:szCs w:val="22"/>
        </w:rPr>
      </w:pPr>
    </w:p>
    <w:p w:rsidR="00C15CBF" w:rsidRPr="00934E8D" w:rsidRDefault="00C15CBF" w:rsidP="00C15CBF">
      <w:pPr>
        <w:numPr>
          <w:ilvl w:val="0"/>
          <w:numId w:val="21"/>
        </w:numPr>
        <w:overflowPunct/>
        <w:jc w:val="both"/>
        <w:textAlignment w:val="auto"/>
        <w:rPr>
          <w:rFonts w:ascii="Arial" w:hAnsi="Arial" w:cs="Arial"/>
          <w:szCs w:val="22"/>
        </w:rPr>
      </w:pPr>
      <w:r w:rsidRPr="00934E8D">
        <w:rPr>
          <w:rFonts w:ascii="Arial" w:hAnsi="Arial" w:cs="Arial"/>
          <w:szCs w:val="22"/>
        </w:rPr>
        <w:t xml:space="preserve">Escrow, title insurance, recording and other related costs; </w:t>
      </w:r>
    </w:p>
    <w:p w:rsidR="00C15CBF" w:rsidRPr="00934E8D" w:rsidRDefault="00C15CBF" w:rsidP="00C15CBF">
      <w:pPr>
        <w:pStyle w:val="ListParagraph"/>
        <w:rPr>
          <w:rFonts w:ascii="Arial" w:hAnsi="Arial" w:cs="Arial"/>
          <w:szCs w:val="22"/>
        </w:rPr>
      </w:pPr>
    </w:p>
    <w:p w:rsidR="00C15CBF" w:rsidRPr="00934E8D" w:rsidRDefault="00C15CBF" w:rsidP="00C750A5">
      <w:pPr>
        <w:numPr>
          <w:ilvl w:val="0"/>
          <w:numId w:val="21"/>
        </w:numPr>
        <w:overflowPunct/>
        <w:ind w:left="2160" w:hanging="720"/>
        <w:jc w:val="both"/>
        <w:textAlignment w:val="auto"/>
        <w:rPr>
          <w:rFonts w:ascii="Arial" w:hAnsi="Arial" w:cs="Arial"/>
          <w:szCs w:val="22"/>
        </w:rPr>
      </w:pPr>
      <w:r w:rsidRPr="00934E8D">
        <w:rPr>
          <w:rFonts w:ascii="Arial" w:hAnsi="Arial" w:cs="Arial"/>
          <w:szCs w:val="22"/>
        </w:rPr>
        <w:t xml:space="preserve">Costs for items intended to assure the completion of construction, such as contractor bond premiums; </w:t>
      </w:r>
    </w:p>
    <w:p w:rsidR="00C15CBF" w:rsidRPr="00934E8D" w:rsidRDefault="00C15CBF" w:rsidP="00C750A5">
      <w:pPr>
        <w:overflowPunct/>
        <w:ind w:left="2160" w:hanging="720"/>
        <w:jc w:val="both"/>
        <w:textAlignment w:val="auto"/>
        <w:rPr>
          <w:rFonts w:ascii="Arial" w:hAnsi="Arial" w:cs="Arial"/>
          <w:szCs w:val="22"/>
        </w:rPr>
      </w:pPr>
    </w:p>
    <w:p w:rsidR="00C15CBF" w:rsidRPr="00934E8D" w:rsidRDefault="00C15CBF" w:rsidP="00C15CBF">
      <w:pPr>
        <w:overflowPunct/>
        <w:ind w:left="2160" w:hanging="720"/>
        <w:jc w:val="both"/>
        <w:textAlignment w:val="auto"/>
        <w:rPr>
          <w:rFonts w:ascii="Arial" w:hAnsi="Arial" w:cs="Arial"/>
          <w:szCs w:val="22"/>
        </w:rPr>
      </w:pPr>
      <w:r w:rsidRPr="00934E8D">
        <w:rPr>
          <w:rFonts w:ascii="Arial" w:hAnsi="Arial" w:cs="Arial"/>
          <w:szCs w:val="22"/>
        </w:rPr>
        <w:t xml:space="preserve">(14) </w:t>
      </w:r>
      <w:r w:rsidRPr="00934E8D">
        <w:rPr>
          <w:rFonts w:ascii="Arial" w:hAnsi="Arial" w:cs="Arial"/>
          <w:szCs w:val="22"/>
        </w:rPr>
        <w:tab/>
        <w:t xml:space="preserve">Environmental hazard reports, surveys, and investigations; </w:t>
      </w:r>
    </w:p>
    <w:p w:rsidR="00C15CBF" w:rsidRPr="00934E8D" w:rsidRDefault="00C15CBF" w:rsidP="00C15CBF">
      <w:pPr>
        <w:overflowPunct/>
        <w:ind w:left="2160" w:hanging="720"/>
        <w:jc w:val="both"/>
        <w:textAlignment w:val="auto"/>
        <w:rPr>
          <w:rFonts w:ascii="Arial" w:hAnsi="Arial" w:cs="Arial"/>
          <w:szCs w:val="22"/>
        </w:rPr>
      </w:pPr>
    </w:p>
    <w:p w:rsidR="00C15CBF" w:rsidRDefault="00C15CBF" w:rsidP="00C15CBF">
      <w:pPr>
        <w:overflowPunct/>
        <w:ind w:left="2160" w:hanging="720"/>
        <w:jc w:val="both"/>
        <w:textAlignment w:val="auto"/>
        <w:rPr>
          <w:rFonts w:ascii="Arial" w:hAnsi="Arial" w:cs="Arial"/>
          <w:szCs w:val="22"/>
        </w:rPr>
      </w:pPr>
      <w:r w:rsidRPr="00934E8D">
        <w:rPr>
          <w:rFonts w:ascii="Arial" w:hAnsi="Arial" w:cs="Arial"/>
          <w:szCs w:val="22"/>
        </w:rPr>
        <w:t xml:space="preserve">(15) </w:t>
      </w:r>
      <w:r w:rsidRPr="00934E8D">
        <w:rPr>
          <w:rFonts w:ascii="Arial" w:hAnsi="Arial" w:cs="Arial"/>
          <w:szCs w:val="22"/>
        </w:rPr>
        <w:tab/>
        <w:t>Costs of relocation benefits and assistance required by law;</w:t>
      </w:r>
    </w:p>
    <w:p w:rsidR="00C15CBF" w:rsidRPr="00934E8D" w:rsidRDefault="00C15CBF" w:rsidP="00C15CBF">
      <w:pPr>
        <w:overflowPunct/>
        <w:ind w:left="2160" w:hanging="720"/>
        <w:jc w:val="both"/>
        <w:textAlignment w:val="auto"/>
        <w:rPr>
          <w:rFonts w:ascii="Arial" w:hAnsi="Arial" w:cs="Arial"/>
          <w:szCs w:val="22"/>
        </w:rPr>
      </w:pPr>
      <w:r w:rsidRPr="00934E8D">
        <w:rPr>
          <w:rFonts w:ascii="Arial" w:hAnsi="Arial" w:cs="Arial"/>
          <w:szCs w:val="22"/>
        </w:rPr>
        <w:t xml:space="preserve"> </w:t>
      </w:r>
    </w:p>
    <w:p w:rsidR="00C15CBF" w:rsidRPr="00934E8D" w:rsidRDefault="00C15CBF" w:rsidP="00C15CBF">
      <w:pPr>
        <w:overflowPunct/>
        <w:ind w:left="2160" w:hanging="720"/>
        <w:jc w:val="both"/>
        <w:textAlignment w:val="auto"/>
        <w:rPr>
          <w:rFonts w:ascii="Arial" w:hAnsi="Arial" w:cs="Arial"/>
          <w:szCs w:val="22"/>
        </w:rPr>
      </w:pPr>
      <w:r w:rsidRPr="00934E8D">
        <w:rPr>
          <w:rFonts w:ascii="Arial" w:hAnsi="Arial" w:cs="Arial"/>
          <w:szCs w:val="22"/>
        </w:rPr>
        <w:t xml:space="preserve">(16) </w:t>
      </w:r>
      <w:r w:rsidRPr="00934E8D">
        <w:rPr>
          <w:rFonts w:ascii="Arial" w:hAnsi="Arial" w:cs="Arial"/>
          <w:szCs w:val="22"/>
        </w:rPr>
        <w:tab/>
        <w:t xml:space="preserve">Any other costs associated with the conversion approved by the Department. </w:t>
      </w:r>
    </w:p>
    <w:p w:rsidR="00C15CBF" w:rsidRPr="00934E8D" w:rsidRDefault="00C15CBF" w:rsidP="00C15CBF">
      <w:pPr>
        <w:overflowPunct/>
        <w:ind w:left="1440" w:hanging="720"/>
        <w:jc w:val="both"/>
        <w:textAlignment w:val="auto"/>
        <w:rPr>
          <w:rFonts w:ascii="Arial" w:hAnsi="Arial" w:cs="Arial"/>
          <w:szCs w:val="22"/>
        </w:rPr>
      </w:pPr>
    </w:p>
    <w:p w:rsidR="00C15CBF" w:rsidRPr="002A1E27" w:rsidRDefault="00C15CBF" w:rsidP="00C15CBF">
      <w:pPr>
        <w:overflowPunct/>
        <w:ind w:left="1440" w:hanging="720"/>
        <w:jc w:val="both"/>
        <w:textAlignment w:val="auto"/>
        <w:rPr>
          <w:rFonts w:ascii="Arial" w:hAnsi="Arial" w:cs="Arial"/>
          <w:strike/>
          <w:szCs w:val="22"/>
        </w:rPr>
      </w:pPr>
    </w:p>
    <w:p w:rsidR="00C15CBF" w:rsidRDefault="00C901EC" w:rsidP="00C15CBF">
      <w:pPr>
        <w:ind w:left="360"/>
        <w:rPr>
          <w:rFonts w:ascii="Arial" w:hAnsi="Arial" w:cs="Arial"/>
          <w:szCs w:val="22"/>
        </w:rPr>
      </w:pPr>
      <w:r>
        <w:rPr>
          <w:rFonts w:ascii="Arial" w:hAnsi="Arial" w:cs="Arial"/>
          <w:szCs w:val="22"/>
        </w:rPr>
        <w:t>EHAP-</w:t>
      </w:r>
      <w:r w:rsidR="00C15CBF">
        <w:rPr>
          <w:rFonts w:ascii="Arial" w:hAnsi="Arial" w:cs="Arial"/>
          <w:szCs w:val="22"/>
        </w:rPr>
        <w:t xml:space="preserve">CD conversion </w:t>
      </w:r>
      <w:r w:rsidR="00C15CBF" w:rsidRPr="00443957">
        <w:rPr>
          <w:rFonts w:ascii="Arial" w:hAnsi="Arial" w:cs="Arial"/>
          <w:szCs w:val="22"/>
        </w:rPr>
        <w:t>funds must b</w:t>
      </w:r>
      <w:r w:rsidR="00C15CBF">
        <w:rPr>
          <w:rFonts w:ascii="Arial" w:hAnsi="Arial" w:cs="Arial"/>
          <w:szCs w:val="22"/>
        </w:rPr>
        <w:t xml:space="preserve">e attributed to the development </w:t>
      </w:r>
      <w:r w:rsidR="00C15CBF" w:rsidRPr="00443957">
        <w:rPr>
          <w:rFonts w:ascii="Arial" w:hAnsi="Arial" w:cs="Arial"/>
          <w:szCs w:val="22"/>
        </w:rPr>
        <w:t>cost of restricted units</w:t>
      </w:r>
      <w:r>
        <w:rPr>
          <w:rFonts w:ascii="Arial" w:hAnsi="Arial" w:cs="Arial"/>
          <w:szCs w:val="22"/>
        </w:rPr>
        <w:t>.  EHAP-</w:t>
      </w:r>
      <w:r w:rsidR="00C15CBF">
        <w:rPr>
          <w:rFonts w:ascii="Arial" w:hAnsi="Arial" w:cs="Arial"/>
          <w:szCs w:val="22"/>
        </w:rPr>
        <w:t xml:space="preserve">CD conversion </w:t>
      </w:r>
      <w:r w:rsidR="00C15CBF" w:rsidRPr="00443957">
        <w:rPr>
          <w:rFonts w:ascii="Arial" w:hAnsi="Arial" w:cs="Arial"/>
          <w:szCs w:val="22"/>
        </w:rPr>
        <w:t xml:space="preserve">funds shall not be used for the cost of supportive services, although the cost of an on-site support services coordinator </w:t>
      </w:r>
      <w:r w:rsidR="00C15CBF">
        <w:rPr>
          <w:rFonts w:ascii="Arial" w:hAnsi="Arial" w:cs="Arial"/>
          <w:szCs w:val="22"/>
        </w:rPr>
        <w:t xml:space="preserve">consistent with </w:t>
      </w:r>
      <w:r w:rsidR="00702B73">
        <w:rPr>
          <w:rFonts w:ascii="Arial" w:hAnsi="Arial" w:cs="Arial"/>
          <w:szCs w:val="22"/>
        </w:rPr>
        <w:t xml:space="preserve">NOFA </w:t>
      </w:r>
      <w:r w:rsidR="00C15CBF">
        <w:rPr>
          <w:rFonts w:ascii="Arial" w:hAnsi="Arial" w:cs="Arial"/>
          <w:szCs w:val="22"/>
        </w:rPr>
        <w:t xml:space="preserve">Section I </w:t>
      </w:r>
      <w:r w:rsidR="00C15CBF" w:rsidRPr="00443957">
        <w:rPr>
          <w:rFonts w:ascii="Arial" w:hAnsi="Arial" w:cs="Arial"/>
          <w:szCs w:val="22"/>
        </w:rPr>
        <w:t xml:space="preserve">may be treated as a project operating expense, payable from operating income.  </w:t>
      </w:r>
    </w:p>
    <w:p w:rsidR="00C15CBF" w:rsidRDefault="00C15CBF" w:rsidP="00C15CBF">
      <w:pPr>
        <w:pStyle w:val="Default"/>
        <w:ind w:left="360"/>
        <w:rPr>
          <w:sz w:val="23"/>
          <w:szCs w:val="23"/>
        </w:rPr>
      </w:pPr>
    </w:p>
    <w:p w:rsidR="00C15CBF" w:rsidRPr="00443957" w:rsidRDefault="00C15CBF" w:rsidP="00C15CBF">
      <w:pPr>
        <w:pStyle w:val="Default"/>
        <w:ind w:left="360" w:hanging="360"/>
        <w:rPr>
          <w:szCs w:val="22"/>
        </w:rPr>
      </w:pPr>
      <w:r>
        <w:rPr>
          <w:color w:val="auto"/>
          <w:szCs w:val="22"/>
        </w:rPr>
        <w:tab/>
      </w:r>
      <w:r w:rsidRPr="00443957">
        <w:rPr>
          <w:szCs w:val="22"/>
        </w:rPr>
        <w:t xml:space="preserve">Equity cash-out does is not an eligible use of </w:t>
      </w:r>
      <w:r>
        <w:rPr>
          <w:szCs w:val="22"/>
        </w:rPr>
        <w:t xml:space="preserve">EHAP-CD conversion </w:t>
      </w:r>
      <w:r w:rsidRPr="00443957">
        <w:rPr>
          <w:szCs w:val="22"/>
        </w:rPr>
        <w:t>funds</w:t>
      </w:r>
      <w:r>
        <w:rPr>
          <w:szCs w:val="22"/>
        </w:rPr>
        <w:t>.</w:t>
      </w:r>
      <w:r w:rsidRPr="001A7F6D">
        <w:rPr>
          <w:szCs w:val="22"/>
        </w:rPr>
        <w:t xml:space="preserve"> </w:t>
      </w:r>
      <w:r>
        <w:rPr>
          <w:szCs w:val="22"/>
        </w:rPr>
        <w:t xml:space="preserve"> </w:t>
      </w:r>
      <w:r w:rsidRPr="001A7F6D">
        <w:rPr>
          <w:szCs w:val="22"/>
        </w:rPr>
        <w:t xml:space="preserve">Applications will be reviewed to ensure that development costs do not include payments for appreciated equity </w:t>
      </w:r>
      <w:r>
        <w:rPr>
          <w:szCs w:val="22"/>
        </w:rPr>
        <w:t xml:space="preserve">or equity cash-out </w:t>
      </w:r>
      <w:r w:rsidRPr="001A7F6D">
        <w:rPr>
          <w:szCs w:val="22"/>
        </w:rPr>
        <w:t xml:space="preserve">through transfers or syndication between related parties.  The term “related parties” as used in this paragraph has the same meaning as </w:t>
      </w:r>
      <w:r w:rsidR="00702B73">
        <w:rPr>
          <w:szCs w:val="22"/>
        </w:rPr>
        <w:t>the California Tax Credit Allocation Committee (</w:t>
      </w:r>
      <w:r w:rsidRPr="001A7F6D">
        <w:rPr>
          <w:szCs w:val="22"/>
        </w:rPr>
        <w:t>TCAC</w:t>
      </w:r>
      <w:r w:rsidR="00702B73">
        <w:rPr>
          <w:szCs w:val="22"/>
        </w:rPr>
        <w:t xml:space="preserve">) </w:t>
      </w:r>
      <w:r w:rsidRPr="001A7F6D">
        <w:rPr>
          <w:szCs w:val="22"/>
        </w:rPr>
        <w:t>Regulation 10302(gg).</w:t>
      </w:r>
      <w:r w:rsidRPr="00443957">
        <w:rPr>
          <w:szCs w:val="22"/>
        </w:rPr>
        <w:t xml:space="preserve">  </w:t>
      </w:r>
    </w:p>
    <w:p w:rsidR="00C15CBF" w:rsidRPr="00443957" w:rsidRDefault="00C15CBF" w:rsidP="00C15CBF">
      <w:pPr>
        <w:ind w:left="360"/>
        <w:rPr>
          <w:rFonts w:ascii="Arial" w:hAnsi="Arial" w:cs="Arial"/>
          <w:szCs w:val="22"/>
        </w:rPr>
      </w:pPr>
    </w:p>
    <w:p w:rsidR="00C15CBF" w:rsidRDefault="00C15CBF" w:rsidP="00C15CBF">
      <w:pPr>
        <w:ind w:left="360"/>
        <w:rPr>
          <w:rFonts w:ascii="Arial" w:hAnsi="Arial" w:cs="Arial"/>
        </w:rPr>
      </w:pPr>
      <w:r>
        <w:rPr>
          <w:rFonts w:ascii="Arial" w:hAnsi="Arial" w:cs="Arial"/>
        </w:rPr>
        <w:t xml:space="preserve">If included in an otherwise eligible application, requests for ineligible use of funds will be deducted from the requested loan amount of the application.  The Department, at its sole discretion, may determine that any application is ineligible if the proposed activities are deemed as an inefficient or ineffective use of EHAP-CD conversion funds.  </w:t>
      </w:r>
    </w:p>
    <w:p w:rsidR="00C15CBF" w:rsidRDefault="00C15CBF" w:rsidP="00C15CBF">
      <w:pPr>
        <w:ind w:left="360"/>
        <w:rPr>
          <w:rFonts w:ascii="Arial" w:hAnsi="Arial" w:cs="Arial"/>
        </w:rPr>
      </w:pPr>
    </w:p>
    <w:p w:rsidR="00C15CBF" w:rsidRDefault="00C15CBF" w:rsidP="00C15CBF">
      <w:pPr>
        <w:tabs>
          <w:tab w:val="left" w:pos="360"/>
          <w:tab w:val="left" w:pos="720"/>
        </w:tabs>
        <w:ind w:left="720" w:hanging="720"/>
        <w:outlineLvl w:val="0"/>
        <w:rPr>
          <w:rFonts w:ascii="Arial Bold" w:hAnsi="Arial Bold"/>
        </w:rPr>
      </w:pPr>
    </w:p>
    <w:p w:rsidR="00C15CBF" w:rsidRPr="00C537F4" w:rsidRDefault="00C15CBF" w:rsidP="00C15CBF">
      <w:pPr>
        <w:tabs>
          <w:tab w:val="left" w:pos="360"/>
          <w:tab w:val="left" w:pos="720"/>
        </w:tabs>
        <w:ind w:left="720" w:hanging="720"/>
        <w:outlineLvl w:val="0"/>
        <w:rPr>
          <w:rFonts w:ascii="Arial Bold" w:hAnsi="Arial Bold"/>
          <w:b/>
          <w:szCs w:val="22"/>
        </w:rPr>
      </w:pPr>
      <w:r>
        <w:rPr>
          <w:rFonts w:ascii="Arial Bold" w:hAnsi="Arial Bold"/>
        </w:rPr>
        <w:t>I</w:t>
      </w:r>
      <w:r w:rsidRPr="002414D6">
        <w:rPr>
          <w:rFonts w:ascii="Arial Bold" w:hAnsi="Arial Bold"/>
        </w:rPr>
        <w:t>.</w:t>
      </w:r>
      <w:r w:rsidRPr="002414D6">
        <w:rPr>
          <w:rFonts w:ascii="Arial Bold" w:hAnsi="Arial Bold"/>
        </w:rPr>
        <w:tab/>
      </w:r>
      <w:r w:rsidRPr="009239E7">
        <w:rPr>
          <w:b/>
          <w:u w:val="single"/>
        </w:rPr>
        <w:t>Eligible Projects</w:t>
      </w:r>
    </w:p>
    <w:p w:rsidR="00C15CBF" w:rsidRDefault="00C15CBF" w:rsidP="00C15CBF">
      <w:pPr>
        <w:ind w:left="360"/>
        <w:rPr>
          <w:rFonts w:ascii="Arial" w:hAnsi="Arial" w:cs="Arial"/>
          <w:szCs w:val="22"/>
        </w:rPr>
      </w:pPr>
    </w:p>
    <w:p w:rsidR="00C15CBF" w:rsidRDefault="00C15CBF" w:rsidP="00C15CBF">
      <w:pPr>
        <w:ind w:left="360"/>
        <w:rPr>
          <w:rFonts w:ascii="Arial" w:hAnsi="Arial" w:cs="Arial"/>
          <w:szCs w:val="22"/>
        </w:rPr>
      </w:pPr>
      <w:r w:rsidRPr="00052E6F">
        <w:rPr>
          <w:rFonts w:ascii="Arial" w:hAnsi="Arial" w:cs="Arial"/>
          <w:szCs w:val="22"/>
        </w:rPr>
        <w:t xml:space="preserve">Facilities currently operating as Emergency Shelter or Transitional Housing for homeless individuals or families are eligible for conversion funds under this NOFA. </w:t>
      </w:r>
      <w:r w:rsidRPr="00C96B1C">
        <w:rPr>
          <w:rFonts w:ascii="Arial" w:hAnsi="Arial" w:cs="Arial"/>
          <w:b/>
          <w:u w:val="single"/>
        </w:rPr>
        <w:t xml:space="preserve">Projects must </w:t>
      </w:r>
      <w:r>
        <w:rPr>
          <w:rFonts w:ascii="Arial" w:hAnsi="Arial" w:cs="Arial"/>
          <w:b/>
          <w:u w:val="single"/>
        </w:rPr>
        <w:t>score a minimum of 5</w:t>
      </w:r>
      <w:r w:rsidRPr="00C96B1C">
        <w:rPr>
          <w:rFonts w:ascii="Arial" w:hAnsi="Arial" w:cs="Arial"/>
          <w:b/>
          <w:u w:val="single"/>
        </w:rPr>
        <w:t>5 points pursuant to the rating factors in Section T of the NOFA to be considered for funding.</w:t>
      </w:r>
    </w:p>
    <w:p w:rsidR="00C15CBF" w:rsidRDefault="00C15CBF" w:rsidP="00C15CBF">
      <w:pPr>
        <w:ind w:left="360"/>
        <w:rPr>
          <w:rFonts w:ascii="Arial" w:hAnsi="Arial" w:cs="Arial"/>
        </w:rPr>
      </w:pPr>
    </w:p>
    <w:p w:rsidR="00C15CBF" w:rsidRPr="00052E6F" w:rsidRDefault="00C15CBF" w:rsidP="00C15CBF">
      <w:pPr>
        <w:ind w:left="360"/>
        <w:rPr>
          <w:rFonts w:ascii="Arial" w:hAnsi="Arial" w:cs="Arial"/>
          <w:szCs w:val="22"/>
        </w:rPr>
      </w:pPr>
      <w:r w:rsidRPr="00052E6F">
        <w:rPr>
          <w:rFonts w:ascii="Arial" w:hAnsi="Arial" w:cs="Arial"/>
          <w:szCs w:val="22"/>
        </w:rPr>
        <w:t xml:space="preserve">The City or County Continuum of Care corresponding to the location of the project must provide approval with the application confirming </w:t>
      </w:r>
      <w:r>
        <w:rPr>
          <w:rFonts w:ascii="Arial" w:hAnsi="Arial" w:cs="Arial"/>
          <w:szCs w:val="22"/>
        </w:rPr>
        <w:t xml:space="preserve">that </w:t>
      </w:r>
      <w:r w:rsidRPr="00052E6F">
        <w:rPr>
          <w:rFonts w:ascii="Arial" w:hAnsi="Arial" w:cs="Arial"/>
          <w:szCs w:val="22"/>
        </w:rPr>
        <w:t>the change of use to permanent housing is supported</w:t>
      </w:r>
      <w:r>
        <w:rPr>
          <w:rFonts w:ascii="Arial" w:hAnsi="Arial" w:cs="Arial"/>
          <w:szCs w:val="22"/>
        </w:rPr>
        <w:t xml:space="preserve"> by the Continuum</w:t>
      </w:r>
      <w:r w:rsidRPr="00052E6F">
        <w:rPr>
          <w:rFonts w:ascii="Arial" w:hAnsi="Arial" w:cs="Arial"/>
          <w:szCs w:val="22"/>
        </w:rPr>
        <w:t xml:space="preserve">. </w:t>
      </w:r>
      <w:r w:rsidRPr="00453020">
        <w:rPr>
          <w:rFonts w:ascii="Arial" w:hAnsi="Arial" w:cs="Arial"/>
          <w:szCs w:val="22"/>
        </w:rPr>
        <w:t>Prior to execution of the Department’s Standard Agreement</w:t>
      </w:r>
      <w:r>
        <w:rPr>
          <w:rFonts w:ascii="Arial" w:hAnsi="Arial" w:cs="Arial"/>
          <w:szCs w:val="22"/>
        </w:rPr>
        <w:t>, projects must also demonstrate</w:t>
      </w:r>
      <w:r w:rsidRPr="00052E6F">
        <w:rPr>
          <w:rFonts w:ascii="Arial" w:hAnsi="Arial" w:cs="Arial"/>
          <w:szCs w:val="22"/>
        </w:rPr>
        <w:t xml:space="preserve"> that other </w:t>
      </w:r>
      <w:r w:rsidRPr="00052E6F">
        <w:rPr>
          <w:rFonts w:ascii="Arial" w:hAnsi="Arial" w:cs="Arial"/>
          <w:szCs w:val="22"/>
        </w:rPr>
        <w:lastRenderedPageBreak/>
        <w:t>existing lenders or holders of covenants support the new use as permanent supportive housing.</w:t>
      </w:r>
    </w:p>
    <w:p w:rsidR="00C15CBF" w:rsidRPr="00052E6F" w:rsidRDefault="00C15CBF" w:rsidP="00C15CBF">
      <w:pPr>
        <w:ind w:left="360"/>
        <w:rPr>
          <w:rFonts w:ascii="Arial Bold" w:hAnsi="Arial Bold"/>
          <w:b/>
          <w:szCs w:val="22"/>
        </w:rPr>
      </w:pPr>
    </w:p>
    <w:p w:rsidR="00C15CBF" w:rsidRPr="00052E6F" w:rsidRDefault="00C15CBF" w:rsidP="00C15CBF">
      <w:pPr>
        <w:pStyle w:val="Default"/>
        <w:ind w:left="360" w:hanging="360"/>
        <w:rPr>
          <w:color w:val="auto"/>
          <w:szCs w:val="22"/>
        </w:rPr>
      </w:pPr>
      <w:r w:rsidRPr="00052E6F">
        <w:rPr>
          <w:szCs w:val="22"/>
        </w:rPr>
        <w:tab/>
        <w:t xml:space="preserve">Once the conversion from Emergency Shelter or Transitional Housing is complete, projects must qualify as Supportive Housing of five or more units, as defined in NOFA Section F. Projects must meet the underwriting standards described in </w:t>
      </w:r>
      <w:hyperlink r:id="rId19" w:history="1">
        <w:r w:rsidRPr="00052E6F">
          <w:rPr>
            <w:rStyle w:val="Hyperlink"/>
            <w:szCs w:val="22"/>
          </w:rPr>
          <w:t>UMR Section 8310</w:t>
        </w:r>
      </w:hyperlink>
      <w:r w:rsidRPr="00052E6F">
        <w:rPr>
          <w:szCs w:val="22"/>
        </w:rPr>
        <w:t xml:space="preserve"> except that </w:t>
      </w:r>
      <w:r>
        <w:rPr>
          <w:color w:val="auto"/>
          <w:szCs w:val="22"/>
        </w:rPr>
        <w:t>for 2015</w:t>
      </w:r>
      <w:r w:rsidRPr="00052E6F">
        <w:rPr>
          <w:color w:val="auto"/>
          <w:szCs w:val="22"/>
        </w:rPr>
        <w:t xml:space="preserve">, supportive service coordination costs paid as a project operating expense shall not exceed the following amounts: </w:t>
      </w:r>
    </w:p>
    <w:p w:rsidR="00C15CBF" w:rsidRPr="00052E6F" w:rsidRDefault="00C15CBF" w:rsidP="00C15CBF">
      <w:pPr>
        <w:pStyle w:val="Default"/>
        <w:ind w:left="360" w:hanging="360"/>
        <w:rPr>
          <w:color w:val="auto"/>
          <w:szCs w:val="22"/>
        </w:rPr>
      </w:pPr>
    </w:p>
    <w:p w:rsidR="00C15CBF" w:rsidRPr="00052E6F" w:rsidRDefault="00C15CBF" w:rsidP="003B584B">
      <w:pPr>
        <w:pStyle w:val="Default"/>
        <w:ind w:left="810" w:hanging="810"/>
        <w:rPr>
          <w:color w:val="auto"/>
          <w:szCs w:val="22"/>
        </w:rPr>
      </w:pPr>
      <w:r w:rsidRPr="00052E6F">
        <w:rPr>
          <w:color w:val="auto"/>
          <w:szCs w:val="22"/>
        </w:rPr>
        <w:tab/>
        <w:t xml:space="preserve">(1) $4,000 per unit per year for Supportive Housing units restricted to Chronically Homeless. </w:t>
      </w:r>
    </w:p>
    <w:p w:rsidR="00C15CBF" w:rsidRPr="00052E6F" w:rsidRDefault="00C15CBF" w:rsidP="003B584B">
      <w:pPr>
        <w:pStyle w:val="Default"/>
        <w:ind w:left="810" w:hanging="810"/>
        <w:rPr>
          <w:color w:val="auto"/>
          <w:szCs w:val="22"/>
        </w:rPr>
      </w:pPr>
      <w:r w:rsidRPr="00052E6F">
        <w:rPr>
          <w:color w:val="auto"/>
          <w:szCs w:val="22"/>
        </w:rPr>
        <w:tab/>
        <w:t xml:space="preserve">(2) $3,000 per unit per year for Supportive Housing units restricted to households with a disability who are homeless. </w:t>
      </w:r>
    </w:p>
    <w:p w:rsidR="00C15CBF" w:rsidRPr="00052E6F" w:rsidRDefault="00C15CBF" w:rsidP="003B584B">
      <w:pPr>
        <w:pStyle w:val="Default"/>
        <w:ind w:left="810" w:hanging="810"/>
        <w:rPr>
          <w:color w:val="auto"/>
          <w:szCs w:val="22"/>
        </w:rPr>
      </w:pPr>
      <w:r w:rsidRPr="00052E6F">
        <w:rPr>
          <w:color w:val="auto"/>
          <w:szCs w:val="22"/>
        </w:rPr>
        <w:tab/>
        <w:t xml:space="preserve">(3) $1,300 per unit per year for units restricted to Extremely Low Income households, but not to Chronically Homeless or households with a Disability Experiencing Homelessness. </w:t>
      </w:r>
    </w:p>
    <w:p w:rsidR="00C15CBF" w:rsidRPr="00052E6F" w:rsidRDefault="00C15CBF" w:rsidP="00C15CBF">
      <w:pPr>
        <w:pStyle w:val="Default"/>
        <w:ind w:left="360" w:hanging="360"/>
        <w:rPr>
          <w:szCs w:val="22"/>
        </w:rPr>
      </w:pPr>
      <w:r w:rsidRPr="00052E6F">
        <w:rPr>
          <w:color w:val="auto"/>
          <w:szCs w:val="22"/>
        </w:rPr>
        <w:tab/>
      </w:r>
    </w:p>
    <w:p w:rsidR="00C15CBF" w:rsidRPr="00052E6F" w:rsidRDefault="00C15CBF" w:rsidP="00C15CBF">
      <w:pPr>
        <w:ind w:left="360" w:hanging="360"/>
        <w:rPr>
          <w:rFonts w:ascii="Arial" w:hAnsi="Arial" w:cs="Arial"/>
          <w:szCs w:val="22"/>
        </w:rPr>
      </w:pPr>
      <w:r w:rsidRPr="00052E6F">
        <w:rPr>
          <w:rFonts w:ascii="Arial" w:hAnsi="Arial" w:cs="Arial"/>
          <w:szCs w:val="22"/>
        </w:rPr>
        <w:tab/>
        <w:t>These maximum amounts shall b</w:t>
      </w:r>
      <w:r>
        <w:rPr>
          <w:rFonts w:ascii="Arial" w:hAnsi="Arial" w:cs="Arial"/>
          <w:szCs w:val="22"/>
        </w:rPr>
        <w:t>e increased each year after 2015</w:t>
      </w:r>
      <w:r w:rsidRPr="00052E6F">
        <w:rPr>
          <w:rFonts w:ascii="Arial" w:hAnsi="Arial" w:cs="Arial"/>
          <w:szCs w:val="22"/>
        </w:rPr>
        <w:t xml:space="preserve"> at the rate of two percent per year.</w:t>
      </w:r>
    </w:p>
    <w:p w:rsidR="00C15CBF" w:rsidRPr="00052E6F" w:rsidRDefault="00C15CBF" w:rsidP="00C15CBF">
      <w:pPr>
        <w:ind w:left="360" w:hanging="360"/>
        <w:rPr>
          <w:rFonts w:ascii="Arial" w:hAnsi="Arial" w:cs="Arial"/>
          <w:szCs w:val="22"/>
        </w:rPr>
      </w:pPr>
    </w:p>
    <w:p w:rsidR="00C15CBF" w:rsidRPr="00925A88" w:rsidRDefault="00C15CBF" w:rsidP="00C15CBF">
      <w:pPr>
        <w:ind w:left="360"/>
        <w:rPr>
          <w:rFonts w:ascii="Arial" w:hAnsi="Arial" w:cs="Arial"/>
          <w:szCs w:val="22"/>
        </w:rPr>
      </w:pPr>
      <w:r>
        <w:rPr>
          <w:rFonts w:ascii="Arial" w:hAnsi="Arial" w:cs="Arial"/>
          <w:szCs w:val="22"/>
        </w:rPr>
        <w:t xml:space="preserve">Projects are ineligible if construction or rehabilitation </w:t>
      </w:r>
      <w:r w:rsidRPr="00307D88">
        <w:rPr>
          <w:rFonts w:ascii="Arial" w:hAnsi="Arial" w:cs="Arial"/>
          <w:szCs w:val="22"/>
        </w:rPr>
        <w:t>has commenced prior to submission of a complete application, or if the project is already fully funded.</w:t>
      </w:r>
      <w:r w:rsidRPr="00925A88" w:rsidDel="003723E0">
        <w:rPr>
          <w:rFonts w:ascii="Arial" w:hAnsi="Arial" w:cs="Arial"/>
          <w:szCs w:val="22"/>
        </w:rPr>
        <w:t xml:space="preserve"> </w:t>
      </w:r>
    </w:p>
    <w:p w:rsidR="00C15CBF" w:rsidRDefault="00C15CBF" w:rsidP="00C15CBF">
      <w:pPr>
        <w:ind w:left="360"/>
        <w:rPr>
          <w:rFonts w:ascii="Arial Bold" w:hAnsi="Arial Bold"/>
          <w:b/>
          <w:szCs w:val="22"/>
        </w:rPr>
      </w:pPr>
    </w:p>
    <w:p w:rsidR="00C15CBF" w:rsidRPr="002414D6" w:rsidRDefault="00C15CBF" w:rsidP="00C15CBF">
      <w:pPr>
        <w:tabs>
          <w:tab w:val="left" w:pos="360"/>
        </w:tabs>
        <w:rPr>
          <w:rFonts w:ascii="Arial Bold" w:hAnsi="Arial Bold"/>
          <w:b/>
          <w:szCs w:val="22"/>
        </w:rPr>
      </w:pPr>
      <w:r>
        <w:rPr>
          <w:rFonts w:ascii="Arial Bold" w:hAnsi="Arial Bold"/>
          <w:b/>
          <w:szCs w:val="22"/>
        </w:rPr>
        <w:t>J</w:t>
      </w:r>
      <w:r w:rsidRPr="002414D6">
        <w:rPr>
          <w:rFonts w:ascii="Arial Bold" w:hAnsi="Arial Bold"/>
          <w:b/>
          <w:szCs w:val="22"/>
        </w:rPr>
        <w:t>.</w:t>
      </w:r>
      <w:r>
        <w:rPr>
          <w:rFonts w:ascii="Arial Bold" w:hAnsi="Arial Bold"/>
          <w:b/>
          <w:szCs w:val="22"/>
        </w:rPr>
        <w:tab/>
      </w:r>
      <w:r w:rsidRPr="00CA7BD1">
        <w:rPr>
          <w:rFonts w:ascii="Arial" w:hAnsi="Arial" w:cs="Arial"/>
          <w:b/>
          <w:szCs w:val="22"/>
          <w:u w:val="single"/>
        </w:rPr>
        <w:t>Projects with Extraordinarily High Development Costs</w:t>
      </w:r>
    </w:p>
    <w:p w:rsidR="00C15CBF" w:rsidRDefault="00C15CBF" w:rsidP="00C15CBF">
      <w:pPr>
        <w:ind w:left="1440"/>
        <w:rPr>
          <w:rFonts w:ascii="Arial" w:hAnsi="Arial"/>
          <w:szCs w:val="22"/>
        </w:rPr>
      </w:pPr>
    </w:p>
    <w:p w:rsidR="00C15CBF" w:rsidRPr="009C72A1" w:rsidRDefault="00C15CBF" w:rsidP="00C15CBF">
      <w:pPr>
        <w:ind w:left="360"/>
        <w:rPr>
          <w:rFonts w:ascii="Arial" w:hAnsi="Arial"/>
          <w:szCs w:val="22"/>
        </w:rPr>
      </w:pPr>
      <w:r w:rsidRPr="009C72A1">
        <w:rPr>
          <w:rFonts w:ascii="Arial" w:hAnsi="Arial"/>
          <w:szCs w:val="22"/>
        </w:rPr>
        <w:t>HCD is concerned about the extremely high cost of a small but significant number of projects funded in the recent past, and the extraordinary level of public subsidy required by these projects.  Of particular concern are projects with total per unit development costs that exceed the historical average of awarded projects by 30 percent.  Such projects shall be designated as high cost.  Sponsors will be required to explain in writing the project’s unusual cost features and explain why an award recommendation would be sound public poli</w:t>
      </w:r>
      <w:r>
        <w:rPr>
          <w:rFonts w:ascii="Arial" w:hAnsi="Arial"/>
          <w:szCs w:val="22"/>
        </w:rPr>
        <w:t xml:space="preserve">cy in spite of the costs.  </w:t>
      </w:r>
      <w:r w:rsidRPr="009C72A1">
        <w:rPr>
          <w:rFonts w:ascii="Arial" w:hAnsi="Arial"/>
          <w:szCs w:val="22"/>
        </w:rPr>
        <w:t xml:space="preserve"> It is important to encourage </w:t>
      </w:r>
      <w:r>
        <w:rPr>
          <w:rFonts w:ascii="Arial" w:hAnsi="Arial"/>
          <w:szCs w:val="22"/>
        </w:rPr>
        <w:t xml:space="preserve">EHAP-CD conversion </w:t>
      </w:r>
      <w:r w:rsidRPr="009C72A1">
        <w:rPr>
          <w:rFonts w:ascii="Arial" w:hAnsi="Arial"/>
          <w:szCs w:val="22"/>
        </w:rPr>
        <w:t xml:space="preserve">funding of otherwise qualified projects that are able to minimize costs, without sacrificing design elements that are cost effective in the long run or meet vital needs of project residents. In light of this concern, and consistent with </w:t>
      </w:r>
      <w:hyperlink r:id="rId20" w:history="1">
        <w:r w:rsidRPr="00E1772C">
          <w:rPr>
            <w:rStyle w:val="Hyperlink"/>
            <w:rFonts w:ascii="Arial" w:hAnsi="Arial"/>
            <w:szCs w:val="22"/>
          </w:rPr>
          <w:t>UMR Section 8311</w:t>
        </w:r>
      </w:hyperlink>
      <w:r w:rsidRPr="009C72A1">
        <w:rPr>
          <w:rFonts w:ascii="Arial" w:hAnsi="Arial"/>
          <w:szCs w:val="22"/>
        </w:rPr>
        <w:t>, HCD reserves the right to reject an application if total development cost cannot be reasonably justified.</w:t>
      </w:r>
      <w:r w:rsidRPr="009C72A1" w:rsidDel="003723E0">
        <w:rPr>
          <w:rFonts w:ascii="Arial" w:hAnsi="Arial"/>
          <w:szCs w:val="22"/>
        </w:rPr>
        <w:t xml:space="preserve"> </w:t>
      </w:r>
    </w:p>
    <w:p w:rsidR="00C15CBF" w:rsidRPr="009C72A1" w:rsidRDefault="00C15CBF" w:rsidP="00C15CBF">
      <w:pPr>
        <w:ind w:left="360"/>
        <w:rPr>
          <w:rFonts w:ascii="Arial" w:hAnsi="Arial"/>
          <w:szCs w:val="22"/>
        </w:rPr>
      </w:pPr>
    </w:p>
    <w:p w:rsidR="00C15CBF" w:rsidRPr="009C72A1" w:rsidRDefault="00C15CBF" w:rsidP="00C15CBF">
      <w:pPr>
        <w:ind w:left="360"/>
        <w:rPr>
          <w:rFonts w:ascii="Arial" w:hAnsi="Arial"/>
          <w:szCs w:val="22"/>
        </w:rPr>
      </w:pPr>
      <w:r w:rsidRPr="009C72A1">
        <w:rPr>
          <w:rFonts w:ascii="Arial" w:hAnsi="Arial"/>
          <w:szCs w:val="22"/>
        </w:rPr>
        <w:t xml:space="preserve">In evaluating projects with high per unit costs, HCD will closely scrutinize the justification that costly design features were necessary to obtain local approvals or neighborhood acceptance.  Similarly, HCD will be giving close scrutiny to projects with extraordinary site development costs (where they are not fully compensated for by a sharply discounted purchase price), or where the constraints of the site necessitate an especially expensive design.  Although HCD appreciates that individual developers may experience great difficulty locating more appropriate sites, it has concluded that the interests of the Program are best served by avoiding </w:t>
      </w:r>
      <w:r w:rsidRPr="009C72A1">
        <w:rPr>
          <w:rFonts w:ascii="Arial" w:hAnsi="Arial"/>
          <w:szCs w:val="22"/>
        </w:rPr>
        <w:lastRenderedPageBreak/>
        <w:t xml:space="preserve">excessive site and design-related costs.  </w:t>
      </w:r>
      <w:r w:rsidRPr="009C72A1">
        <w:rPr>
          <w:rFonts w:ascii="Arial" w:hAnsi="Arial"/>
          <w:b/>
          <w:szCs w:val="22"/>
        </w:rPr>
        <w:t>Sponsors whose projects are deemed high cost will be advised of this status.</w:t>
      </w:r>
      <w:r>
        <w:rPr>
          <w:rFonts w:ascii="Arial" w:hAnsi="Arial"/>
          <w:b/>
          <w:szCs w:val="22"/>
        </w:rPr>
        <w:t xml:space="preserve">  The historical averages for rehabilitation projects have been posted on the HCD website in this location:</w:t>
      </w:r>
      <w:r w:rsidRPr="000019A4">
        <w:t xml:space="preserve"> </w:t>
      </w:r>
      <w:hyperlink r:id="rId21" w:history="1">
        <w:r w:rsidRPr="00297793">
          <w:rPr>
            <w:rStyle w:val="Hyperlink"/>
            <w:rFonts w:ascii="Arial" w:hAnsi="Arial"/>
            <w:b/>
            <w:szCs w:val="22"/>
          </w:rPr>
          <w:t>http://www.hcd.ca.gov/fa/mhp/</w:t>
        </w:r>
      </w:hyperlink>
      <w:r>
        <w:rPr>
          <w:rFonts w:ascii="Arial" w:hAnsi="Arial"/>
          <w:b/>
          <w:szCs w:val="22"/>
        </w:rPr>
        <w:t xml:space="preserve">. </w:t>
      </w:r>
    </w:p>
    <w:p w:rsidR="00C15CBF" w:rsidRPr="009C72A1" w:rsidRDefault="00C15CBF" w:rsidP="00C15CBF">
      <w:pPr>
        <w:ind w:left="360"/>
        <w:rPr>
          <w:rFonts w:ascii="Arial" w:hAnsi="Arial"/>
          <w:szCs w:val="22"/>
        </w:rPr>
      </w:pPr>
    </w:p>
    <w:p w:rsidR="00C15CBF" w:rsidRDefault="00C15CBF" w:rsidP="00C15CBF">
      <w:pPr>
        <w:ind w:left="360"/>
        <w:rPr>
          <w:rFonts w:ascii="Arial" w:hAnsi="Arial"/>
          <w:szCs w:val="22"/>
        </w:rPr>
      </w:pPr>
      <w:r w:rsidRPr="009C72A1">
        <w:rPr>
          <w:rFonts w:ascii="Arial" w:hAnsi="Arial"/>
          <w:szCs w:val="22"/>
        </w:rPr>
        <w:t>Prior to closing construction financing, the Sponsor shall be required to submit an appraisal acceptable to HCD, from a qualifie</w:t>
      </w:r>
      <w:r>
        <w:rPr>
          <w:rFonts w:ascii="Arial" w:hAnsi="Arial"/>
          <w:szCs w:val="22"/>
        </w:rPr>
        <w:t xml:space="preserve">d appraiser, which supports any </w:t>
      </w:r>
      <w:r w:rsidRPr="009C72A1">
        <w:rPr>
          <w:rFonts w:ascii="Arial" w:hAnsi="Arial"/>
          <w:szCs w:val="22"/>
        </w:rPr>
        <w:t xml:space="preserve">acquisition cost identified in the </w:t>
      </w:r>
      <w:r>
        <w:rPr>
          <w:rFonts w:ascii="Arial" w:hAnsi="Arial"/>
          <w:szCs w:val="22"/>
        </w:rPr>
        <w:t>d</w:t>
      </w:r>
      <w:r w:rsidRPr="009C72A1">
        <w:rPr>
          <w:rFonts w:ascii="Arial" w:hAnsi="Arial"/>
          <w:szCs w:val="22"/>
        </w:rPr>
        <w:t xml:space="preserve">evelopment </w:t>
      </w:r>
      <w:r>
        <w:rPr>
          <w:rFonts w:ascii="Arial" w:hAnsi="Arial"/>
          <w:szCs w:val="22"/>
        </w:rPr>
        <w:t>b</w:t>
      </w:r>
      <w:r w:rsidRPr="009C72A1">
        <w:rPr>
          <w:rFonts w:ascii="Arial" w:hAnsi="Arial"/>
          <w:szCs w:val="22"/>
        </w:rPr>
        <w:t>udget.</w:t>
      </w:r>
      <w:r w:rsidRPr="00EC5A6E">
        <w:rPr>
          <w:rFonts w:ascii="Arial" w:hAnsi="Arial"/>
          <w:szCs w:val="22"/>
        </w:rPr>
        <w:t xml:space="preserve">   </w:t>
      </w:r>
    </w:p>
    <w:p w:rsidR="00C15CBF" w:rsidRDefault="00C15CBF" w:rsidP="00C15CBF">
      <w:pPr>
        <w:ind w:left="360"/>
        <w:rPr>
          <w:rFonts w:ascii="Arial" w:hAnsi="Arial"/>
          <w:szCs w:val="22"/>
        </w:rPr>
      </w:pPr>
    </w:p>
    <w:p w:rsidR="00C15CBF" w:rsidRDefault="00C15CBF" w:rsidP="00C15CBF">
      <w:pPr>
        <w:keepNext/>
        <w:keepLines/>
        <w:tabs>
          <w:tab w:val="left" w:pos="360"/>
          <w:tab w:val="left" w:pos="1440"/>
        </w:tabs>
        <w:textAlignment w:val="auto"/>
        <w:rPr>
          <w:rFonts w:ascii="Arial Bold" w:hAnsi="Arial Bold"/>
          <w:b/>
          <w:szCs w:val="22"/>
        </w:rPr>
      </w:pPr>
    </w:p>
    <w:p w:rsidR="00C15CBF" w:rsidRPr="002414D6" w:rsidRDefault="00C15CBF" w:rsidP="00C15CBF">
      <w:pPr>
        <w:keepNext/>
        <w:keepLines/>
        <w:tabs>
          <w:tab w:val="left" w:pos="360"/>
          <w:tab w:val="left" w:pos="1440"/>
        </w:tabs>
        <w:textAlignment w:val="auto"/>
        <w:rPr>
          <w:rFonts w:ascii="Arial Bold" w:hAnsi="Arial Bold"/>
          <w:b/>
          <w:szCs w:val="22"/>
        </w:rPr>
      </w:pPr>
      <w:r>
        <w:rPr>
          <w:rFonts w:ascii="Arial Bold" w:hAnsi="Arial Bold"/>
          <w:b/>
          <w:szCs w:val="22"/>
        </w:rPr>
        <w:t>K</w:t>
      </w:r>
      <w:r w:rsidRPr="002414D6">
        <w:rPr>
          <w:rFonts w:ascii="Arial Bold" w:hAnsi="Arial Bold"/>
          <w:b/>
          <w:szCs w:val="22"/>
        </w:rPr>
        <w:t xml:space="preserve">. </w:t>
      </w:r>
      <w:r w:rsidRPr="002414D6">
        <w:rPr>
          <w:rFonts w:ascii="Arial Bold" w:hAnsi="Arial Bold"/>
          <w:b/>
          <w:szCs w:val="22"/>
        </w:rPr>
        <w:tab/>
      </w:r>
      <w:r w:rsidRPr="00CA7BD1">
        <w:rPr>
          <w:rFonts w:ascii="Arial" w:hAnsi="Arial" w:cs="Arial"/>
          <w:b/>
          <w:szCs w:val="22"/>
          <w:u w:val="single"/>
        </w:rPr>
        <w:t>Maximum Loan Amounts</w:t>
      </w:r>
    </w:p>
    <w:p w:rsidR="00C15CBF" w:rsidRDefault="00C15CBF" w:rsidP="00C15CBF">
      <w:pPr>
        <w:keepNext/>
        <w:keepLines/>
        <w:ind w:left="-90"/>
        <w:textAlignment w:val="auto"/>
        <w:rPr>
          <w:rFonts w:ascii="Times New Roman" w:hAnsi="Times New Roman"/>
          <w:sz w:val="22"/>
          <w:szCs w:val="22"/>
        </w:rPr>
      </w:pPr>
    </w:p>
    <w:p w:rsidR="00C15CBF" w:rsidRPr="00B37C3E" w:rsidRDefault="00C15CBF" w:rsidP="00C15CBF">
      <w:pPr>
        <w:pStyle w:val="BodyTextIndent"/>
        <w:tabs>
          <w:tab w:val="left" w:pos="360"/>
        </w:tabs>
        <w:overflowPunct/>
        <w:autoSpaceDE/>
        <w:adjustRightInd/>
        <w:ind w:left="360"/>
        <w:rPr>
          <w:rFonts w:ascii="Arial" w:hAnsi="Arial" w:cs="Arial"/>
          <w:szCs w:val="24"/>
          <w:u w:val="single"/>
        </w:rPr>
      </w:pPr>
      <w:r w:rsidRPr="00453020">
        <w:rPr>
          <w:rFonts w:ascii="Arial" w:hAnsi="Arial"/>
          <w:sz w:val="24"/>
          <w:szCs w:val="22"/>
        </w:rPr>
        <w:t>Applicants may submit one application per site.  The maximum loan request is $3,000,000.  Applicants may submit multiple applications for different sites.</w:t>
      </w:r>
      <w:r w:rsidRPr="00B37C3E">
        <w:rPr>
          <w:rFonts w:ascii="Arial" w:hAnsi="Arial"/>
          <w:sz w:val="24"/>
          <w:szCs w:val="22"/>
        </w:rPr>
        <w:t xml:space="preserve"> </w:t>
      </w:r>
    </w:p>
    <w:p w:rsidR="00C15CBF" w:rsidRDefault="00C15CBF" w:rsidP="00C15CBF">
      <w:pPr>
        <w:pStyle w:val="BodyTextIndent"/>
        <w:ind w:left="360"/>
        <w:rPr>
          <w:rFonts w:ascii="Arial" w:hAnsi="Arial"/>
          <w:strike/>
          <w:sz w:val="24"/>
          <w:szCs w:val="24"/>
        </w:rPr>
      </w:pPr>
    </w:p>
    <w:p w:rsidR="00C15CBF" w:rsidRDefault="00C15CBF" w:rsidP="00C15CBF">
      <w:pPr>
        <w:pStyle w:val="BodyTextIndent"/>
        <w:ind w:left="360"/>
        <w:rPr>
          <w:rFonts w:ascii="Arial" w:hAnsi="Arial"/>
          <w:sz w:val="24"/>
          <w:szCs w:val="24"/>
        </w:rPr>
      </w:pPr>
      <w:r w:rsidRPr="00D01F1B">
        <w:rPr>
          <w:rFonts w:ascii="Arial" w:hAnsi="Arial"/>
          <w:sz w:val="24"/>
          <w:szCs w:val="24"/>
        </w:rPr>
        <w:t xml:space="preserve">The maximum loan amount </w:t>
      </w:r>
      <w:r>
        <w:rPr>
          <w:rFonts w:ascii="Arial" w:hAnsi="Arial"/>
          <w:sz w:val="24"/>
          <w:szCs w:val="24"/>
        </w:rPr>
        <w:t xml:space="preserve">permitted under this NOFA </w:t>
      </w:r>
      <w:r w:rsidRPr="00D01F1B">
        <w:rPr>
          <w:rFonts w:ascii="Arial" w:hAnsi="Arial"/>
          <w:sz w:val="24"/>
          <w:szCs w:val="24"/>
          <w:u w:val="single"/>
        </w:rPr>
        <w:t>per unit</w:t>
      </w:r>
      <w:r w:rsidRPr="00D01F1B">
        <w:rPr>
          <w:rFonts w:ascii="Arial" w:hAnsi="Arial"/>
          <w:sz w:val="24"/>
          <w:szCs w:val="24"/>
        </w:rPr>
        <w:t xml:space="preserve"> is a function of unit size, location, and affordability level</w:t>
      </w:r>
      <w:r>
        <w:rPr>
          <w:rFonts w:ascii="Arial" w:hAnsi="Arial"/>
          <w:sz w:val="24"/>
          <w:szCs w:val="24"/>
        </w:rPr>
        <w:t xml:space="preserve"> at 30 percent AMI</w:t>
      </w:r>
      <w:r w:rsidR="00AE0F63">
        <w:rPr>
          <w:rFonts w:ascii="Arial" w:hAnsi="Arial"/>
          <w:sz w:val="24"/>
          <w:szCs w:val="24"/>
        </w:rPr>
        <w:t xml:space="preserve"> or below</w:t>
      </w:r>
      <w:r>
        <w:rPr>
          <w:rFonts w:ascii="Arial" w:hAnsi="Arial"/>
          <w:sz w:val="24"/>
          <w:szCs w:val="24"/>
        </w:rPr>
        <w:t xml:space="preserve">.  Maximum per unit </w:t>
      </w:r>
      <w:r w:rsidRPr="00D01F1B">
        <w:rPr>
          <w:rFonts w:ascii="Arial" w:hAnsi="Arial"/>
          <w:sz w:val="24"/>
          <w:szCs w:val="24"/>
        </w:rPr>
        <w:t xml:space="preserve">loan limits </w:t>
      </w:r>
      <w:r>
        <w:rPr>
          <w:rFonts w:ascii="Arial" w:hAnsi="Arial"/>
          <w:sz w:val="24"/>
          <w:szCs w:val="24"/>
        </w:rPr>
        <w:t>under this NOFA are  located at</w:t>
      </w:r>
      <w:hyperlink r:id="rId22" w:history="1">
        <w:r w:rsidRPr="00DB61B1">
          <w:rPr>
            <w:rStyle w:val="Hyperlink"/>
            <w:rFonts w:ascii="Arial" w:hAnsi="Arial"/>
            <w:sz w:val="24"/>
            <w:szCs w:val="24"/>
          </w:rPr>
          <w:t xml:space="preserve"> 2014 Limits</w:t>
        </w:r>
      </w:hyperlink>
      <w:r w:rsidR="00AE0F63">
        <w:rPr>
          <w:rFonts w:ascii="Arial" w:hAnsi="Arial"/>
          <w:sz w:val="24"/>
          <w:szCs w:val="24"/>
        </w:rPr>
        <w:t xml:space="preserve"> beginning on page 46</w:t>
      </w:r>
      <w:r>
        <w:rPr>
          <w:rFonts w:ascii="Arial" w:hAnsi="Arial"/>
          <w:sz w:val="24"/>
          <w:szCs w:val="24"/>
        </w:rPr>
        <w:t xml:space="preserve"> </w:t>
      </w:r>
      <w:r w:rsidR="008219AC">
        <w:rPr>
          <w:rFonts w:ascii="Arial" w:hAnsi="Arial"/>
          <w:sz w:val="24"/>
          <w:szCs w:val="24"/>
        </w:rPr>
        <w:t xml:space="preserve">of the document located at this hyperlink </w:t>
      </w:r>
      <w:r>
        <w:rPr>
          <w:rFonts w:ascii="Arial" w:hAnsi="Arial"/>
          <w:sz w:val="24"/>
          <w:szCs w:val="24"/>
        </w:rPr>
        <w:t xml:space="preserve">for projects that are proposing use of nine percent Low Income Housing Tax Credits </w:t>
      </w:r>
      <w:r w:rsidR="008219AC">
        <w:rPr>
          <w:rFonts w:ascii="Arial" w:hAnsi="Arial"/>
          <w:sz w:val="24"/>
          <w:szCs w:val="24"/>
        </w:rPr>
        <w:t>(tax credits</w:t>
      </w:r>
      <w:r>
        <w:rPr>
          <w:rFonts w:ascii="Arial" w:hAnsi="Arial"/>
          <w:sz w:val="24"/>
          <w:szCs w:val="24"/>
        </w:rPr>
        <w:t xml:space="preserve">), and page 61 </w:t>
      </w:r>
      <w:r w:rsidR="008219AC">
        <w:rPr>
          <w:rFonts w:ascii="Arial" w:hAnsi="Arial"/>
          <w:sz w:val="24"/>
          <w:szCs w:val="24"/>
        </w:rPr>
        <w:t xml:space="preserve">of the </w:t>
      </w:r>
      <w:r>
        <w:rPr>
          <w:rFonts w:ascii="Arial" w:hAnsi="Arial"/>
          <w:sz w:val="24"/>
          <w:szCs w:val="24"/>
        </w:rPr>
        <w:t xml:space="preserve">for all other projects. </w:t>
      </w:r>
    </w:p>
    <w:p w:rsidR="00C15CBF" w:rsidRDefault="00C15CBF" w:rsidP="00C15CBF">
      <w:pPr>
        <w:pStyle w:val="BodyTextIndent"/>
        <w:ind w:left="360"/>
        <w:rPr>
          <w:rFonts w:ascii="Arial" w:hAnsi="Arial"/>
          <w:sz w:val="24"/>
          <w:szCs w:val="24"/>
        </w:rPr>
      </w:pPr>
    </w:p>
    <w:p w:rsidR="00C15CBF" w:rsidRPr="00041632" w:rsidRDefault="00C15CBF" w:rsidP="00C15CBF">
      <w:pPr>
        <w:pStyle w:val="BodyTextIndent"/>
        <w:ind w:left="360"/>
        <w:rPr>
          <w:rFonts w:ascii="Arial" w:hAnsi="Arial"/>
          <w:sz w:val="24"/>
          <w:szCs w:val="24"/>
        </w:rPr>
      </w:pPr>
      <w:r>
        <w:rPr>
          <w:rFonts w:ascii="Arial" w:hAnsi="Arial"/>
          <w:sz w:val="24"/>
          <w:szCs w:val="24"/>
        </w:rPr>
        <w:t xml:space="preserve">The Department encourages projects to keep the cost per unit well-underneath these limits in order to fund as many units as possible under the per project cap. </w:t>
      </w:r>
      <w:r w:rsidRPr="000641F9">
        <w:rPr>
          <w:rFonts w:ascii="Arial" w:hAnsi="Arial"/>
          <w:sz w:val="24"/>
          <w:szCs w:val="24"/>
        </w:rPr>
        <w:t>Projects awarded under this</w:t>
      </w:r>
      <w:r w:rsidR="008219AC">
        <w:rPr>
          <w:rFonts w:ascii="Arial" w:hAnsi="Arial"/>
          <w:sz w:val="24"/>
          <w:szCs w:val="24"/>
        </w:rPr>
        <w:t xml:space="preserve"> NOFA without nine percent tax credits</w:t>
      </w:r>
      <w:r w:rsidRPr="000641F9">
        <w:rPr>
          <w:rFonts w:ascii="Arial" w:hAnsi="Arial"/>
          <w:sz w:val="24"/>
          <w:szCs w:val="24"/>
        </w:rPr>
        <w:t xml:space="preserve"> </w:t>
      </w:r>
      <w:r>
        <w:rPr>
          <w:rFonts w:ascii="Arial" w:hAnsi="Arial"/>
          <w:sz w:val="24"/>
          <w:szCs w:val="24"/>
        </w:rPr>
        <w:t xml:space="preserve">may </w:t>
      </w:r>
      <w:r w:rsidRPr="000641F9">
        <w:rPr>
          <w:rFonts w:ascii="Arial" w:hAnsi="Arial"/>
          <w:sz w:val="24"/>
          <w:szCs w:val="24"/>
        </w:rPr>
        <w:t>have their</w:t>
      </w:r>
      <w:r>
        <w:rPr>
          <w:rFonts w:ascii="Arial" w:hAnsi="Arial"/>
          <w:sz w:val="24"/>
          <w:szCs w:val="24"/>
        </w:rPr>
        <w:t xml:space="preserve"> loan</w:t>
      </w:r>
      <w:r w:rsidRPr="000641F9">
        <w:rPr>
          <w:rFonts w:ascii="Arial" w:hAnsi="Arial"/>
          <w:sz w:val="24"/>
          <w:szCs w:val="24"/>
        </w:rPr>
        <w:t xml:space="preserve"> amount</w:t>
      </w:r>
      <w:r>
        <w:rPr>
          <w:rFonts w:ascii="Arial" w:hAnsi="Arial"/>
          <w:sz w:val="24"/>
          <w:szCs w:val="24"/>
        </w:rPr>
        <w:t>s</w:t>
      </w:r>
      <w:r w:rsidRPr="000641F9">
        <w:rPr>
          <w:rFonts w:ascii="Arial" w:hAnsi="Arial"/>
          <w:sz w:val="24"/>
          <w:szCs w:val="24"/>
        </w:rPr>
        <w:t xml:space="preserve"> reduced</w:t>
      </w:r>
      <w:r>
        <w:rPr>
          <w:rFonts w:ascii="Arial" w:hAnsi="Arial"/>
          <w:sz w:val="24"/>
          <w:szCs w:val="24"/>
        </w:rPr>
        <w:t xml:space="preserve"> based on the lower per-unit subsidy limits for tax credit projects if the p</w:t>
      </w:r>
      <w:r w:rsidRPr="000641F9">
        <w:rPr>
          <w:rFonts w:ascii="Arial" w:hAnsi="Arial"/>
          <w:sz w:val="24"/>
          <w:szCs w:val="24"/>
        </w:rPr>
        <w:t>roject subsequent</w:t>
      </w:r>
      <w:r w:rsidR="008219AC">
        <w:rPr>
          <w:rFonts w:ascii="Arial" w:hAnsi="Arial"/>
          <w:sz w:val="24"/>
          <w:szCs w:val="24"/>
        </w:rPr>
        <w:t>ly receives a nine percent tax credit</w:t>
      </w:r>
      <w:r w:rsidRPr="000641F9">
        <w:rPr>
          <w:rFonts w:ascii="Arial" w:hAnsi="Arial"/>
          <w:sz w:val="24"/>
          <w:szCs w:val="24"/>
        </w:rPr>
        <w:t xml:space="preserve"> award.</w:t>
      </w:r>
    </w:p>
    <w:p w:rsidR="00C15CBF" w:rsidRPr="00320BEB" w:rsidRDefault="00C15CBF" w:rsidP="00C15CBF">
      <w:pPr>
        <w:pStyle w:val="BodyTextIndent"/>
        <w:ind w:left="360"/>
        <w:rPr>
          <w:rFonts w:ascii="Arial" w:hAnsi="Arial"/>
          <w:strike/>
          <w:sz w:val="24"/>
          <w:szCs w:val="24"/>
        </w:rPr>
      </w:pPr>
    </w:p>
    <w:p w:rsidR="00C15CBF" w:rsidRPr="002414D6" w:rsidRDefault="00C15CBF" w:rsidP="00C15CBF">
      <w:pPr>
        <w:pStyle w:val="BodyTextIndent"/>
        <w:tabs>
          <w:tab w:val="left" w:pos="360"/>
        </w:tabs>
        <w:ind w:left="0"/>
        <w:rPr>
          <w:rFonts w:ascii="Arial Bold" w:hAnsi="Arial Bold"/>
          <w:b/>
          <w:szCs w:val="22"/>
        </w:rPr>
      </w:pPr>
      <w:r>
        <w:rPr>
          <w:rFonts w:ascii="Arial Bold" w:hAnsi="Arial Bold"/>
          <w:b/>
          <w:sz w:val="24"/>
          <w:szCs w:val="24"/>
        </w:rPr>
        <w:t>L</w:t>
      </w:r>
      <w:r w:rsidRPr="002414D6">
        <w:rPr>
          <w:rFonts w:ascii="Arial Bold" w:hAnsi="Arial Bold"/>
          <w:b/>
          <w:szCs w:val="22"/>
        </w:rPr>
        <w:t>.</w:t>
      </w:r>
      <w:r>
        <w:rPr>
          <w:rFonts w:ascii="Arial Bold" w:hAnsi="Arial Bold"/>
          <w:b/>
          <w:szCs w:val="22"/>
        </w:rPr>
        <w:t xml:space="preserve"> </w:t>
      </w:r>
      <w:r>
        <w:rPr>
          <w:rFonts w:ascii="Arial Bold" w:hAnsi="Arial Bold"/>
          <w:b/>
          <w:szCs w:val="22"/>
        </w:rPr>
        <w:tab/>
      </w:r>
      <w:r w:rsidRPr="002E7373">
        <w:rPr>
          <w:rFonts w:ascii="Arial" w:hAnsi="Arial" w:cs="Arial"/>
          <w:b/>
          <w:sz w:val="24"/>
          <w:szCs w:val="24"/>
          <w:u w:val="single"/>
        </w:rPr>
        <w:t>Loan Terms and Security</w:t>
      </w:r>
      <w:r w:rsidRPr="002414D6">
        <w:rPr>
          <w:rFonts w:ascii="Arial Bold" w:hAnsi="Arial Bold"/>
          <w:b/>
          <w:szCs w:val="22"/>
        </w:rPr>
        <w:t xml:space="preserve"> </w:t>
      </w:r>
    </w:p>
    <w:p w:rsidR="00C15CBF" w:rsidRDefault="00C15CBF" w:rsidP="00C15CBF">
      <w:pPr>
        <w:ind w:left="1440"/>
        <w:textAlignment w:val="auto"/>
        <w:rPr>
          <w:rFonts w:ascii="Arial" w:hAnsi="Arial"/>
          <w:szCs w:val="22"/>
        </w:rPr>
      </w:pPr>
    </w:p>
    <w:p w:rsidR="00C15CBF" w:rsidRDefault="00C15CBF" w:rsidP="00C15CBF">
      <w:pPr>
        <w:tabs>
          <w:tab w:val="left" w:pos="-720"/>
          <w:tab w:val="right" w:pos="8820"/>
        </w:tabs>
        <w:suppressAutoHyphens/>
        <w:ind w:left="360"/>
        <w:rPr>
          <w:rFonts w:ascii="Arial" w:hAnsi="Arial" w:cs="Arial"/>
        </w:rPr>
      </w:pPr>
      <w:r>
        <w:rPr>
          <w:rFonts w:ascii="Arial" w:hAnsi="Arial"/>
          <w:szCs w:val="22"/>
        </w:rPr>
        <w:t>EHAP-CD conversion loans will have a 20</w:t>
      </w:r>
      <w:r w:rsidRPr="00064D57">
        <w:rPr>
          <w:rFonts w:ascii="Arial" w:hAnsi="Arial"/>
          <w:szCs w:val="22"/>
        </w:rPr>
        <w:t>-year term</w:t>
      </w:r>
      <w:r>
        <w:rPr>
          <w:rFonts w:ascii="Arial" w:hAnsi="Arial"/>
          <w:szCs w:val="22"/>
        </w:rPr>
        <w:t xml:space="preserve"> beginning </w:t>
      </w:r>
      <w:r w:rsidRPr="00162130">
        <w:rPr>
          <w:rFonts w:ascii="Arial" w:hAnsi="Arial" w:cs="Arial"/>
          <w:color w:val="000000"/>
        </w:rPr>
        <w:t xml:space="preserve">from </w:t>
      </w:r>
      <w:r>
        <w:rPr>
          <w:rFonts w:ascii="Arial" w:hAnsi="Arial" w:cs="Arial"/>
          <w:color w:val="000000"/>
        </w:rPr>
        <w:t xml:space="preserve">the date the regulatory agreement for the conversion loan </w:t>
      </w:r>
      <w:r w:rsidRPr="00162130">
        <w:rPr>
          <w:rFonts w:ascii="Arial" w:hAnsi="Arial" w:cs="Arial"/>
          <w:color w:val="000000"/>
        </w:rPr>
        <w:t>is recorded.</w:t>
      </w:r>
      <w:r>
        <w:rPr>
          <w:rFonts w:ascii="Arial" w:hAnsi="Arial" w:cs="Arial"/>
          <w:color w:val="FF0000"/>
        </w:rPr>
        <w:t xml:space="preserve"> </w:t>
      </w:r>
      <w:r>
        <w:rPr>
          <w:rFonts w:ascii="Arial" w:hAnsi="Arial" w:cs="Arial"/>
        </w:rPr>
        <w:t xml:space="preserve">The loan will accrue three percent per annum simple interest.  Principal and interest payments are deferred for the term of the loan and the loan will be forgiven as long as the project is used as permanent Supportive Housing </w:t>
      </w:r>
      <w:r w:rsidRPr="00ED4D54">
        <w:rPr>
          <w:rFonts w:ascii="Arial" w:hAnsi="Arial" w:cs="Arial"/>
        </w:rPr>
        <w:t>and the proposed services are provided as</w:t>
      </w:r>
      <w:r w:rsidR="00B02C52">
        <w:rPr>
          <w:rFonts w:ascii="Arial" w:hAnsi="Arial" w:cs="Arial"/>
        </w:rPr>
        <w:t xml:space="preserve"> represented in the application pursuant to the terms of the project’s regulatory agreement.</w:t>
      </w:r>
    </w:p>
    <w:p w:rsidR="00C15CBF" w:rsidRPr="00064D57" w:rsidRDefault="00C15CBF" w:rsidP="00C15CBF">
      <w:pPr>
        <w:tabs>
          <w:tab w:val="left" w:pos="-720"/>
          <w:tab w:val="right" w:pos="8820"/>
        </w:tabs>
        <w:suppressAutoHyphens/>
        <w:ind w:left="360"/>
        <w:rPr>
          <w:rFonts w:ascii="Arial" w:hAnsi="Arial"/>
          <w:szCs w:val="22"/>
        </w:rPr>
      </w:pPr>
    </w:p>
    <w:p w:rsidR="00C15CBF" w:rsidRPr="00064D57" w:rsidRDefault="00C15CBF" w:rsidP="00C15CBF">
      <w:pPr>
        <w:ind w:left="360"/>
        <w:rPr>
          <w:rFonts w:ascii="Arial" w:hAnsi="Arial"/>
          <w:szCs w:val="22"/>
        </w:rPr>
      </w:pPr>
      <w:r>
        <w:rPr>
          <w:rFonts w:ascii="Arial" w:hAnsi="Arial"/>
          <w:szCs w:val="22"/>
        </w:rPr>
        <w:t>For purposes of this NOFA, project c</w:t>
      </w:r>
      <w:r w:rsidRPr="00064D57">
        <w:rPr>
          <w:rFonts w:ascii="Arial" w:hAnsi="Arial"/>
          <w:szCs w:val="22"/>
        </w:rPr>
        <w:t>ash flow remaining after payment of all approved mandatory debt service, approved operating expenses, required reserves, asset management fee, and allowable deferred Deve</w:t>
      </w:r>
      <w:r w:rsidR="00B02C52">
        <w:rPr>
          <w:rFonts w:ascii="Arial" w:hAnsi="Arial"/>
          <w:szCs w:val="22"/>
        </w:rPr>
        <w:t xml:space="preserve">loper Fee and Distributions </w:t>
      </w:r>
      <w:r w:rsidRPr="00311878">
        <w:rPr>
          <w:rFonts w:ascii="Arial" w:hAnsi="Arial"/>
          <w:szCs w:val="22"/>
        </w:rPr>
        <w:t>shall be deposited into a second operating reserve to address possible budget shortfalls from year to year, or a transition reserve if the project has rental subsidies that could expire within the term of the EHAP-CD loan. (See Section M below.)  If the terms of other public agencies’ financing require payments from remaining cash flow, HCD may agree to allow a portion of the remaining cash flow to go to the public agencies in proportion to the respective cash loan amounts.</w:t>
      </w:r>
      <w:r w:rsidRPr="00064D57">
        <w:rPr>
          <w:rFonts w:ascii="Arial" w:hAnsi="Arial"/>
          <w:szCs w:val="22"/>
        </w:rPr>
        <w:t xml:space="preserve">  </w:t>
      </w:r>
      <w:r>
        <w:rPr>
          <w:rFonts w:ascii="Arial" w:hAnsi="Arial"/>
          <w:szCs w:val="22"/>
        </w:rPr>
        <w:t xml:space="preserve"> Mandatory</w:t>
      </w:r>
      <w:r w:rsidRPr="00064D57">
        <w:rPr>
          <w:rFonts w:ascii="Arial" w:hAnsi="Arial"/>
          <w:szCs w:val="22"/>
        </w:rPr>
        <w:t xml:space="preserve"> debt </w:t>
      </w:r>
      <w:r w:rsidRPr="00064D57">
        <w:rPr>
          <w:rFonts w:ascii="Arial" w:hAnsi="Arial"/>
          <w:szCs w:val="22"/>
        </w:rPr>
        <w:lastRenderedPageBreak/>
        <w:t>service on funding from local publi</w:t>
      </w:r>
      <w:r>
        <w:rPr>
          <w:rFonts w:ascii="Arial" w:hAnsi="Arial"/>
          <w:szCs w:val="22"/>
        </w:rPr>
        <w:t>c agencies will be considered on a case-by-case basis</w:t>
      </w:r>
      <w:r w:rsidRPr="00064D57">
        <w:rPr>
          <w:rFonts w:ascii="Arial" w:hAnsi="Arial"/>
          <w:szCs w:val="22"/>
        </w:rPr>
        <w:t>.</w:t>
      </w:r>
    </w:p>
    <w:p w:rsidR="00C15CBF" w:rsidRPr="00064D57" w:rsidRDefault="00C15CBF" w:rsidP="00C15CBF">
      <w:pPr>
        <w:ind w:left="360"/>
        <w:rPr>
          <w:rFonts w:ascii="Arial" w:hAnsi="Arial"/>
          <w:szCs w:val="22"/>
        </w:rPr>
      </w:pPr>
    </w:p>
    <w:p w:rsidR="00C15CBF" w:rsidRPr="00064D57" w:rsidRDefault="00C15CBF" w:rsidP="00C15CBF">
      <w:pPr>
        <w:ind w:left="360"/>
        <w:rPr>
          <w:rFonts w:ascii="Arial" w:hAnsi="Arial"/>
          <w:szCs w:val="22"/>
        </w:rPr>
      </w:pPr>
      <w:r>
        <w:rPr>
          <w:rFonts w:ascii="Arial" w:hAnsi="Arial"/>
          <w:szCs w:val="22"/>
        </w:rPr>
        <w:t xml:space="preserve">EHAP-CD conversion </w:t>
      </w:r>
      <w:r w:rsidRPr="00064D57">
        <w:rPr>
          <w:rFonts w:ascii="Arial" w:hAnsi="Arial"/>
          <w:szCs w:val="22"/>
        </w:rPr>
        <w:t xml:space="preserve">loan documents will include a promissory note, deed of trust and regulatory agreement.  The deed of trust and regulatory agreement may be subordinated to bond debt, and amortizing loans from institutional lenders and the federal government, provided no balloon payments are due prior to the end of the </w:t>
      </w:r>
      <w:r>
        <w:rPr>
          <w:rFonts w:ascii="Arial" w:hAnsi="Arial"/>
          <w:szCs w:val="22"/>
        </w:rPr>
        <w:t xml:space="preserve">EHAP-CD Conversion </w:t>
      </w:r>
      <w:r w:rsidRPr="00064D57">
        <w:rPr>
          <w:rFonts w:ascii="Arial" w:hAnsi="Arial"/>
          <w:szCs w:val="22"/>
        </w:rPr>
        <w:t xml:space="preserve">loan term.  </w:t>
      </w:r>
      <w:r>
        <w:rPr>
          <w:rFonts w:ascii="Arial" w:hAnsi="Arial"/>
          <w:szCs w:val="22"/>
        </w:rPr>
        <w:t xml:space="preserve">EHAP-CD conversion </w:t>
      </w:r>
      <w:r w:rsidRPr="00064D57">
        <w:rPr>
          <w:rFonts w:ascii="Arial" w:hAnsi="Arial"/>
          <w:szCs w:val="22"/>
        </w:rPr>
        <w:t>loans may not be subordinat</w:t>
      </w:r>
      <w:r>
        <w:rPr>
          <w:rFonts w:ascii="Arial" w:hAnsi="Arial"/>
          <w:szCs w:val="22"/>
        </w:rPr>
        <w:t xml:space="preserve">ed to local public agency </w:t>
      </w:r>
      <w:r w:rsidR="00E20ADF">
        <w:rPr>
          <w:rFonts w:ascii="Arial" w:hAnsi="Arial"/>
          <w:szCs w:val="22"/>
        </w:rPr>
        <w:t xml:space="preserve">loans or Federal Home Loan Bank - </w:t>
      </w:r>
      <w:r>
        <w:rPr>
          <w:rFonts w:ascii="Arial" w:hAnsi="Arial"/>
          <w:szCs w:val="22"/>
        </w:rPr>
        <w:t xml:space="preserve">Affordable Housing Program loans </w:t>
      </w:r>
      <w:r w:rsidRPr="00064D57">
        <w:rPr>
          <w:rFonts w:ascii="Arial" w:hAnsi="Arial"/>
          <w:szCs w:val="22"/>
        </w:rPr>
        <w:t xml:space="preserve">or restrictions attached to these loans, unless the amount of the local loan is at least twice the amount of the </w:t>
      </w:r>
      <w:r>
        <w:rPr>
          <w:rFonts w:ascii="Arial" w:hAnsi="Arial"/>
          <w:szCs w:val="22"/>
        </w:rPr>
        <w:t xml:space="preserve">EHAP-CD Conversion </w:t>
      </w:r>
      <w:r w:rsidRPr="00064D57">
        <w:rPr>
          <w:rFonts w:ascii="Arial" w:hAnsi="Arial"/>
          <w:szCs w:val="22"/>
        </w:rPr>
        <w:t>loan</w:t>
      </w:r>
      <w:r w:rsidR="00B02C52">
        <w:rPr>
          <w:rFonts w:ascii="Arial" w:hAnsi="Arial"/>
          <w:szCs w:val="22"/>
        </w:rPr>
        <w:t>;</w:t>
      </w:r>
      <w:r w:rsidRPr="00064D57">
        <w:rPr>
          <w:rFonts w:ascii="Arial" w:hAnsi="Arial"/>
          <w:szCs w:val="22"/>
        </w:rPr>
        <w:t xml:space="preserve"> (see </w:t>
      </w:r>
      <w:hyperlink r:id="rId23" w:history="1">
        <w:r w:rsidRPr="004F1C9E">
          <w:rPr>
            <w:rStyle w:val="Hyperlink"/>
            <w:rFonts w:ascii="Arial" w:hAnsi="Arial"/>
            <w:szCs w:val="22"/>
          </w:rPr>
          <w:t>UMR Section 8315</w:t>
        </w:r>
      </w:hyperlink>
      <w:r>
        <w:rPr>
          <w:rFonts w:ascii="Arial" w:hAnsi="Arial"/>
          <w:szCs w:val="22"/>
        </w:rPr>
        <w:t xml:space="preserve"> for other requirements related to loan subordination</w:t>
      </w:r>
      <w:r w:rsidRPr="00064D57">
        <w:rPr>
          <w:rFonts w:ascii="Arial" w:hAnsi="Arial"/>
          <w:szCs w:val="22"/>
        </w:rPr>
        <w:t xml:space="preserve">).  </w:t>
      </w:r>
    </w:p>
    <w:p w:rsidR="00C15CBF" w:rsidRPr="00064D57" w:rsidRDefault="00C15CBF" w:rsidP="00C15CBF">
      <w:pPr>
        <w:ind w:left="360"/>
        <w:rPr>
          <w:rFonts w:ascii="Arial" w:hAnsi="Arial"/>
          <w:szCs w:val="22"/>
        </w:rPr>
      </w:pPr>
    </w:p>
    <w:p w:rsidR="00C15CBF" w:rsidRDefault="00C15CBF" w:rsidP="00C15CBF">
      <w:pPr>
        <w:ind w:left="360"/>
        <w:rPr>
          <w:rFonts w:ascii="Times New Roman" w:hAnsi="Times New Roman"/>
          <w:b/>
          <w:sz w:val="22"/>
          <w:szCs w:val="22"/>
        </w:rPr>
      </w:pPr>
      <w:r w:rsidRPr="00064D57">
        <w:rPr>
          <w:rFonts w:ascii="Arial" w:hAnsi="Arial"/>
          <w:szCs w:val="22"/>
        </w:rPr>
        <w:t xml:space="preserve">The </w:t>
      </w:r>
      <w:r>
        <w:rPr>
          <w:rFonts w:ascii="Arial" w:hAnsi="Arial"/>
          <w:szCs w:val="22"/>
        </w:rPr>
        <w:t xml:space="preserve">EHAP-CD conversion </w:t>
      </w:r>
      <w:r w:rsidRPr="00064D57">
        <w:rPr>
          <w:rFonts w:ascii="Arial" w:hAnsi="Arial"/>
          <w:szCs w:val="22"/>
        </w:rPr>
        <w:t xml:space="preserve">loan must be secured by the fee or a leasehold interest in the property acceptable to the Department.  The term of a leasehold interest must be at least 90 years, and 65 years when the lessor is a public entity, from the date HCD’s documents are recorded.  This term excludes any unexercised lease extensions.  If the </w:t>
      </w:r>
      <w:r w:rsidR="00B02C52">
        <w:rPr>
          <w:rFonts w:ascii="Arial" w:hAnsi="Arial"/>
          <w:szCs w:val="22"/>
        </w:rPr>
        <w:t>EHAP-CD C</w:t>
      </w:r>
      <w:r>
        <w:rPr>
          <w:rFonts w:ascii="Arial" w:hAnsi="Arial"/>
          <w:szCs w:val="22"/>
        </w:rPr>
        <w:t xml:space="preserve">onversion </w:t>
      </w:r>
      <w:r w:rsidRPr="00064D57">
        <w:rPr>
          <w:rFonts w:ascii="Arial" w:hAnsi="Arial"/>
          <w:szCs w:val="22"/>
        </w:rPr>
        <w:t xml:space="preserve">loan is secured by leasehold, the owner of the fee and the borrower must sign </w:t>
      </w:r>
      <w:r>
        <w:rPr>
          <w:rFonts w:ascii="Arial" w:hAnsi="Arial"/>
          <w:szCs w:val="22"/>
        </w:rPr>
        <w:t>HCD</w:t>
      </w:r>
      <w:r w:rsidRPr="00064D57">
        <w:rPr>
          <w:rFonts w:ascii="Arial" w:hAnsi="Arial"/>
          <w:szCs w:val="22"/>
        </w:rPr>
        <w:t xml:space="preserve">’s form recordable lease rider without modification (see </w:t>
      </w:r>
      <w:hyperlink r:id="rId24" w:history="1">
        <w:r w:rsidRPr="00125CFA">
          <w:rPr>
            <w:rStyle w:val="Hyperlink"/>
            <w:rFonts w:ascii="Arial" w:hAnsi="Arial"/>
            <w:szCs w:val="22"/>
          </w:rPr>
          <w:t>UMR Section 8316</w:t>
        </w:r>
      </w:hyperlink>
      <w:r w:rsidRPr="00064D57">
        <w:rPr>
          <w:rFonts w:ascii="Arial" w:hAnsi="Arial"/>
          <w:szCs w:val="22"/>
        </w:rPr>
        <w:t xml:space="preserve"> for other leasehold requirements).</w:t>
      </w:r>
    </w:p>
    <w:p w:rsidR="00C15CBF" w:rsidRDefault="00C15CBF" w:rsidP="00C15CBF">
      <w:pPr>
        <w:ind w:left="1440" w:hanging="720"/>
        <w:rPr>
          <w:rFonts w:ascii="Times New Roman" w:hAnsi="Times New Roman"/>
          <w:b/>
          <w:sz w:val="22"/>
          <w:szCs w:val="22"/>
        </w:rPr>
      </w:pPr>
    </w:p>
    <w:p w:rsidR="00C15CBF" w:rsidRPr="002414D6" w:rsidRDefault="00C15CBF" w:rsidP="00C15CBF">
      <w:pPr>
        <w:tabs>
          <w:tab w:val="left" w:pos="360"/>
        </w:tabs>
        <w:rPr>
          <w:rFonts w:ascii="Arial Bold" w:hAnsi="Arial Bold"/>
          <w:b/>
          <w:szCs w:val="22"/>
        </w:rPr>
      </w:pPr>
      <w:r>
        <w:rPr>
          <w:rFonts w:ascii="Arial Bold" w:hAnsi="Arial Bold"/>
          <w:b/>
          <w:szCs w:val="22"/>
        </w:rPr>
        <w:t>M</w:t>
      </w:r>
      <w:r w:rsidRPr="002414D6">
        <w:rPr>
          <w:rFonts w:ascii="Arial Bold" w:hAnsi="Arial Bold"/>
          <w:b/>
          <w:szCs w:val="22"/>
        </w:rPr>
        <w:t>.</w:t>
      </w:r>
      <w:r w:rsidRPr="002414D6">
        <w:rPr>
          <w:rFonts w:ascii="Arial Bold" w:hAnsi="Arial Bold"/>
          <w:b/>
          <w:szCs w:val="22"/>
        </w:rPr>
        <w:tab/>
      </w:r>
      <w:r w:rsidRPr="00CA7BD1">
        <w:rPr>
          <w:rFonts w:ascii="Arial" w:hAnsi="Arial" w:cs="Arial"/>
          <w:b/>
          <w:szCs w:val="22"/>
          <w:u w:val="single"/>
        </w:rPr>
        <w:t>Rent and Occupancy Limits</w:t>
      </w:r>
    </w:p>
    <w:p w:rsidR="00C15CBF" w:rsidRDefault="00C15CBF" w:rsidP="00C15CBF">
      <w:pPr>
        <w:ind w:left="360"/>
        <w:rPr>
          <w:rFonts w:ascii="Arial" w:hAnsi="Arial" w:cs="Arial"/>
          <w:szCs w:val="22"/>
        </w:rPr>
      </w:pPr>
    </w:p>
    <w:p w:rsidR="00C15CBF" w:rsidRDefault="00C15CBF" w:rsidP="00C15CBF">
      <w:pPr>
        <w:ind w:left="360"/>
        <w:rPr>
          <w:rFonts w:ascii="Arial" w:hAnsi="Arial"/>
          <w:szCs w:val="24"/>
        </w:rPr>
      </w:pPr>
      <w:r>
        <w:rPr>
          <w:rFonts w:ascii="Arial" w:hAnsi="Arial" w:cs="Arial"/>
          <w:szCs w:val="22"/>
        </w:rPr>
        <w:t>EHAP-CD-</w:t>
      </w:r>
      <w:r w:rsidRPr="00FD77EF">
        <w:rPr>
          <w:rFonts w:ascii="Arial" w:hAnsi="Arial" w:cs="Arial"/>
          <w:szCs w:val="22"/>
        </w:rPr>
        <w:t xml:space="preserve">assisted unit rent and tenant incomes will be restricted in accordance with the rent and income limits proposed by the project Sponsor in their </w:t>
      </w:r>
      <w:r>
        <w:rPr>
          <w:rFonts w:ascii="Arial" w:hAnsi="Arial" w:cs="Arial"/>
          <w:szCs w:val="22"/>
        </w:rPr>
        <w:t xml:space="preserve">EHAP-CD conversion </w:t>
      </w:r>
      <w:r w:rsidRPr="00FD77EF">
        <w:rPr>
          <w:rFonts w:ascii="Arial" w:hAnsi="Arial" w:cs="Arial"/>
          <w:szCs w:val="22"/>
        </w:rPr>
        <w:t xml:space="preserve">application, with rents not exceeding </w:t>
      </w:r>
      <w:r w:rsidR="003D2368">
        <w:rPr>
          <w:rFonts w:ascii="Arial" w:hAnsi="Arial" w:cs="Arial"/>
          <w:szCs w:val="22"/>
        </w:rPr>
        <w:t xml:space="preserve">the </w:t>
      </w:r>
      <w:r w:rsidRPr="00FD77EF">
        <w:rPr>
          <w:rFonts w:ascii="Arial" w:hAnsi="Arial" w:cs="Arial"/>
          <w:szCs w:val="22"/>
        </w:rPr>
        <w:t xml:space="preserve">30 percent of the </w:t>
      </w:r>
      <w:r>
        <w:rPr>
          <w:rFonts w:ascii="Arial" w:hAnsi="Arial" w:cs="Arial"/>
          <w:szCs w:val="22"/>
        </w:rPr>
        <w:t>30%</w:t>
      </w:r>
      <w:r w:rsidRPr="00FD77EF">
        <w:rPr>
          <w:rFonts w:ascii="Arial" w:hAnsi="Arial" w:cs="Arial"/>
          <w:szCs w:val="22"/>
        </w:rPr>
        <w:t xml:space="preserve"> income</w:t>
      </w:r>
      <w:r>
        <w:rPr>
          <w:rFonts w:ascii="Arial" w:hAnsi="Arial" w:cs="Arial"/>
          <w:szCs w:val="22"/>
        </w:rPr>
        <w:t xml:space="preserve"> </w:t>
      </w:r>
      <w:r w:rsidRPr="00FD77EF">
        <w:rPr>
          <w:rFonts w:ascii="Arial" w:hAnsi="Arial" w:cs="Arial"/>
          <w:szCs w:val="22"/>
        </w:rPr>
        <w:t xml:space="preserve">limit.  The income limits </w:t>
      </w:r>
      <w:r>
        <w:rPr>
          <w:rFonts w:ascii="Arial" w:hAnsi="Arial" w:cs="Arial"/>
          <w:szCs w:val="22"/>
        </w:rPr>
        <w:t xml:space="preserve">for 2014 </w:t>
      </w:r>
      <w:r w:rsidRPr="00FD77EF">
        <w:rPr>
          <w:rFonts w:ascii="Arial" w:hAnsi="Arial" w:cs="Arial"/>
          <w:szCs w:val="22"/>
        </w:rPr>
        <w:t xml:space="preserve">are posted at HCD’s website at </w:t>
      </w:r>
      <w:hyperlink r:id="rId25" w:history="1"/>
      <w:r>
        <w:rPr>
          <w:rFonts w:ascii="Arial" w:hAnsi="Arial" w:cs="Arial"/>
          <w:szCs w:val="22"/>
        </w:rPr>
        <w:t xml:space="preserve"> </w:t>
      </w:r>
      <w:hyperlink r:id="rId26" w:history="1">
        <w:r w:rsidRPr="00DB61B1">
          <w:rPr>
            <w:rStyle w:val="Hyperlink"/>
            <w:rFonts w:ascii="Arial" w:hAnsi="Arial"/>
            <w:szCs w:val="24"/>
          </w:rPr>
          <w:t>2014 Limits</w:t>
        </w:r>
      </w:hyperlink>
      <w:r>
        <w:rPr>
          <w:rFonts w:ascii="Arial" w:hAnsi="Arial"/>
          <w:szCs w:val="24"/>
        </w:rPr>
        <w:t>. (Use the non-HERA limits beginning on Page One.)</w:t>
      </w:r>
    </w:p>
    <w:p w:rsidR="00C15CBF" w:rsidRDefault="00C15CBF" w:rsidP="00C15CBF">
      <w:pPr>
        <w:ind w:left="360"/>
        <w:rPr>
          <w:rFonts w:ascii="Arial" w:hAnsi="Arial" w:cs="Arial"/>
          <w:szCs w:val="22"/>
        </w:rPr>
      </w:pPr>
    </w:p>
    <w:p w:rsidR="00C15CBF" w:rsidRPr="00EF7097" w:rsidRDefault="00C15CBF" w:rsidP="00E20ADF">
      <w:pPr>
        <w:pStyle w:val="Default"/>
        <w:ind w:left="360" w:hanging="360"/>
        <w:rPr>
          <w:szCs w:val="22"/>
        </w:rPr>
      </w:pPr>
      <w:r>
        <w:rPr>
          <w:szCs w:val="22"/>
        </w:rPr>
        <w:tab/>
      </w:r>
      <w:r w:rsidRPr="00FD77EF">
        <w:rPr>
          <w:szCs w:val="22"/>
        </w:rPr>
        <w:t>Projects will be underwritten at the rent limits for the income levels proposed in the application.  HCD’s first year debt service coverage ratio requirement of 1.10:1 to 1.20:1 will be applied using the maximum rents allowable.</w:t>
      </w:r>
      <w:r>
        <w:rPr>
          <w:szCs w:val="22"/>
        </w:rPr>
        <w:t xml:space="preserve"> </w:t>
      </w:r>
      <w:r w:rsidRPr="00EF7097">
        <w:rPr>
          <w:szCs w:val="22"/>
        </w:rPr>
        <w:t xml:space="preserve">For projects with no mandatory debt service first year project cash flow after payment of required reserve deposits shall not exceed 12 percent of operating expenses unless necessary for project feasibility. See </w:t>
      </w:r>
      <w:hyperlink r:id="rId27" w:history="1">
        <w:r w:rsidRPr="00EF7097">
          <w:rPr>
            <w:rStyle w:val="Hyperlink"/>
            <w:szCs w:val="22"/>
          </w:rPr>
          <w:t>UMR Section 8310 (e)</w:t>
        </w:r>
      </w:hyperlink>
      <w:r w:rsidR="00E20ADF">
        <w:rPr>
          <w:szCs w:val="22"/>
        </w:rPr>
        <w:t xml:space="preserve">. </w:t>
      </w:r>
    </w:p>
    <w:p w:rsidR="00E20ADF" w:rsidRDefault="00E20ADF" w:rsidP="00C15CBF">
      <w:pPr>
        <w:ind w:left="360"/>
        <w:rPr>
          <w:rFonts w:ascii="Arial" w:hAnsi="Arial" w:cs="Arial"/>
          <w:szCs w:val="22"/>
        </w:rPr>
      </w:pPr>
    </w:p>
    <w:p w:rsidR="00C15CBF" w:rsidRPr="00FD77EF" w:rsidRDefault="00C15CBF" w:rsidP="00C15CBF">
      <w:pPr>
        <w:ind w:left="360"/>
        <w:rPr>
          <w:rFonts w:ascii="Arial" w:hAnsi="Arial" w:cs="Arial"/>
          <w:szCs w:val="22"/>
        </w:rPr>
      </w:pPr>
      <w:r w:rsidRPr="00EF7097">
        <w:rPr>
          <w:rFonts w:ascii="Arial" w:hAnsi="Arial" w:cs="Arial"/>
          <w:szCs w:val="22"/>
        </w:rPr>
        <w:t xml:space="preserve">Assisted unit rent increases will be limited in accordance with the rules governing tax credit units and as specified in </w:t>
      </w:r>
      <w:hyperlink r:id="rId28" w:history="1">
        <w:r w:rsidRPr="00EF7097">
          <w:rPr>
            <w:rStyle w:val="Hyperlink"/>
            <w:rFonts w:ascii="Arial" w:hAnsi="Arial" w:cs="Arial"/>
            <w:szCs w:val="22"/>
          </w:rPr>
          <w:t>MHP Regulation Sections 7311 and 7312</w:t>
        </w:r>
      </w:hyperlink>
      <w:r w:rsidRPr="00EF7097">
        <w:rPr>
          <w:rFonts w:ascii="Arial" w:hAnsi="Arial" w:cs="Arial"/>
          <w:szCs w:val="22"/>
        </w:rPr>
        <w:t xml:space="preserve">.   Since incomes and rents at initial occupancy are set for ELI households, it is recommended that Sponsors structure their rent mix to accommodate some portion of rents affordable to households below 30 percent AMI </w:t>
      </w:r>
      <w:r w:rsidR="003D2368">
        <w:rPr>
          <w:rFonts w:ascii="Arial" w:hAnsi="Arial" w:cs="Arial"/>
          <w:szCs w:val="22"/>
        </w:rPr>
        <w:t xml:space="preserve">in order to </w:t>
      </w:r>
      <w:r w:rsidRPr="00EF7097">
        <w:rPr>
          <w:rFonts w:ascii="Arial" w:hAnsi="Arial" w:cs="Arial"/>
          <w:szCs w:val="22"/>
        </w:rPr>
        <w:t xml:space="preserve">reach the </w:t>
      </w:r>
      <w:r w:rsidR="003D2368">
        <w:rPr>
          <w:rFonts w:ascii="Arial" w:hAnsi="Arial" w:cs="Arial"/>
          <w:szCs w:val="22"/>
        </w:rPr>
        <w:t xml:space="preserve">homeless </w:t>
      </w:r>
      <w:r w:rsidRPr="00EF7097">
        <w:rPr>
          <w:rFonts w:ascii="Arial" w:hAnsi="Arial" w:cs="Arial"/>
          <w:szCs w:val="22"/>
        </w:rPr>
        <w:t>target population and to allow incomes of assisted households to rise over time</w:t>
      </w:r>
      <w:r>
        <w:rPr>
          <w:rFonts w:ascii="Arial" w:hAnsi="Arial" w:cs="Arial"/>
          <w:szCs w:val="22"/>
        </w:rPr>
        <w:t xml:space="preserve">. </w:t>
      </w:r>
      <w:r w:rsidRPr="00EF7097">
        <w:rPr>
          <w:rFonts w:ascii="Arial" w:hAnsi="Arial" w:cs="Arial"/>
          <w:szCs w:val="22"/>
        </w:rPr>
        <w:t>Where the project receives Project</w:t>
      </w:r>
      <w:r w:rsidRPr="00FD77EF">
        <w:rPr>
          <w:rFonts w:ascii="Arial" w:hAnsi="Arial" w:cs="Arial"/>
          <w:szCs w:val="22"/>
        </w:rPr>
        <w:t>-Based Section 8 or other rental assistance subsidies, “rent” is defined as the tenant’s contribution, rather than the contract rent level.  Sponsors of this type of project will be required to continue the rental assistance as long as it is available.   For projects receiving renewable Project-Based r</w:t>
      </w:r>
      <w:r w:rsidR="004F4C20">
        <w:rPr>
          <w:rFonts w:ascii="Arial" w:hAnsi="Arial" w:cs="Arial"/>
          <w:szCs w:val="22"/>
        </w:rPr>
        <w:t xml:space="preserve">ental assistance, excluding Mental Health Services Act </w:t>
      </w:r>
      <w:r w:rsidR="003F3F7E">
        <w:rPr>
          <w:rFonts w:ascii="Arial" w:hAnsi="Arial" w:cs="Arial"/>
          <w:szCs w:val="22"/>
        </w:rPr>
        <w:t xml:space="preserve">(MHSA) </w:t>
      </w:r>
      <w:r w:rsidRPr="00FD77EF">
        <w:rPr>
          <w:rFonts w:ascii="Arial" w:hAnsi="Arial" w:cs="Arial"/>
          <w:szCs w:val="22"/>
        </w:rPr>
        <w:t xml:space="preserve">and </w:t>
      </w:r>
      <w:r w:rsidR="00C43ABC">
        <w:rPr>
          <w:rFonts w:ascii="Arial" w:hAnsi="Arial" w:cs="Arial"/>
          <w:szCs w:val="22"/>
        </w:rPr>
        <w:t xml:space="preserve">U.S. </w:t>
      </w:r>
      <w:r w:rsidRPr="00FD77EF">
        <w:rPr>
          <w:rFonts w:ascii="Arial" w:hAnsi="Arial" w:cs="Arial"/>
          <w:szCs w:val="22"/>
        </w:rPr>
        <w:lastRenderedPageBreak/>
        <w:t xml:space="preserve">Department of Housing and Urban Development (HUD) Section 811, the Sponsor </w:t>
      </w:r>
      <w:r>
        <w:rPr>
          <w:rFonts w:ascii="Arial" w:hAnsi="Arial" w:cs="Arial"/>
          <w:szCs w:val="22"/>
        </w:rPr>
        <w:t xml:space="preserve">may be required to capitalize </w:t>
      </w:r>
      <w:r w:rsidRPr="00FD77EF">
        <w:rPr>
          <w:rFonts w:ascii="Arial" w:hAnsi="Arial" w:cs="Arial"/>
          <w:szCs w:val="22"/>
        </w:rPr>
        <w:t xml:space="preserve">two years of transition reserve to be used in the event the subsidy contract is terminated.  </w:t>
      </w:r>
    </w:p>
    <w:p w:rsidR="00C15CBF" w:rsidRPr="00FD77EF" w:rsidRDefault="00C15CBF" w:rsidP="00C15CBF">
      <w:pPr>
        <w:ind w:left="360"/>
        <w:rPr>
          <w:rFonts w:ascii="Arial" w:hAnsi="Arial" w:cs="Arial"/>
          <w:szCs w:val="22"/>
        </w:rPr>
      </w:pPr>
    </w:p>
    <w:p w:rsidR="00C15CBF" w:rsidRPr="00387A86" w:rsidRDefault="00C15CBF" w:rsidP="00C15CBF">
      <w:pPr>
        <w:ind w:left="360"/>
        <w:rPr>
          <w:rFonts w:ascii="Arial" w:hAnsi="Arial" w:cs="Arial"/>
          <w:szCs w:val="22"/>
        </w:rPr>
      </w:pPr>
      <w:r>
        <w:rPr>
          <w:rFonts w:ascii="Arial" w:hAnsi="Arial" w:cs="Arial"/>
          <w:szCs w:val="22"/>
        </w:rPr>
        <w:t>If required, t</w:t>
      </w:r>
      <w:r w:rsidRPr="00FD77EF">
        <w:rPr>
          <w:rFonts w:ascii="Arial" w:hAnsi="Arial" w:cs="Arial"/>
          <w:szCs w:val="22"/>
        </w:rPr>
        <w:t xml:space="preserve">he reserve shall be funded in an amount sufficient to prevent any rent increases for units that previously received rental assistance and are restricted to households with incomes not exceeding </w:t>
      </w:r>
      <w:r>
        <w:rPr>
          <w:rFonts w:ascii="Arial" w:hAnsi="Arial" w:cs="Arial"/>
          <w:szCs w:val="22"/>
        </w:rPr>
        <w:t>EHAP-CD conversion r</w:t>
      </w:r>
      <w:r w:rsidRPr="00FD77EF">
        <w:rPr>
          <w:rFonts w:ascii="Arial" w:hAnsi="Arial" w:cs="Arial"/>
          <w:szCs w:val="22"/>
        </w:rPr>
        <w:t xml:space="preserve">ent levels </w:t>
      </w:r>
      <w:r>
        <w:rPr>
          <w:rFonts w:ascii="Arial" w:hAnsi="Arial" w:cs="Arial"/>
          <w:szCs w:val="22"/>
        </w:rPr>
        <w:t xml:space="preserve">at 30 percent AMI or below. </w:t>
      </w:r>
      <w:r w:rsidRPr="00FD77EF">
        <w:rPr>
          <w:rFonts w:ascii="Arial" w:hAnsi="Arial" w:cs="Arial"/>
          <w:szCs w:val="22"/>
        </w:rPr>
        <w:t>After the two-year transition perio</w:t>
      </w:r>
      <w:r>
        <w:rPr>
          <w:rFonts w:ascii="Arial" w:hAnsi="Arial" w:cs="Arial"/>
          <w:szCs w:val="22"/>
        </w:rPr>
        <w:t>d, a project must be feasible with rents not exceeding</w:t>
      </w:r>
      <w:r w:rsidRPr="00FD77EF">
        <w:rPr>
          <w:rFonts w:ascii="Arial" w:hAnsi="Arial" w:cs="Arial"/>
          <w:szCs w:val="22"/>
        </w:rPr>
        <w:t xml:space="preserve"> </w:t>
      </w:r>
      <w:r w:rsidRPr="000F0640">
        <w:rPr>
          <w:rFonts w:ascii="Arial" w:hAnsi="Arial" w:cs="Arial"/>
          <w:szCs w:val="22"/>
        </w:rPr>
        <w:t>50 percent of AMI.</w:t>
      </w:r>
      <w:r w:rsidRPr="00FD77EF">
        <w:rPr>
          <w:rFonts w:ascii="Arial" w:hAnsi="Arial" w:cs="Arial"/>
          <w:szCs w:val="22"/>
        </w:rPr>
        <w:t xml:space="preserve"> </w:t>
      </w:r>
    </w:p>
    <w:p w:rsidR="00C15CBF" w:rsidRDefault="00C15CBF" w:rsidP="00C15CBF">
      <w:pPr>
        <w:ind w:left="1440" w:hanging="720"/>
        <w:rPr>
          <w:rFonts w:ascii="Arial Bold" w:hAnsi="Arial Bold"/>
          <w:b/>
          <w:szCs w:val="22"/>
        </w:rPr>
      </w:pPr>
    </w:p>
    <w:p w:rsidR="00C15CBF" w:rsidRPr="002414D6" w:rsidRDefault="00C15CBF" w:rsidP="00C15CBF">
      <w:pPr>
        <w:tabs>
          <w:tab w:val="left" w:pos="360"/>
        </w:tabs>
        <w:ind w:left="1440" w:hanging="1440"/>
        <w:rPr>
          <w:rFonts w:ascii="Arial Bold" w:hAnsi="Arial Bold"/>
          <w:b/>
          <w:szCs w:val="22"/>
          <w:u w:val="single"/>
        </w:rPr>
      </w:pPr>
      <w:r>
        <w:rPr>
          <w:rFonts w:ascii="Arial Bold" w:hAnsi="Arial Bold"/>
          <w:b/>
          <w:szCs w:val="22"/>
        </w:rPr>
        <w:t>N</w:t>
      </w:r>
      <w:r w:rsidRPr="002414D6">
        <w:rPr>
          <w:rFonts w:ascii="Arial Bold" w:hAnsi="Arial Bold"/>
          <w:b/>
          <w:szCs w:val="22"/>
        </w:rPr>
        <w:t>.</w:t>
      </w:r>
      <w:r w:rsidRPr="002414D6">
        <w:rPr>
          <w:rFonts w:ascii="Arial Bold" w:hAnsi="Arial Bold"/>
          <w:b/>
          <w:szCs w:val="22"/>
        </w:rPr>
        <w:tab/>
      </w:r>
      <w:r w:rsidRPr="00CA7BD1">
        <w:rPr>
          <w:rFonts w:ascii="Arial" w:hAnsi="Arial" w:cs="Arial"/>
          <w:b/>
          <w:szCs w:val="22"/>
          <w:u w:val="single"/>
        </w:rPr>
        <w:t>Developer Fee and Distribution Limitations</w:t>
      </w:r>
    </w:p>
    <w:p w:rsidR="00C15CBF" w:rsidRDefault="00C15CBF" w:rsidP="00C15CBF">
      <w:pPr>
        <w:ind w:left="1440"/>
        <w:rPr>
          <w:rFonts w:ascii="Times New Roman" w:hAnsi="Times New Roman"/>
          <w:b/>
          <w:sz w:val="22"/>
          <w:szCs w:val="22"/>
          <w:u w:val="single"/>
        </w:rPr>
      </w:pPr>
    </w:p>
    <w:p w:rsidR="00C15CBF" w:rsidRPr="00E70FED" w:rsidRDefault="00C15CBF" w:rsidP="00C15CBF">
      <w:pPr>
        <w:overflowPunct/>
        <w:autoSpaceDE/>
        <w:autoSpaceDN/>
        <w:adjustRightInd/>
        <w:ind w:left="360"/>
        <w:textAlignment w:val="auto"/>
        <w:rPr>
          <w:rFonts w:ascii="Arial" w:hAnsi="Arial"/>
          <w:b/>
          <w:szCs w:val="22"/>
        </w:rPr>
      </w:pPr>
      <w:r w:rsidRPr="00E70FED">
        <w:rPr>
          <w:rFonts w:ascii="Arial" w:hAnsi="Arial"/>
          <w:szCs w:val="22"/>
        </w:rPr>
        <w:t xml:space="preserve">Developer fee means the same as the definition of that term in the California Code of Regulations, Title 4, and Section 10302 and includes Financial Consulting Costs. </w:t>
      </w:r>
      <w:r w:rsidRPr="00E70FED">
        <w:rPr>
          <w:rFonts w:ascii="Arial" w:hAnsi="Arial" w:cs="Arial"/>
          <w:szCs w:val="22"/>
        </w:rPr>
        <w:t>EHAP-CD will pay a portion of the project’s developer fee, not to exceed 5 percent of the EHAP-CD award amount.</w:t>
      </w:r>
      <w:r w:rsidRPr="00E70FED">
        <w:rPr>
          <w:rFonts w:ascii="Arial" w:hAnsi="Arial"/>
          <w:szCs w:val="22"/>
        </w:rPr>
        <w:t xml:space="preserve">  Total developer fee, paid from EHAP-CD and other sources, is limited in accordance with the </w:t>
      </w:r>
      <w:r w:rsidR="00065517">
        <w:rPr>
          <w:rFonts w:ascii="Arial" w:hAnsi="Arial"/>
          <w:szCs w:val="22"/>
        </w:rPr>
        <w:t>Developer Fee calculation w</w:t>
      </w:r>
      <w:r w:rsidR="004F4C20">
        <w:rPr>
          <w:rFonts w:ascii="Arial" w:hAnsi="Arial"/>
          <w:szCs w:val="22"/>
        </w:rPr>
        <w:t>orksheet conta</w:t>
      </w:r>
      <w:r w:rsidR="00F03616">
        <w:rPr>
          <w:rFonts w:ascii="Arial" w:hAnsi="Arial"/>
          <w:szCs w:val="22"/>
        </w:rPr>
        <w:t>ined in the EHAP-CD Conversion a</w:t>
      </w:r>
      <w:r w:rsidR="004F4C20">
        <w:rPr>
          <w:rFonts w:ascii="Arial" w:hAnsi="Arial"/>
          <w:szCs w:val="22"/>
        </w:rPr>
        <w:t>pplication</w:t>
      </w:r>
      <w:r w:rsidRPr="00E70FED">
        <w:rPr>
          <w:rFonts w:ascii="Arial" w:hAnsi="Arial"/>
          <w:szCs w:val="22"/>
        </w:rPr>
        <w:t xml:space="preserve">. Distributions to the Sponsor out of operating income are also limited in accordance with </w:t>
      </w:r>
      <w:hyperlink r:id="rId29" w:history="1">
        <w:r w:rsidRPr="00E70FED">
          <w:rPr>
            <w:rStyle w:val="Hyperlink"/>
            <w:rFonts w:ascii="Arial" w:hAnsi="Arial"/>
            <w:szCs w:val="22"/>
          </w:rPr>
          <w:t>UMR Sections 8312 and 8314</w:t>
        </w:r>
      </w:hyperlink>
      <w:r w:rsidRPr="00E70FED">
        <w:rPr>
          <w:rFonts w:ascii="Arial" w:hAnsi="Arial"/>
          <w:szCs w:val="22"/>
        </w:rPr>
        <w:t xml:space="preserve">.  </w:t>
      </w:r>
    </w:p>
    <w:p w:rsidR="00C15CBF" w:rsidRPr="00E70FED" w:rsidRDefault="00C15CBF" w:rsidP="00C15CBF">
      <w:pPr>
        <w:overflowPunct/>
        <w:autoSpaceDE/>
        <w:autoSpaceDN/>
        <w:adjustRightInd/>
        <w:ind w:left="360"/>
        <w:textAlignment w:val="auto"/>
        <w:rPr>
          <w:rFonts w:ascii="Arial" w:hAnsi="Arial"/>
          <w:szCs w:val="22"/>
        </w:rPr>
      </w:pPr>
    </w:p>
    <w:p w:rsidR="00C15CBF" w:rsidRPr="00024E51" w:rsidRDefault="00C15CBF" w:rsidP="00C15CBF">
      <w:pPr>
        <w:overflowPunct/>
        <w:autoSpaceDE/>
        <w:autoSpaceDN/>
        <w:adjustRightInd/>
        <w:ind w:left="360"/>
        <w:textAlignment w:val="auto"/>
        <w:rPr>
          <w:rFonts w:ascii="Arial" w:hAnsi="Arial"/>
          <w:szCs w:val="22"/>
        </w:rPr>
      </w:pPr>
      <w:r w:rsidRPr="00024E51">
        <w:rPr>
          <w:rFonts w:ascii="Arial" w:hAnsi="Arial"/>
          <w:szCs w:val="22"/>
        </w:rPr>
        <w:t>The value of land donations received from city and/or county jurisdictions, master developers or other entit</w:t>
      </w:r>
      <w:r w:rsidR="00065517">
        <w:rPr>
          <w:rFonts w:ascii="Arial" w:hAnsi="Arial"/>
          <w:szCs w:val="22"/>
        </w:rPr>
        <w:t xml:space="preserve">ies which are not the Sponsor </w:t>
      </w:r>
      <w:r w:rsidRPr="00024E51">
        <w:rPr>
          <w:rFonts w:ascii="Arial" w:hAnsi="Arial"/>
          <w:szCs w:val="22"/>
        </w:rPr>
        <w:t xml:space="preserve">or an affiliate of the Sponsor will not be counted as a capital contribution to increase Developer Fee limits as described in </w:t>
      </w:r>
      <w:hyperlink r:id="rId30" w:history="1">
        <w:r w:rsidRPr="002766C6">
          <w:rPr>
            <w:rStyle w:val="Hyperlink"/>
            <w:rFonts w:ascii="Arial" w:hAnsi="Arial"/>
            <w:szCs w:val="22"/>
          </w:rPr>
          <w:t>UMR Section 8312(d),</w:t>
        </w:r>
      </w:hyperlink>
      <w:r w:rsidRPr="00024E51">
        <w:rPr>
          <w:rFonts w:ascii="Arial" w:hAnsi="Arial"/>
          <w:szCs w:val="22"/>
        </w:rPr>
        <w:t xml:space="preserve"> or to increase the jurisdiction’s share of cash flow as described </w:t>
      </w:r>
      <w:hyperlink r:id="rId31" w:history="1">
        <w:r w:rsidRPr="002766C6">
          <w:rPr>
            <w:rStyle w:val="Hyperlink"/>
            <w:rFonts w:ascii="Arial" w:hAnsi="Arial"/>
            <w:szCs w:val="22"/>
          </w:rPr>
          <w:t>in UMR Section 8314(a) (2) (A).</w:t>
        </w:r>
      </w:hyperlink>
    </w:p>
    <w:p w:rsidR="00C15CBF" w:rsidRPr="00024E51" w:rsidRDefault="00C15CBF" w:rsidP="00C15CBF">
      <w:pPr>
        <w:overflowPunct/>
        <w:autoSpaceDE/>
        <w:autoSpaceDN/>
        <w:adjustRightInd/>
        <w:ind w:left="360"/>
        <w:textAlignment w:val="auto"/>
        <w:rPr>
          <w:rFonts w:ascii="Arial" w:hAnsi="Arial"/>
          <w:szCs w:val="22"/>
        </w:rPr>
      </w:pPr>
    </w:p>
    <w:p w:rsidR="00C15CBF" w:rsidRPr="00024E51" w:rsidRDefault="00C15CBF" w:rsidP="00C15CBF">
      <w:pPr>
        <w:overflowPunct/>
        <w:autoSpaceDE/>
        <w:autoSpaceDN/>
        <w:adjustRightInd/>
        <w:ind w:left="360"/>
        <w:textAlignment w:val="auto"/>
        <w:rPr>
          <w:rFonts w:ascii="Arial" w:hAnsi="Arial"/>
          <w:szCs w:val="22"/>
        </w:rPr>
      </w:pPr>
      <w:r w:rsidRPr="00024E51">
        <w:rPr>
          <w:rFonts w:ascii="Arial" w:hAnsi="Arial"/>
          <w:szCs w:val="22"/>
        </w:rPr>
        <w:t xml:space="preserve">Furthermore, cash contributions received by the Sponsor or an affiliate of the Sponsor from master developers or other entities that are not controlled by the project Sponsor or Co-Sponsor, where such cash contributions are contingent upon the development of the affordable housing project, may not be counted as a capital contribution to increase Developer Fee limits. </w:t>
      </w:r>
    </w:p>
    <w:p w:rsidR="00C15CBF" w:rsidRPr="00024E51" w:rsidRDefault="00C15CBF" w:rsidP="00C15CBF">
      <w:pPr>
        <w:overflowPunct/>
        <w:autoSpaceDE/>
        <w:autoSpaceDN/>
        <w:adjustRightInd/>
        <w:ind w:left="360"/>
        <w:textAlignment w:val="auto"/>
        <w:rPr>
          <w:rFonts w:ascii="Arial" w:hAnsi="Arial"/>
          <w:szCs w:val="22"/>
        </w:rPr>
      </w:pPr>
    </w:p>
    <w:p w:rsidR="00C15CBF" w:rsidRPr="00EC5A6E" w:rsidRDefault="00C15CBF" w:rsidP="00C15CBF">
      <w:pPr>
        <w:overflowPunct/>
        <w:autoSpaceDE/>
        <w:autoSpaceDN/>
        <w:adjustRightInd/>
        <w:ind w:left="360"/>
        <w:textAlignment w:val="auto"/>
        <w:rPr>
          <w:rFonts w:ascii="Arial" w:hAnsi="Arial"/>
          <w:szCs w:val="22"/>
        </w:rPr>
      </w:pPr>
      <w:r w:rsidRPr="00024E51">
        <w:rPr>
          <w:rFonts w:ascii="Arial" w:hAnsi="Arial"/>
          <w:szCs w:val="22"/>
        </w:rPr>
        <w:t>Developer Fees are all funds paid at any time as compensation for developing the proposed projects to include all development consulting fees, processing agent fees, developer overhead and profit, construction management oversight fees if provided by the developer, personal guarantee fees, syndicator consulting fees and reserves in excess of those customarily required by multifamily housing lenders.  HCD has interpreted this definition to include any lease-up fees, incentive fees, or other property management fees, in excess of those customarily charged by property management firms for lease-up activities, which are paid to the Sponsor or Co-Sponsor, or a management company affiliated with the Sponsor or Co-Sponsor.</w:t>
      </w:r>
    </w:p>
    <w:p w:rsidR="00C15CBF" w:rsidRPr="00EC5A6E" w:rsidRDefault="00C15CBF" w:rsidP="00C15CBF">
      <w:pPr>
        <w:overflowPunct/>
        <w:autoSpaceDE/>
        <w:autoSpaceDN/>
        <w:adjustRightInd/>
        <w:ind w:left="1440"/>
        <w:textAlignment w:val="auto"/>
        <w:rPr>
          <w:rFonts w:ascii="Arial" w:hAnsi="Arial"/>
          <w:szCs w:val="22"/>
        </w:rPr>
      </w:pPr>
    </w:p>
    <w:p w:rsidR="00065517" w:rsidRDefault="00065517" w:rsidP="00C15CBF">
      <w:pPr>
        <w:tabs>
          <w:tab w:val="left" w:pos="360"/>
        </w:tabs>
        <w:rPr>
          <w:rFonts w:ascii="Arial" w:hAnsi="Arial"/>
          <w:b/>
          <w:spacing w:val="-3"/>
        </w:rPr>
      </w:pPr>
    </w:p>
    <w:p w:rsidR="00065517" w:rsidRDefault="00065517" w:rsidP="00C15CBF">
      <w:pPr>
        <w:tabs>
          <w:tab w:val="left" w:pos="360"/>
        </w:tabs>
        <w:rPr>
          <w:rFonts w:ascii="Arial" w:hAnsi="Arial"/>
          <w:b/>
          <w:spacing w:val="-3"/>
        </w:rPr>
      </w:pPr>
    </w:p>
    <w:p w:rsidR="00065517" w:rsidRDefault="00065517" w:rsidP="00C15CBF">
      <w:pPr>
        <w:tabs>
          <w:tab w:val="left" w:pos="360"/>
        </w:tabs>
        <w:rPr>
          <w:rFonts w:ascii="Arial" w:hAnsi="Arial"/>
          <w:b/>
          <w:spacing w:val="-3"/>
        </w:rPr>
      </w:pPr>
    </w:p>
    <w:p w:rsidR="00065517" w:rsidRDefault="00065517" w:rsidP="00C15CBF">
      <w:pPr>
        <w:tabs>
          <w:tab w:val="left" w:pos="360"/>
        </w:tabs>
        <w:rPr>
          <w:rFonts w:ascii="Arial" w:hAnsi="Arial"/>
          <w:b/>
          <w:spacing w:val="-3"/>
        </w:rPr>
      </w:pPr>
    </w:p>
    <w:p w:rsidR="00C15CBF" w:rsidRDefault="00C15CBF" w:rsidP="00C15CBF">
      <w:pPr>
        <w:tabs>
          <w:tab w:val="left" w:pos="360"/>
        </w:tabs>
        <w:rPr>
          <w:rFonts w:ascii="Arial" w:hAnsi="Arial"/>
          <w:b/>
          <w:spacing w:val="-3"/>
          <w:u w:val="single"/>
        </w:rPr>
      </w:pPr>
      <w:r>
        <w:rPr>
          <w:rFonts w:ascii="Arial" w:hAnsi="Arial"/>
          <w:b/>
          <w:spacing w:val="-3"/>
        </w:rPr>
        <w:lastRenderedPageBreak/>
        <w:t>O</w:t>
      </w:r>
      <w:r w:rsidRPr="00EC5A6E">
        <w:rPr>
          <w:rFonts w:ascii="Arial" w:hAnsi="Arial"/>
          <w:b/>
          <w:spacing w:val="-3"/>
        </w:rPr>
        <w:t>.</w:t>
      </w:r>
      <w:r w:rsidRPr="00EC5A6E">
        <w:rPr>
          <w:rFonts w:ascii="Arial" w:hAnsi="Arial"/>
          <w:b/>
          <w:spacing w:val="-3"/>
        </w:rPr>
        <w:tab/>
      </w:r>
      <w:r w:rsidRPr="00DA3F84">
        <w:rPr>
          <w:rFonts w:ascii="Arial" w:hAnsi="Arial"/>
          <w:b/>
          <w:spacing w:val="-3"/>
          <w:u w:val="single"/>
        </w:rPr>
        <w:t>Other Project Requirements</w:t>
      </w:r>
    </w:p>
    <w:p w:rsidR="00C15CBF" w:rsidRDefault="00C15CBF" w:rsidP="00C15CBF">
      <w:pPr>
        <w:tabs>
          <w:tab w:val="left" w:pos="360"/>
        </w:tabs>
        <w:rPr>
          <w:rFonts w:ascii="Arial" w:hAnsi="Arial"/>
          <w:b/>
          <w:spacing w:val="-3"/>
          <w:u w:val="single"/>
        </w:rPr>
      </w:pPr>
    </w:p>
    <w:p w:rsidR="00C15CBF" w:rsidRPr="00563155" w:rsidRDefault="00C15CBF" w:rsidP="00C15CBF">
      <w:pPr>
        <w:tabs>
          <w:tab w:val="left" w:pos="360"/>
        </w:tabs>
        <w:ind w:left="360"/>
        <w:rPr>
          <w:rFonts w:ascii="Arial" w:hAnsi="Arial"/>
          <w:spacing w:val="-3"/>
        </w:rPr>
      </w:pPr>
      <w:r w:rsidRPr="00563155">
        <w:rPr>
          <w:rFonts w:ascii="Arial" w:hAnsi="Arial"/>
          <w:i/>
          <w:spacing w:val="-3"/>
        </w:rPr>
        <w:t xml:space="preserve">Project Suitability:  </w:t>
      </w:r>
      <w:r w:rsidRPr="00563155">
        <w:rPr>
          <w:rFonts w:ascii="Arial" w:hAnsi="Arial"/>
          <w:spacing w:val="-3"/>
        </w:rPr>
        <w:t>Projects must be suitable for conversion from emergency shelter or transitional housing to permanent Supportiv</w:t>
      </w:r>
      <w:r w:rsidR="00065517">
        <w:rPr>
          <w:rFonts w:ascii="Arial" w:hAnsi="Arial"/>
          <w:spacing w:val="-3"/>
        </w:rPr>
        <w:t>e Housing of five or more units, as determined by the Department.</w:t>
      </w:r>
      <w:r w:rsidRPr="00563155">
        <w:rPr>
          <w:rFonts w:ascii="Arial" w:hAnsi="Arial"/>
          <w:spacing w:val="-3"/>
        </w:rPr>
        <w:t xml:space="preserve"> </w:t>
      </w:r>
    </w:p>
    <w:p w:rsidR="00C15CBF" w:rsidRPr="00563155" w:rsidRDefault="00C15CBF" w:rsidP="00C15CBF">
      <w:pPr>
        <w:tabs>
          <w:tab w:val="left" w:pos="360"/>
        </w:tabs>
        <w:ind w:left="360"/>
        <w:rPr>
          <w:rFonts w:ascii="Arial" w:hAnsi="Arial"/>
          <w:spacing w:val="-3"/>
        </w:rPr>
      </w:pPr>
    </w:p>
    <w:p w:rsidR="00C15CBF" w:rsidRDefault="00C15CBF" w:rsidP="00C15CBF">
      <w:pPr>
        <w:tabs>
          <w:tab w:val="left" w:pos="360"/>
        </w:tabs>
        <w:ind w:left="360" w:hanging="360"/>
        <w:rPr>
          <w:rFonts w:ascii="Arial" w:hAnsi="Arial" w:cs="Arial"/>
        </w:rPr>
      </w:pPr>
      <w:r w:rsidRPr="00563155">
        <w:rPr>
          <w:rFonts w:ascii="Arial" w:hAnsi="Arial"/>
          <w:i/>
          <w:spacing w:val="-3"/>
        </w:rPr>
        <w:tab/>
        <w:t>Relocation</w:t>
      </w:r>
      <w:r w:rsidRPr="00563155">
        <w:rPr>
          <w:rFonts w:ascii="Arial" w:hAnsi="Arial"/>
          <w:spacing w:val="-3"/>
        </w:rPr>
        <w:t>:</w:t>
      </w:r>
      <w:r w:rsidRPr="00563155">
        <w:rPr>
          <w:rFonts w:ascii="Arial" w:hAnsi="Arial"/>
          <w:i/>
          <w:spacing w:val="-3"/>
        </w:rPr>
        <w:t xml:space="preserve"> </w:t>
      </w:r>
      <w:r w:rsidR="008C75B4" w:rsidRPr="00605D03">
        <w:rPr>
          <w:rFonts w:ascii="Arial" w:hAnsi="Arial" w:cs="Arial"/>
        </w:rPr>
        <w:t xml:space="preserve">Applicants must comply with all requirements of the Uniform Relocation Act (URA) of 1970, California Relocation Law (Government Code, Section 7260 et. seq.) and the regulations promulgated thereunder at California Code of Regulations, Title 25, Section 6000 et. seq.   </w:t>
      </w:r>
    </w:p>
    <w:p w:rsidR="008C75B4" w:rsidRPr="00563155" w:rsidRDefault="008C75B4" w:rsidP="00C15CBF">
      <w:pPr>
        <w:tabs>
          <w:tab w:val="left" w:pos="360"/>
        </w:tabs>
        <w:ind w:left="360" w:hanging="360"/>
        <w:rPr>
          <w:rFonts w:ascii="Arial" w:hAnsi="Arial"/>
          <w:spacing w:val="-3"/>
        </w:rPr>
      </w:pPr>
    </w:p>
    <w:p w:rsidR="00C15CBF" w:rsidRPr="00563155" w:rsidRDefault="00C15CBF" w:rsidP="00C15CBF">
      <w:pPr>
        <w:tabs>
          <w:tab w:val="left" w:pos="360"/>
        </w:tabs>
        <w:ind w:left="360"/>
        <w:rPr>
          <w:rFonts w:ascii="Arial" w:hAnsi="Arial"/>
          <w:i/>
          <w:spacing w:val="-3"/>
        </w:rPr>
      </w:pPr>
      <w:r w:rsidRPr="00563155">
        <w:rPr>
          <w:rFonts w:ascii="Arial" w:hAnsi="Arial"/>
          <w:i/>
          <w:spacing w:val="-3"/>
        </w:rPr>
        <w:t xml:space="preserve">Housing First Practices: </w:t>
      </w:r>
      <w:r w:rsidRPr="00563155">
        <w:rPr>
          <w:rFonts w:ascii="Arial" w:hAnsi="Arial"/>
          <w:spacing w:val="-3"/>
        </w:rPr>
        <w:t>Permanent Supportive Housing projects must demonstrate adherence to Housing First practices for as set forth in Section Q below.</w:t>
      </w:r>
    </w:p>
    <w:p w:rsidR="00C15CBF" w:rsidRPr="00563155" w:rsidRDefault="00C15CBF" w:rsidP="00C15CBF">
      <w:pPr>
        <w:tabs>
          <w:tab w:val="left" w:pos="360"/>
        </w:tabs>
        <w:ind w:left="360"/>
        <w:rPr>
          <w:rFonts w:ascii="Arial" w:hAnsi="Arial"/>
          <w:i/>
          <w:spacing w:val="-3"/>
        </w:rPr>
      </w:pPr>
    </w:p>
    <w:p w:rsidR="00C15CBF" w:rsidRPr="00563155" w:rsidRDefault="00C15CBF" w:rsidP="00C15CBF">
      <w:pPr>
        <w:tabs>
          <w:tab w:val="left" w:pos="360"/>
        </w:tabs>
        <w:ind w:left="360" w:hanging="360"/>
        <w:rPr>
          <w:rFonts w:ascii="Arial" w:hAnsi="Arial" w:cs="Arial"/>
          <w:szCs w:val="22"/>
        </w:rPr>
      </w:pPr>
      <w:r>
        <w:rPr>
          <w:rFonts w:ascii="Arial" w:hAnsi="Arial"/>
          <w:i/>
          <w:spacing w:val="-3"/>
        </w:rPr>
        <w:tab/>
        <w:t xml:space="preserve">Operating Expense Comparables: </w:t>
      </w:r>
      <w:r w:rsidRPr="00563155">
        <w:rPr>
          <w:rFonts w:ascii="Arial" w:hAnsi="Arial"/>
          <w:i/>
          <w:spacing w:val="-3"/>
        </w:rPr>
        <w:t xml:space="preserve"> </w:t>
      </w:r>
      <w:r w:rsidRPr="002528E1">
        <w:t xml:space="preserve"> </w:t>
      </w:r>
      <w:r w:rsidRPr="002528E1">
        <w:rPr>
          <w:rFonts w:ascii="Arial" w:hAnsi="Arial" w:cs="Arial"/>
          <w:szCs w:val="22"/>
        </w:rPr>
        <w:t xml:space="preserve">Submit a minimum of three comparables for the most recent two years </w:t>
      </w:r>
      <w:r>
        <w:rPr>
          <w:rFonts w:ascii="Arial" w:hAnsi="Arial" w:cs="Arial"/>
          <w:szCs w:val="22"/>
        </w:rPr>
        <w:t>as set forth in the Application instructions. M</w:t>
      </w:r>
      <w:r w:rsidRPr="00563155">
        <w:rPr>
          <w:rFonts w:ascii="Arial" w:hAnsi="Arial" w:cs="Arial"/>
          <w:szCs w:val="22"/>
        </w:rPr>
        <w:t xml:space="preserve">arket Studies will be required for projects where HCD is unable to make a clear determination that projected rental income (rent targeting) is attainable. Upon the Department’s request, Market Studies meeting current </w:t>
      </w:r>
      <w:r w:rsidR="00AD1CFC">
        <w:rPr>
          <w:rFonts w:ascii="Arial" w:hAnsi="Arial" w:cs="Arial"/>
          <w:szCs w:val="22"/>
        </w:rPr>
        <w:t>TCAC</w:t>
      </w:r>
      <w:r w:rsidRPr="00563155">
        <w:rPr>
          <w:rFonts w:ascii="Arial" w:hAnsi="Arial" w:cs="Arial"/>
          <w:szCs w:val="22"/>
        </w:rPr>
        <w:t xml:space="preserve"> requirements must be provided.</w:t>
      </w:r>
    </w:p>
    <w:p w:rsidR="00C15CBF" w:rsidRPr="00563155" w:rsidRDefault="00C15CBF" w:rsidP="00C15CBF">
      <w:pPr>
        <w:tabs>
          <w:tab w:val="left" w:pos="360"/>
        </w:tabs>
        <w:ind w:left="360" w:hanging="360"/>
        <w:rPr>
          <w:rFonts w:ascii="Arial" w:hAnsi="Arial"/>
          <w:i/>
          <w:spacing w:val="-3"/>
          <w:szCs w:val="24"/>
        </w:rPr>
      </w:pPr>
    </w:p>
    <w:p w:rsidR="00C15CBF" w:rsidRDefault="00C15CBF" w:rsidP="00C15CBF">
      <w:pPr>
        <w:tabs>
          <w:tab w:val="left" w:pos="360"/>
        </w:tabs>
        <w:ind w:left="360" w:hanging="360"/>
        <w:rPr>
          <w:rFonts w:ascii="Arial" w:hAnsi="Arial" w:cs="Arial"/>
          <w:szCs w:val="22"/>
        </w:rPr>
      </w:pPr>
      <w:r w:rsidRPr="00563155">
        <w:rPr>
          <w:rFonts w:ascii="Arial" w:hAnsi="Arial"/>
          <w:i/>
          <w:spacing w:val="-3"/>
          <w:szCs w:val="24"/>
        </w:rPr>
        <w:tab/>
        <w:t xml:space="preserve">Replacement Reserve Deposits: </w:t>
      </w:r>
      <w:r w:rsidRPr="00563155">
        <w:rPr>
          <w:rFonts w:ascii="Arial" w:hAnsi="Arial"/>
          <w:spacing w:val="-3"/>
          <w:szCs w:val="24"/>
        </w:rPr>
        <w:t xml:space="preserve">Pursuant to </w:t>
      </w:r>
      <w:hyperlink r:id="rId32" w:history="1">
        <w:r w:rsidRPr="00563155">
          <w:rPr>
            <w:rStyle w:val="Hyperlink"/>
            <w:rFonts w:ascii="Arial" w:hAnsi="Arial"/>
            <w:spacing w:val="-3"/>
            <w:szCs w:val="24"/>
          </w:rPr>
          <w:t>UMR Section 8309</w:t>
        </w:r>
      </w:hyperlink>
      <w:r w:rsidRPr="00563155">
        <w:rPr>
          <w:rFonts w:ascii="Arial" w:hAnsi="Arial"/>
          <w:spacing w:val="-3"/>
          <w:szCs w:val="24"/>
        </w:rPr>
        <w:t xml:space="preserve">, projects must have a   </w:t>
      </w:r>
      <w:r w:rsidRPr="00563155">
        <w:rPr>
          <w:rFonts w:ascii="Arial" w:hAnsi="Arial" w:cs="Arial"/>
          <w:szCs w:val="22"/>
        </w:rPr>
        <w:t>replacement</w:t>
      </w:r>
      <w:r>
        <w:rPr>
          <w:rFonts w:ascii="Arial" w:hAnsi="Arial" w:cs="Arial"/>
          <w:szCs w:val="22"/>
        </w:rPr>
        <w:t xml:space="preserve"> reserve.  For 2015</w:t>
      </w:r>
      <w:r w:rsidRPr="00785088">
        <w:rPr>
          <w:rFonts w:ascii="Arial" w:hAnsi="Arial" w:cs="Arial"/>
          <w:szCs w:val="22"/>
        </w:rPr>
        <w:t>, replacement reserve minimums are as follows.</w:t>
      </w:r>
    </w:p>
    <w:p w:rsidR="000C46FC" w:rsidRDefault="000C46FC" w:rsidP="00C15CBF">
      <w:pPr>
        <w:tabs>
          <w:tab w:val="left" w:pos="360"/>
        </w:tabs>
        <w:ind w:left="360" w:hanging="360"/>
        <w:rPr>
          <w:rFonts w:ascii="Arial" w:hAnsi="Arial" w:cs="Arial"/>
          <w:szCs w:val="22"/>
        </w:rPr>
      </w:pPr>
    </w:p>
    <w:tbl>
      <w:tblPr>
        <w:tblW w:w="939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254"/>
      </w:tblGrid>
      <w:tr w:rsidR="00C15CBF" w:rsidRPr="00AF7B2B" w:rsidTr="00AC2C69">
        <w:trPr>
          <w:trHeight w:val="602"/>
        </w:trPr>
        <w:tc>
          <w:tcPr>
            <w:tcW w:w="0" w:type="auto"/>
            <w:vAlign w:val="center"/>
          </w:tcPr>
          <w:p w:rsidR="00C15CBF" w:rsidRPr="00AF7B2B" w:rsidRDefault="00C15CBF" w:rsidP="00AC2C69">
            <w:pPr>
              <w:rPr>
                <w:rFonts w:ascii="Arial" w:hAnsi="Arial" w:cs="Arial"/>
                <w:b/>
                <w:szCs w:val="22"/>
              </w:rPr>
            </w:pPr>
            <w:r>
              <w:rPr>
                <w:rFonts w:ascii="Arial" w:hAnsi="Arial" w:cs="Arial"/>
                <w:szCs w:val="22"/>
              </w:rPr>
              <w:br w:type="page"/>
            </w:r>
            <w:r w:rsidRPr="00AF7B2B">
              <w:rPr>
                <w:rFonts w:ascii="Arial" w:hAnsi="Arial" w:cs="Arial"/>
                <w:b/>
                <w:szCs w:val="22"/>
              </w:rPr>
              <w:t>Type of Project</w:t>
            </w:r>
          </w:p>
        </w:tc>
        <w:tc>
          <w:tcPr>
            <w:tcW w:w="7254" w:type="dxa"/>
            <w:vAlign w:val="center"/>
          </w:tcPr>
          <w:p w:rsidR="00C15CBF" w:rsidRDefault="00C15CBF" w:rsidP="00AC2C69">
            <w:pPr>
              <w:jc w:val="center"/>
              <w:rPr>
                <w:rFonts w:ascii="Arial" w:hAnsi="Arial" w:cs="Arial"/>
                <w:b/>
                <w:szCs w:val="22"/>
              </w:rPr>
            </w:pPr>
            <w:r w:rsidRPr="00AF7B2B">
              <w:rPr>
                <w:rFonts w:ascii="Arial" w:hAnsi="Arial" w:cs="Arial"/>
                <w:b/>
                <w:szCs w:val="22"/>
              </w:rPr>
              <w:t>Minimum Required Initial Annual Deposit</w:t>
            </w:r>
          </w:p>
          <w:p w:rsidR="00C15CBF" w:rsidRPr="00AF7B2B" w:rsidRDefault="00C15CBF" w:rsidP="00AC2C69">
            <w:pPr>
              <w:jc w:val="center"/>
              <w:rPr>
                <w:rFonts w:ascii="Arial" w:hAnsi="Arial" w:cs="Arial"/>
                <w:b/>
                <w:szCs w:val="22"/>
              </w:rPr>
            </w:pPr>
            <w:r w:rsidRPr="00AF7B2B">
              <w:rPr>
                <w:rFonts w:ascii="Arial" w:hAnsi="Arial" w:cs="Arial"/>
                <w:b/>
                <w:szCs w:val="22"/>
              </w:rPr>
              <w:t>to Replacement Reserve</w:t>
            </w:r>
          </w:p>
        </w:tc>
      </w:tr>
      <w:tr w:rsidR="00C15CBF" w:rsidRPr="00AF7B2B" w:rsidTr="00AC2C69">
        <w:trPr>
          <w:trHeight w:val="1250"/>
        </w:trPr>
        <w:tc>
          <w:tcPr>
            <w:tcW w:w="0" w:type="auto"/>
            <w:vAlign w:val="center"/>
          </w:tcPr>
          <w:p w:rsidR="00C15CBF" w:rsidRPr="004C00FE" w:rsidRDefault="002A3599" w:rsidP="00AC2C69">
            <w:pPr>
              <w:rPr>
                <w:rFonts w:ascii="Arial" w:hAnsi="Arial" w:cs="Arial"/>
                <w:b/>
                <w:szCs w:val="22"/>
              </w:rPr>
            </w:pPr>
            <w:r w:rsidRPr="004C00FE">
              <w:rPr>
                <w:rFonts w:ascii="Arial" w:hAnsi="Arial" w:cs="Arial"/>
                <w:b/>
                <w:szCs w:val="22"/>
              </w:rPr>
              <w:t>New Construction</w:t>
            </w:r>
            <w:r w:rsidR="00A54EC7">
              <w:rPr>
                <w:rFonts w:ascii="Arial" w:hAnsi="Arial" w:cs="Arial"/>
                <w:b/>
                <w:szCs w:val="22"/>
              </w:rPr>
              <w:t xml:space="preserve"> or</w:t>
            </w:r>
            <w:r w:rsidRPr="004C00FE">
              <w:rPr>
                <w:rFonts w:ascii="Arial" w:hAnsi="Arial" w:cs="Arial"/>
                <w:b/>
                <w:szCs w:val="22"/>
              </w:rPr>
              <w:t xml:space="preserve"> </w:t>
            </w:r>
            <w:r w:rsidR="00C15CBF" w:rsidRPr="004C00FE">
              <w:rPr>
                <w:rFonts w:ascii="Arial" w:hAnsi="Arial" w:cs="Arial"/>
                <w:b/>
                <w:szCs w:val="22"/>
              </w:rPr>
              <w:t xml:space="preserve"> Conversion </w:t>
            </w:r>
            <w:r w:rsidR="002F3325" w:rsidRPr="004C00FE">
              <w:rPr>
                <w:rFonts w:ascii="Arial" w:hAnsi="Arial" w:cs="Arial"/>
                <w:b/>
                <w:szCs w:val="22"/>
              </w:rPr>
              <w:t>Projects</w:t>
            </w:r>
            <w:r w:rsidR="00C15CBF" w:rsidRPr="004C00FE">
              <w:rPr>
                <w:rFonts w:ascii="Arial" w:hAnsi="Arial" w:cs="Arial"/>
                <w:b/>
                <w:szCs w:val="22"/>
              </w:rPr>
              <w:t xml:space="preserve"> </w:t>
            </w:r>
            <w:r w:rsidR="004C00FE" w:rsidRPr="004C00FE">
              <w:rPr>
                <w:rStyle w:val="FootnoteReference"/>
                <w:rFonts w:ascii="Arial" w:hAnsi="Arial" w:cs="Arial"/>
                <w:b/>
                <w:szCs w:val="22"/>
              </w:rPr>
              <w:footnoteReference w:id="1"/>
            </w:r>
          </w:p>
        </w:tc>
        <w:tc>
          <w:tcPr>
            <w:tcW w:w="7254" w:type="dxa"/>
          </w:tcPr>
          <w:p w:rsidR="00C15CBF" w:rsidRPr="00AF7B2B" w:rsidRDefault="00C15CBF" w:rsidP="00AC2C69">
            <w:pPr>
              <w:rPr>
                <w:rFonts w:ascii="Arial" w:hAnsi="Arial" w:cs="Arial"/>
                <w:szCs w:val="22"/>
              </w:rPr>
            </w:pPr>
            <w:r w:rsidRPr="00AF7B2B">
              <w:rPr>
                <w:rFonts w:ascii="Arial" w:hAnsi="Arial" w:cs="Arial"/>
                <w:szCs w:val="22"/>
              </w:rPr>
              <w:t>0.6% of the structure construction cost, up to $600 per unit.  “Structure construction cost” does not include construction contingency, general contractor profit, overhead, or general requirements.</w:t>
            </w:r>
          </w:p>
        </w:tc>
      </w:tr>
      <w:tr w:rsidR="00C15CBF" w:rsidRPr="00AF7B2B" w:rsidTr="00AC2C69">
        <w:trPr>
          <w:trHeight w:val="1232"/>
        </w:trPr>
        <w:tc>
          <w:tcPr>
            <w:tcW w:w="0" w:type="auto"/>
            <w:vAlign w:val="center"/>
          </w:tcPr>
          <w:p w:rsidR="00C15CBF" w:rsidRPr="004C00FE" w:rsidRDefault="00C15CBF" w:rsidP="00AC2C69">
            <w:pPr>
              <w:rPr>
                <w:rFonts w:ascii="Arial" w:hAnsi="Arial" w:cs="Arial"/>
                <w:b/>
                <w:szCs w:val="22"/>
              </w:rPr>
            </w:pPr>
            <w:r w:rsidRPr="004C00FE">
              <w:rPr>
                <w:rFonts w:ascii="Arial" w:hAnsi="Arial" w:cs="Arial"/>
                <w:b/>
                <w:szCs w:val="22"/>
              </w:rPr>
              <w:t>Rehabilitation</w:t>
            </w:r>
            <w:r w:rsidR="00A54EC7">
              <w:rPr>
                <w:rStyle w:val="FootnoteReference"/>
                <w:rFonts w:ascii="Arial" w:hAnsi="Arial" w:cs="Arial"/>
                <w:b/>
                <w:szCs w:val="22"/>
              </w:rPr>
              <w:footnoteReference w:id="2"/>
            </w:r>
            <w:r w:rsidRPr="004C00FE">
              <w:rPr>
                <w:rFonts w:ascii="Arial" w:hAnsi="Arial" w:cs="Arial"/>
                <w:b/>
                <w:szCs w:val="22"/>
              </w:rPr>
              <w:t xml:space="preserve">  </w:t>
            </w:r>
          </w:p>
        </w:tc>
        <w:tc>
          <w:tcPr>
            <w:tcW w:w="7254" w:type="dxa"/>
          </w:tcPr>
          <w:p w:rsidR="00C15CBF" w:rsidRPr="00AF7B2B" w:rsidRDefault="00C15CBF" w:rsidP="00065517">
            <w:pPr>
              <w:rPr>
                <w:rFonts w:ascii="Arial" w:hAnsi="Arial" w:cs="Arial"/>
                <w:szCs w:val="22"/>
              </w:rPr>
            </w:pPr>
            <w:r w:rsidRPr="00AF7B2B">
              <w:rPr>
                <w:rFonts w:ascii="Arial" w:hAnsi="Arial" w:cs="Arial"/>
                <w:szCs w:val="22"/>
              </w:rPr>
              <w:t>The deposit amount required will be determined</w:t>
            </w:r>
            <w:r w:rsidR="00065517">
              <w:rPr>
                <w:rFonts w:ascii="Arial" w:hAnsi="Arial" w:cs="Arial"/>
                <w:szCs w:val="22"/>
              </w:rPr>
              <w:t xml:space="preserve"> by HCD based on a third-party Physical N</w:t>
            </w:r>
            <w:r w:rsidRPr="00AF7B2B">
              <w:rPr>
                <w:rFonts w:ascii="Arial" w:hAnsi="Arial" w:cs="Arial"/>
                <w:szCs w:val="22"/>
              </w:rPr>
              <w:t xml:space="preserve">eeds </w:t>
            </w:r>
            <w:r w:rsidR="00065517">
              <w:rPr>
                <w:rFonts w:ascii="Arial" w:hAnsi="Arial" w:cs="Arial"/>
                <w:szCs w:val="22"/>
              </w:rPr>
              <w:t>A</w:t>
            </w:r>
            <w:r w:rsidRPr="00AF7B2B">
              <w:rPr>
                <w:rFonts w:ascii="Arial" w:hAnsi="Arial" w:cs="Arial"/>
                <w:szCs w:val="22"/>
              </w:rPr>
              <w:t>ssessment (PNA)</w:t>
            </w:r>
            <w:r w:rsidR="00873FDC">
              <w:rPr>
                <w:rFonts w:ascii="Arial" w:hAnsi="Arial" w:cs="Arial"/>
                <w:szCs w:val="22"/>
              </w:rPr>
              <w:t xml:space="preserve"> submitted after award of funds</w:t>
            </w:r>
            <w:r w:rsidRPr="00AF7B2B">
              <w:rPr>
                <w:rFonts w:ascii="Arial" w:hAnsi="Arial" w:cs="Arial"/>
                <w:szCs w:val="22"/>
              </w:rPr>
              <w:t>.  At time of application, prior to completion of the PNA, HCD will base its underwriting on a preliminary estimate. This preliminary estimate is $</w:t>
            </w:r>
            <w:r>
              <w:rPr>
                <w:rFonts w:ascii="Arial" w:hAnsi="Arial" w:cs="Arial"/>
                <w:szCs w:val="22"/>
              </w:rPr>
              <w:t xml:space="preserve">591 </w:t>
            </w:r>
            <w:r w:rsidRPr="00AF7B2B">
              <w:rPr>
                <w:rFonts w:ascii="Arial" w:hAnsi="Arial" w:cs="Arial"/>
                <w:szCs w:val="22"/>
              </w:rPr>
              <w:t xml:space="preserve">per unit.  </w:t>
            </w:r>
          </w:p>
        </w:tc>
      </w:tr>
    </w:tbl>
    <w:p w:rsidR="00C15CBF" w:rsidRPr="00CA7BD1" w:rsidRDefault="00C15CBF" w:rsidP="00C15CBF">
      <w:pPr>
        <w:ind w:left="1440"/>
        <w:rPr>
          <w:rFonts w:ascii="Arial" w:hAnsi="Arial" w:cs="Arial"/>
          <w:b/>
          <w:szCs w:val="22"/>
        </w:rPr>
      </w:pPr>
    </w:p>
    <w:p w:rsidR="00C15CBF" w:rsidRPr="00797F74" w:rsidRDefault="00C15CBF" w:rsidP="00C15CBF">
      <w:pPr>
        <w:pStyle w:val="BlockText"/>
        <w:tabs>
          <w:tab w:val="clear" w:pos="739"/>
          <w:tab w:val="clear" w:pos="9572"/>
          <w:tab w:val="right" w:pos="9760"/>
        </w:tabs>
        <w:ind w:left="360" w:right="0" w:hanging="360"/>
        <w:jc w:val="left"/>
        <w:rPr>
          <w:rFonts w:ascii="Arial" w:eastAsia="Times New Roman" w:hAnsi="Arial" w:cs="Arial"/>
          <w:szCs w:val="22"/>
        </w:rPr>
      </w:pPr>
      <w:r>
        <w:rPr>
          <w:rFonts w:ascii="Arial" w:hAnsi="Arial" w:cs="Arial"/>
          <w:szCs w:val="24"/>
        </w:rPr>
        <w:tab/>
      </w:r>
      <w:r w:rsidRPr="0082378F">
        <w:rPr>
          <w:rFonts w:ascii="Arial" w:hAnsi="Arial" w:cs="Arial"/>
          <w:i/>
          <w:szCs w:val="24"/>
        </w:rPr>
        <w:t>Environmental Requirements</w:t>
      </w:r>
      <w:r>
        <w:rPr>
          <w:rFonts w:ascii="Arial" w:hAnsi="Arial" w:cs="Arial"/>
          <w:szCs w:val="24"/>
        </w:rPr>
        <w:t xml:space="preserve">   </w:t>
      </w:r>
      <w:r w:rsidRPr="00797F74">
        <w:rPr>
          <w:rFonts w:ascii="Arial" w:eastAsia="Times New Roman" w:hAnsi="Arial" w:cs="Arial"/>
          <w:szCs w:val="22"/>
        </w:rPr>
        <w:t>Projects funded by EHAP</w:t>
      </w:r>
      <w:r>
        <w:rPr>
          <w:rFonts w:ascii="Arial" w:eastAsia="Times New Roman" w:hAnsi="Arial" w:cs="Arial"/>
          <w:szCs w:val="22"/>
        </w:rPr>
        <w:t>-</w:t>
      </w:r>
      <w:r w:rsidRPr="00797F74">
        <w:rPr>
          <w:rFonts w:ascii="Arial" w:eastAsia="Times New Roman" w:hAnsi="Arial" w:cs="Arial"/>
          <w:szCs w:val="22"/>
        </w:rPr>
        <w:t xml:space="preserve">CD are subject to the California Environmental Quality Act (CEQA, Public Resources Code Section 21000 et seq.).  CEQA compliance certification will be </w:t>
      </w:r>
      <w:r>
        <w:rPr>
          <w:rFonts w:ascii="Arial" w:eastAsia="Times New Roman" w:hAnsi="Arial" w:cs="Arial"/>
          <w:szCs w:val="22"/>
        </w:rPr>
        <w:t>required by</w:t>
      </w:r>
      <w:r w:rsidRPr="00797F74">
        <w:rPr>
          <w:rFonts w:ascii="Arial" w:eastAsia="Times New Roman" w:hAnsi="Arial" w:cs="Arial"/>
          <w:szCs w:val="22"/>
        </w:rPr>
        <w:t xml:space="preserve"> p</w:t>
      </w:r>
      <w:r>
        <w:rPr>
          <w:rFonts w:ascii="Arial" w:eastAsia="Times New Roman" w:hAnsi="Arial" w:cs="Arial"/>
          <w:szCs w:val="22"/>
        </w:rPr>
        <w:t>rior to the close of construction financing</w:t>
      </w:r>
      <w:r w:rsidRPr="00797F74">
        <w:rPr>
          <w:rFonts w:ascii="Arial" w:eastAsia="Times New Roman" w:hAnsi="Arial" w:cs="Arial"/>
          <w:szCs w:val="22"/>
        </w:rPr>
        <w:t xml:space="preserve">; therefore, </w:t>
      </w:r>
      <w:r>
        <w:rPr>
          <w:rFonts w:ascii="Arial" w:eastAsia="Times New Roman" w:hAnsi="Arial" w:cs="Arial"/>
          <w:szCs w:val="22"/>
        </w:rPr>
        <w:t>Sponsors</w:t>
      </w:r>
      <w:r w:rsidRPr="00797F74">
        <w:rPr>
          <w:rFonts w:ascii="Arial" w:eastAsia="Times New Roman" w:hAnsi="Arial" w:cs="Arial"/>
          <w:szCs w:val="22"/>
        </w:rPr>
        <w:t xml:space="preserve"> should coordinate with their city or county planning agency to ensure that the p</w:t>
      </w:r>
      <w:r>
        <w:rPr>
          <w:rFonts w:ascii="Arial" w:eastAsia="Times New Roman" w:hAnsi="Arial" w:cs="Arial"/>
          <w:szCs w:val="22"/>
        </w:rPr>
        <w:t>roject is in compliance with</w:t>
      </w:r>
      <w:r w:rsidRPr="00797F74">
        <w:rPr>
          <w:rFonts w:ascii="Arial" w:eastAsia="Times New Roman" w:hAnsi="Arial" w:cs="Arial"/>
          <w:szCs w:val="22"/>
        </w:rPr>
        <w:t xml:space="preserve"> CEQA requirements.</w:t>
      </w:r>
    </w:p>
    <w:p w:rsidR="00C15CBF" w:rsidRPr="00797F74" w:rsidRDefault="00C15CBF" w:rsidP="00C15CBF">
      <w:pPr>
        <w:pStyle w:val="BlockText"/>
        <w:tabs>
          <w:tab w:val="clear" w:pos="739"/>
          <w:tab w:val="left" w:pos="1080"/>
        </w:tabs>
        <w:ind w:left="360" w:right="0" w:firstLine="0"/>
        <w:jc w:val="left"/>
        <w:rPr>
          <w:rFonts w:ascii="Arial" w:eastAsia="Times New Roman" w:hAnsi="Arial" w:cs="Arial"/>
          <w:szCs w:val="22"/>
        </w:rPr>
      </w:pPr>
    </w:p>
    <w:p w:rsidR="00C15CBF" w:rsidRPr="00BC4048" w:rsidRDefault="00C15CBF" w:rsidP="00C15CBF">
      <w:pPr>
        <w:ind w:left="360"/>
        <w:rPr>
          <w:rFonts w:ascii="Arial Bold" w:hAnsi="Arial Bold"/>
          <w:i/>
          <w:szCs w:val="22"/>
        </w:rPr>
      </w:pPr>
      <w:r w:rsidRPr="00BC4048">
        <w:rPr>
          <w:rFonts w:ascii="Arial" w:hAnsi="Arial"/>
          <w:i/>
          <w:spacing w:val="-3"/>
          <w:szCs w:val="24"/>
        </w:rPr>
        <w:t xml:space="preserve">Prevailing Wage </w:t>
      </w:r>
      <w:r w:rsidRPr="002222C0">
        <w:rPr>
          <w:rFonts w:ascii="Arial" w:hAnsi="Arial"/>
          <w:i/>
          <w:spacing w:val="-3"/>
          <w:szCs w:val="24"/>
        </w:rPr>
        <w:t>Requirements</w:t>
      </w:r>
      <w:r w:rsidRPr="002222C0">
        <w:rPr>
          <w:rFonts w:ascii="Arial Bold" w:hAnsi="Arial Bold"/>
          <w:i/>
          <w:szCs w:val="22"/>
        </w:rPr>
        <w:t xml:space="preserve">  - </w:t>
      </w:r>
      <w:r>
        <w:rPr>
          <w:rFonts w:ascii="Arial Bold" w:hAnsi="Arial Bold"/>
          <w:i/>
          <w:szCs w:val="22"/>
        </w:rPr>
        <w:t xml:space="preserve"> </w:t>
      </w:r>
      <w:r w:rsidRPr="00CA7BD1">
        <w:rPr>
          <w:rFonts w:ascii="Arial" w:hAnsi="Arial" w:cs="Arial"/>
          <w:szCs w:val="22"/>
        </w:rPr>
        <w:t xml:space="preserve">Pursuant to Health and Safety Code </w:t>
      </w:r>
      <w:r>
        <w:rPr>
          <w:rFonts w:ascii="Arial" w:hAnsi="Arial" w:cs="Arial"/>
          <w:szCs w:val="22"/>
        </w:rPr>
        <w:t>S</w:t>
      </w:r>
      <w:r w:rsidRPr="00CA7BD1">
        <w:rPr>
          <w:rFonts w:ascii="Arial" w:hAnsi="Arial" w:cs="Arial"/>
          <w:szCs w:val="22"/>
        </w:rPr>
        <w:t>ection 50675.4(c)(2), projects receiving assistance under this NOFA are subject to State prevailing wage law, as set forth in Labor Code Section 1720 et seq.</w:t>
      </w:r>
      <w:r w:rsidRPr="000519B0">
        <w:rPr>
          <w:rFonts w:ascii="Arial" w:hAnsi="Arial" w:cs="Arial"/>
        </w:rPr>
        <w:t xml:space="preserve"> </w:t>
      </w:r>
      <w:r>
        <w:rPr>
          <w:rFonts w:ascii="Arial" w:hAnsi="Arial" w:cs="Arial"/>
        </w:rPr>
        <w:t xml:space="preserve">The rehabilitation contract shall include a provision for the payment of </w:t>
      </w:r>
      <w:r w:rsidRPr="004B3C85">
        <w:rPr>
          <w:rFonts w:ascii="Arial" w:hAnsi="Arial" w:cs="Arial"/>
        </w:rPr>
        <w:t>State prevailing wage,</w:t>
      </w:r>
      <w:r>
        <w:rPr>
          <w:rFonts w:ascii="Arial" w:hAnsi="Arial" w:cs="Arial"/>
          <w:b/>
        </w:rPr>
        <w:t xml:space="preserve"> unless a legal opinion provided by the Sponsor, acceptable to the Department, indicates otherwise.</w:t>
      </w:r>
    </w:p>
    <w:p w:rsidR="00C15CBF" w:rsidRDefault="00C15CBF" w:rsidP="00C15CBF">
      <w:pPr>
        <w:ind w:left="360" w:hanging="360"/>
        <w:rPr>
          <w:rFonts w:ascii="Times New Roman" w:hAnsi="Times New Roman"/>
          <w:b/>
          <w:sz w:val="22"/>
          <w:szCs w:val="22"/>
        </w:rPr>
      </w:pPr>
    </w:p>
    <w:p w:rsidR="00C15CBF" w:rsidRDefault="00C15CBF" w:rsidP="00C15CBF">
      <w:pPr>
        <w:ind w:left="360" w:hanging="360"/>
        <w:rPr>
          <w:rFonts w:ascii="Times New Roman" w:hAnsi="Times New Roman"/>
          <w:b/>
          <w:sz w:val="22"/>
          <w:szCs w:val="22"/>
        </w:rPr>
      </w:pPr>
      <w:r>
        <w:rPr>
          <w:rFonts w:ascii="Arial" w:hAnsi="Arial" w:cs="Arial"/>
        </w:rPr>
        <w:tab/>
        <w:t>Prior to beginning the bid process, projects must request from the Department of Industrial Relations, a Request for State Prevailing Wage Determination from their web site located at:</w:t>
      </w:r>
      <w:r>
        <w:t xml:space="preserve"> </w:t>
      </w:r>
      <w:hyperlink r:id="rId33" w:history="1">
        <w:r w:rsidRPr="004102FE">
          <w:rPr>
            <w:rStyle w:val="Hyperlink"/>
            <w:rFonts w:ascii="Arial" w:hAnsi="Arial" w:cs="Arial"/>
          </w:rPr>
          <w:t>http://www.dir.ca.gov/dlsr/DPreWageDetermination.htm</w:t>
        </w:r>
      </w:hyperlink>
      <w:r w:rsidRPr="004102FE">
        <w:rPr>
          <w:rFonts w:ascii="Arial" w:hAnsi="Arial" w:cs="Arial"/>
        </w:rPr>
        <w:t>.</w:t>
      </w:r>
      <w:r>
        <w:rPr>
          <w:rFonts w:ascii="Arial" w:hAnsi="Arial" w:cs="Arial"/>
        </w:rPr>
        <w:t xml:space="preserve">  The prevailing wage determination results provided by the DIR must be included with your request for bids package and provided to all interested bidders during the bidding process.</w:t>
      </w:r>
    </w:p>
    <w:p w:rsidR="00C15CBF" w:rsidRDefault="00C15CBF" w:rsidP="00C15CBF">
      <w:pPr>
        <w:ind w:left="360" w:hanging="360"/>
        <w:rPr>
          <w:rFonts w:ascii="Times New Roman" w:hAnsi="Times New Roman"/>
          <w:b/>
          <w:sz w:val="22"/>
          <w:szCs w:val="22"/>
        </w:rPr>
      </w:pPr>
    </w:p>
    <w:p w:rsidR="00C15CBF" w:rsidRPr="003B20ED" w:rsidRDefault="00C15CBF" w:rsidP="00C15CBF">
      <w:pPr>
        <w:pStyle w:val="BodyTextIndent"/>
        <w:ind w:left="360"/>
        <w:rPr>
          <w:rFonts w:ascii="Arial" w:hAnsi="Arial"/>
          <w:spacing w:val="-3"/>
          <w:sz w:val="24"/>
          <w:szCs w:val="24"/>
        </w:rPr>
      </w:pPr>
    </w:p>
    <w:p w:rsidR="00C15CBF" w:rsidRPr="002414D6" w:rsidRDefault="00C15CBF" w:rsidP="00C15CBF">
      <w:pPr>
        <w:tabs>
          <w:tab w:val="left" w:pos="360"/>
        </w:tabs>
        <w:rPr>
          <w:rFonts w:ascii="Arial Bold" w:hAnsi="Arial Bold"/>
          <w:b/>
          <w:u w:val="single"/>
        </w:rPr>
      </w:pPr>
      <w:r w:rsidRPr="005D1D59">
        <w:rPr>
          <w:rFonts w:ascii="Arial Bold" w:hAnsi="Arial Bold"/>
          <w:b/>
        </w:rPr>
        <w:t>P.</w:t>
      </w:r>
      <w:r w:rsidRPr="005D1D59">
        <w:rPr>
          <w:rFonts w:ascii="Arial Bold" w:hAnsi="Arial Bold"/>
        </w:rPr>
        <w:tab/>
      </w:r>
      <w:r w:rsidRPr="005D1D59">
        <w:rPr>
          <w:rFonts w:ascii="Arial" w:hAnsi="Arial" w:cs="Arial"/>
          <w:b/>
          <w:spacing w:val="-3"/>
          <w:szCs w:val="22"/>
          <w:u w:val="single"/>
        </w:rPr>
        <w:t>Supportive Service and Property Management Requirements</w:t>
      </w:r>
    </w:p>
    <w:p w:rsidR="00C15CBF" w:rsidRDefault="00C15CBF" w:rsidP="00C15CBF">
      <w:pPr>
        <w:rPr>
          <w:rFonts w:ascii="Times New Roman" w:hAnsi="Times New Roman"/>
          <w:sz w:val="22"/>
        </w:rPr>
      </w:pPr>
    </w:p>
    <w:p w:rsidR="00C15CBF" w:rsidRDefault="00C15CBF" w:rsidP="00C15CBF">
      <w:pPr>
        <w:ind w:left="360"/>
        <w:rPr>
          <w:rFonts w:ascii="Arial" w:hAnsi="Arial" w:cs="Arial"/>
          <w:szCs w:val="22"/>
        </w:rPr>
      </w:pPr>
      <w:r w:rsidRPr="00CA7BD1">
        <w:rPr>
          <w:rFonts w:ascii="Arial" w:hAnsi="Arial" w:cs="Arial"/>
          <w:szCs w:val="22"/>
        </w:rPr>
        <w:t>Projects shall be designed to provide affordable housing with access to an array of services and amenities for tenants whose ability to live independent</w:t>
      </w:r>
      <w:r>
        <w:rPr>
          <w:rFonts w:ascii="Arial" w:hAnsi="Arial" w:cs="Arial"/>
          <w:szCs w:val="22"/>
        </w:rPr>
        <w:t xml:space="preserve"> and full lives</w:t>
      </w:r>
      <w:r w:rsidRPr="00CA7BD1">
        <w:rPr>
          <w:rFonts w:ascii="Arial" w:hAnsi="Arial" w:cs="Arial"/>
          <w:szCs w:val="22"/>
        </w:rPr>
        <w:t xml:space="preserve"> would be improved by the availability of such services and amenities. </w:t>
      </w:r>
      <w:r>
        <w:rPr>
          <w:rFonts w:ascii="Arial" w:hAnsi="Arial" w:cs="Arial"/>
          <w:szCs w:val="22"/>
        </w:rPr>
        <w:t xml:space="preserve"> Projects shall:</w:t>
      </w:r>
    </w:p>
    <w:p w:rsidR="00C15CBF" w:rsidRDefault="00C15CBF" w:rsidP="00C15CBF">
      <w:pPr>
        <w:ind w:left="360"/>
        <w:rPr>
          <w:rFonts w:ascii="Arial" w:hAnsi="Arial" w:cs="Arial"/>
          <w:szCs w:val="22"/>
        </w:rPr>
      </w:pPr>
    </w:p>
    <w:p w:rsidR="00C15CBF" w:rsidRPr="00742850" w:rsidRDefault="00C15CBF" w:rsidP="00C15CBF">
      <w:pPr>
        <w:numPr>
          <w:ilvl w:val="0"/>
          <w:numId w:val="23"/>
        </w:numPr>
        <w:ind w:left="360"/>
        <w:rPr>
          <w:rFonts w:ascii="Arial" w:hAnsi="Arial" w:cs="Arial"/>
          <w:szCs w:val="22"/>
          <w:u w:val="single"/>
        </w:rPr>
      </w:pPr>
      <w:r w:rsidRPr="00742850">
        <w:rPr>
          <w:rFonts w:ascii="Arial" w:hAnsi="Arial" w:cs="Arial"/>
          <w:szCs w:val="22"/>
        </w:rPr>
        <w:t xml:space="preserve">Provide services that are flexible and responsive to individual resident needs, </w:t>
      </w:r>
      <w:r w:rsidR="00F43832">
        <w:rPr>
          <w:rFonts w:ascii="Arial" w:hAnsi="Arial" w:cs="Arial"/>
          <w:szCs w:val="22"/>
        </w:rPr>
        <w:t xml:space="preserve">and </w:t>
      </w:r>
      <w:r w:rsidRPr="00742850">
        <w:rPr>
          <w:rFonts w:ascii="Arial" w:hAnsi="Arial" w:cs="Arial"/>
          <w:szCs w:val="22"/>
        </w:rPr>
        <w:t>culturally</w:t>
      </w:r>
      <w:r w:rsidR="003F3F7E">
        <w:rPr>
          <w:rFonts w:ascii="Arial" w:hAnsi="Arial" w:cs="Arial"/>
          <w:szCs w:val="22"/>
        </w:rPr>
        <w:t xml:space="preserve"> and linguistically appropriate.</w:t>
      </w:r>
    </w:p>
    <w:p w:rsidR="00C15CBF" w:rsidRPr="00742850" w:rsidRDefault="00C15CBF" w:rsidP="00C15CBF">
      <w:pPr>
        <w:ind w:left="360"/>
        <w:rPr>
          <w:rFonts w:ascii="Arial" w:hAnsi="Arial" w:cs="Arial"/>
          <w:szCs w:val="22"/>
          <w:u w:val="single"/>
        </w:rPr>
      </w:pPr>
    </w:p>
    <w:p w:rsidR="00C15CBF" w:rsidRPr="003F3F7E" w:rsidRDefault="00C15CBF" w:rsidP="00C15CBF">
      <w:pPr>
        <w:numPr>
          <w:ilvl w:val="0"/>
          <w:numId w:val="23"/>
        </w:numPr>
        <w:ind w:left="360"/>
        <w:rPr>
          <w:rFonts w:ascii="Arial" w:hAnsi="Arial" w:cs="Arial"/>
          <w:szCs w:val="22"/>
        </w:rPr>
      </w:pPr>
      <w:r w:rsidRPr="00742850">
        <w:rPr>
          <w:rFonts w:ascii="Arial" w:hAnsi="Arial" w:cs="Arial"/>
          <w:szCs w:val="22"/>
        </w:rPr>
        <w:t>Provide individualized services planning that connect tenants to on-site or off-site services that assist the tenant to: retain the housing, improve his or her health, and to maximize his or her ability to live</w:t>
      </w:r>
      <w:r w:rsidR="00F43832">
        <w:rPr>
          <w:rFonts w:ascii="Arial" w:hAnsi="Arial" w:cs="Arial"/>
          <w:szCs w:val="22"/>
        </w:rPr>
        <w:t>,</w:t>
      </w:r>
      <w:r w:rsidRPr="00742850">
        <w:rPr>
          <w:rFonts w:ascii="Arial" w:hAnsi="Arial" w:cs="Arial"/>
          <w:szCs w:val="22"/>
        </w:rPr>
        <w:t xml:space="preserve"> and where possible, work in the community</w:t>
      </w:r>
      <w:r w:rsidRPr="003F3F7E">
        <w:rPr>
          <w:rFonts w:ascii="Arial" w:hAnsi="Arial" w:cs="Arial"/>
          <w:szCs w:val="22"/>
        </w:rPr>
        <w:t>.</w:t>
      </w:r>
    </w:p>
    <w:p w:rsidR="00C15CBF" w:rsidRDefault="00C15CBF" w:rsidP="00C15CBF">
      <w:pPr>
        <w:ind w:left="360"/>
        <w:rPr>
          <w:rFonts w:ascii="Arial" w:hAnsi="Arial" w:cs="Arial"/>
          <w:szCs w:val="22"/>
          <w:u w:val="single"/>
        </w:rPr>
      </w:pPr>
    </w:p>
    <w:p w:rsidR="00C15CBF" w:rsidRPr="00B1792C" w:rsidRDefault="00C15CBF" w:rsidP="00C15CBF">
      <w:pPr>
        <w:numPr>
          <w:ilvl w:val="0"/>
          <w:numId w:val="23"/>
        </w:numPr>
        <w:ind w:left="360"/>
        <w:rPr>
          <w:rFonts w:ascii="Arial" w:hAnsi="Arial" w:cs="Arial"/>
          <w:szCs w:val="22"/>
        </w:rPr>
      </w:pPr>
      <w:r w:rsidRPr="00B1792C">
        <w:rPr>
          <w:rFonts w:ascii="Arial" w:hAnsi="Arial" w:cs="Arial"/>
          <w:szCs w:val="22"/>
        </w:rPr>
        <w:t>Employ successful strategies to engage residents in services, building operations, and services planning and operation.</w:t>
      </w:r>
    </w:p>
    <w:p w:rsidR="00C15CBF" w:rsidRPr="00B1792C" w:rsidRDefault="00C15CBF" w:rsidP="00C15CBF">
      <w:pPr>
        <w:ind w:left="360"/>
        <w:rPr>
          <w:rFonts w:ascii="Times New Roman" w:hAnsi="Times New Roman"/>
          <w:b/>
          <w:strike/>
          <w:szCs w:val="24"/>
        </w:rPr>
      </w:pPr>
    </w:p>
    <w:p w:rsidR="00C15CBF" w:rsidRPr="00232057" w:rsidRDefault="00C15CBF" w:rsidP="00232057">
      <w:pPr>
        <w:numPr>
          <w:ilvl w:val="0"/>
          <w:numId w:val="23"/>
        </w:numPr>
        <w:ind w:left="360"/>
        <w:rPr>
          <w:rFonts w:ascii="Arial" w:hAnsi="Arial" w:cs="Arial"/>
          <w:szCs w:val="22"/>
        </w:rPr>
      </w:pPr>
      <w:r w:rsidRPr="00742850">
        <w:rPr>
          <w:rFonts w:ascii="Arial" w:hAnsi="Arial" w:cs="Arial"/>
          <w:szCs w:val="22"/>
        </w:rPr>
        <w:t xml:space="preserve">As part of the EHAP-CD application, Sponsors must </w:t>
      </w:r>
      <w:r w:rsidRPr="00232057">
        <w:rPr>
          <w:rFonts w:ascii="Arial" w:hAnsi="Arial" w:cs="Arial"/>
          <w:szCs w:val="22"/>
        </w:rPr>
        <w:t>complete the Supportive Service Plan, including a detailed</w:t>
      </w:r>
      <w:r w:rsidR="00F43832" w:rsidRPr="00232057">
        <w:rPr>
          <w:rFonts w:ascii="Arial" w:hAnsi="Arial" w:cs="Arial"/>
          <w:szCs w:val="22"/>
        </w:rPr>
        <w:t xml:space="preserve"> description of the experience and </w:t>
      </w:r>
      <w:r w:rsidRPr="00232057">
        <w:rPr>
          <w:rFonts w:ascii="Arial" w:hAnsi="Arial" w:cs="Arial"/>
          <w:szCs w:val="22"/>
        </w:rPr>
        <w:t>capacity</w:t>
      </w:r>
      <w:r w:rsidR="00F43832" w:rsidRPr="00232057">
        <w:rPr>
          <w:rFonts w:ascii="Arial" w:hAnsi="Arial" w:cs="Arial"/>
          <w:szCs w:val="22"/>
        </w:rPr>
        <w:t>,</w:t>
      </w:r>
      <w:r w:rsidRPr="00232057">
        <w:rPr>
          <w:rFonts w:ascii="Arial" w:hAnsi="Arial" w:cs="Arial"/>
          <w:szCs w:val="22"/>
        </w:rPr>
        <w:t xml:space="preserve"> including staffing patterns of the supportive service provider and property management staff, a detailed description of services and service models to be employed that are appropriate to the needs of the targeted population, a line item budget, and documentation identifying proposed funding for the supportive services to be offered, and percentage of total services budget that s committed at the time of the application.  </w:t>
      </w:r>
      <w:r w:rsidR="00232057" w:rsidRPr="00232057">
        <w:rPr>
          <w:rFonts w:ascii="Arial" w:hAnsi="Arial" w:cs="Arial"/>
          <w:szCs w:val="22"/>
        </w:rPr>
        <w:t>A minimum of 25% of the total Supportive Services Budget must be committed or supported by a letter of intent in order to be eligible for funding as a Supportive Housing project.</w:t>
      </w:r>
    </w:p>
    <w:p w:rsidR="00C15CBF" w:rsidRPr="00232057" w:rsidRDefault="00C15CBF" w:rsidP="00232057">
      <w:pPr>
        <w:ind w:left="360"/>
        <w:rPr>
          <w:rFonts w:ascii="Arial" w:hAnsi="Arial" w:cs="Arial"/>
          <w:szCs w:val="22"/>
        </w:rPr>
      </w:pPr>
    </w:p>
    <w:p w:rsidR="00C15CBF" w:rsidRPr="00CA7BD1" w:rsidRDefault="00C15CBF" w:rsidP="00232057">
      <w:pPr>
        <w:numPr>
          <w:ilvl w:val="0"/>
          <w:numId w:val="23"/>
        </w:numPr>
        <w:ind w:left="360"/>
        <w:rPr>
          <w:rFonts w:ascii="Arial" w:hAnsi="Arial" w:cs="Arial"/>
          <w:szCs w:val="22"/>
        </w:rPr>
      </w:pPr>
      <w:r w:rsidRPr="00232057">
        <w:rPr>
          <w:rFonts w:ascii="Arial" w:hAnsi="Arial" w:cs="Arial"/>
          <w:szCs w:val="22"/>
        </w:rPr>
        <w:t xml:space="preserve">Supportive Housing projects which have a confirmed application or commitment of funding from the </w:t>
      </w:r>
      <w:r w:rsidR="00A81C07">
        <w:rPr>
          <w:rFonts w:ascii="Arial" w:hAnsi="Arial" w:cs="Arial"/>
          <w:szCs w:val="22"/>
        </w:rPr>
        <w:t xml:space="preserve">MHSA </w:t>
      </w:r>
      <w:r w:rsidR="00A81C07" w:rsidRPr="00232057">
        <w:rPr>
          <w:rFonts w:ascii="Arial" w:hAnsi="Arial" w:cs="Arial"/>
          <w:szCs w:val="22"/>
        </w:rPr>
        <w:t>will</w:t>
      </w:r>
      <w:r w:rsidRPr="00232057">
        <w:rPr>
          <w:rFonts w:ascii="Arial" w:hAnsi="Arial" w:cs="Arial"/>
          <w:szCs w:val="22"/>
        </w:rPr>
        <w:t xml:space="preserve"> not be subject to service plan review requirements for those units funded with MHSA capital and operating subsidies.  A transition reserve </w:t>
      </w:r>
      <w:r w:rsidRPr="00232057">
        <w:rPr>
          <w:rFonts w:ascii="Arial" w:hAnsi="Arial" w:cs="Arial"/>
          <w:szCs w:val="22"/>
        </w:rPr>
        <w:lastRenderedPageBreak/>
        <w:t xml:space="preserve">will not be required for these units.  </w:t>
      </w:r>
      <w:r w:rsidRPr="00CA7BD1">
        <w:rPr>
          <w:rFonts w:ascii="Arial" w:hAnsi="Arial" w:cs="Arial"/>
          <w:szCs w:val="22"/>
        </w:rPr>
        <w:t>To demonstrate commitment of MHSA funding, Sponsors must include in the application any or all of the following:</w:t>
      </w:r>
    </w:p>
    <w:p w:rsidR="00C15CBF" w:rsidRPr="00CA7BD1" w:rsidRDefault="00C15CBF" w:rsidP="00232057">
      <w:pPr>
        <w:pStyle w:val="BodyTextIndent"/>
        <w:tabs>
          <w:tab w:val="num" w:pos="1800"/>
        </w:tabs>
        <w:ind w:left="0" w:firstLine="720"/>
        <w:rPr>
          <w:rFonts w:ascii="Arial" w:hAnsi="Arial" w:cs="Arial"/>
          <w:sz w:val="24"/>
          <w:szCs w:val="22"/>
        </w:rPr>
      </w:pPr>
    </w:p>
    <w:p w:rsidR="00C15CBF" w:rsidRPr="00CA7BD1" w:rsidRDefault="00C15CBF" w:rsidP="00C15CBF">
      <w:pPr>
        <w:tabs>
          <w:tab w:val="left" w:pos="1080"/>
        </w:tabs>
        <w:overflowPunct/>
        <w:autoSpaceDE/>
        <w:autoSpaceDN/>
        <w:adjustRightInd/>
        <w:ind w:left="1080" w:hanging="360"/>
        <w:textAlignment w:val="auto"/>
        <w:rPr>
          <w:rFonts w:ascii="Arial" w:hAnsi="Arial" w:cs="Arial"/>
          <w:szCs w:val="22"/>
        </w:rPr>
      </w:pPr>
      <w:r w:rsidRPr="00CA7BD1">
        <w:rPr>
          <w:rFonts w:ascii="Arial" w:hAnsi="Arial" w:cs="Arial"/>
          <w:szCs w:val="22"/>
        </w:rPr>
        <w:t>-</w:t>
      </w:r>
      <w:r w:rsidRPr="00CA7BD1">
        <w:rPr>
          <w:rFonts w:ascii="Arial" w:hAnsi="Arial" w:cs="Arial"/>
          <w:szCs w:val="22"/>
        </w:rPr>
        <w:tab/>
        <w:t xml:space="preserve">Letter of commitment of funds from the County Mental Health Director or Housing Coordinator (alternatively, a letter of invitation to proceed to complete an MHSA application).  The letter must include specific amounts and number of </w:t>
      </w:r>
      <w:r w:rsidR="00F43832">
        <w:rPr>
          <w:rFonts w:ascii="Arial" w:hAnsi="Arial" w:cs="Arial"/>
          <w:szCs w:val="22"/>
        </w:rPr>
        <w:t xml:space="preserve">MHSA units applied for, </w:t>
      </w:r>
      <w:r w:rsidRPr="00CE505C">
        <w:rPr>
          <w:rFonts w:ascii="Arial" w:hAnsi="Arial" w:cs="Arial"/>
          <w:szCs w:val="22"/>
        </w:rPr>
        <w:t>or</w:t>
      </w:r>
      <w:r w:rsidRPr="00CA7BD1">
        <w:rPr>
          <w:rFonts w:ascii="Arial" w:hAnsi="Arial" w:cs="Arial"/>
          <w:szCs w:val="22"/>
        </w:rPr>
        <w:t xml:space="preserve"> </w:t>
      </w:r>
    </w:p>
    <w:p w:rsidR="00C15CBF" w:rsidRPr="00CA7BD1" w:rsidRDefault="00C15CBF" w:rsidP="00C15CBF">
      <w:pPr>
        <w:numPr>
          <w:ilvl w:val="1"/>
          <w:numId w:val="13"/>
        </w:numPr>
        <w:tabs>
          <w:tab w:val="clear" w:pos="2880"/>
          <w:tab w:val="left" w:pos="1080"/>
        </w:tabs>
        <w:overflowPunct/>
        <w:autoSpaceDE/>
        <w:autoSpaceDN/>
        <w:adjustRightInd/>
        <w:ind w:left="1080"/>
        <w:textAlignment w:val="auto"/>
        <w:rPr>
          <w:rFonts w:ascii="Arial" w:hAnsi="Arial" w:cs="Arial"/>
          <w:szCs w:val="22"/>
        </w:rPr>
      </w:pPr>
      <w:r w:rsidRPr="00CA7BD1">
        <w:rPr>
          <w:rFonts w:ascii="Arial" w:hAnsi="Arial" w:cs="Arial"/>
          <w:szCs w:val="22"/>
        </w:rPr>
        <w:t>Any document evidencing the County’s approval of MHSA funding, with specific funding amount and number of units.</w:t>
      </w:r>
    </w:p>
    <w:p w:rsidR="00C15CBF" w:rsidRPr="00CA7BD1" w:rsidRDefault="00C15CBF" w:rsidP="00C15CBF">
      <w:pPr>
        <w:overflowPunct/>
        <w:autoSpaceDE/>
        <w:autoSpaceDN/>
        <w:adjustRightInd/>
        <w:ind w:left="1800"/>
        <w:textAlignment w:val="auto"/>
        <w:rPr>
          <w:rFonts w:ascii="Arial" w:hAnsi="Arial" w:cs="Arial"/>
          <w:szCs w:val="22"/>
        </w:rPr>
      </w:pPr>
    </w:p>
    <w:p w:rsidR="00C15CBF" w:rsidRDefault="00C15CBF" w:rsidP="00C15CBF">
      <w:pPr>
        <w:keepNext/>
        <w:ind w:left="360" w:hanging="360"/>
        <w:rPr>
          <w:rFonts w:ascii="Arial" w:hAnsi="Arial" w:cs="Arial"/>
          <w:b/>
          <w:szCs w:val="22"/>
        </w:rPr>
      </w:pPr>
    </w:p>
    <w:p w:rsidR="00C15CBF" w:rsidRDefault="00C15CBF" w:rsidP="00C15CBF">
      <w:pPr>
        <w:keepNext/>
        <w:ind w:left="360" w:hanging="360"/>
        <w:rPr>
          <w:b/>
          <w:u w:val="single"/>
        </w:rPr>
      </w:pPr>
      <w:r>
        <w:rPr>
          <w:b/>
        </w:rPr>
        <w:t xml:space="preserve">Q.  </w:t>
      </w:r>
      <w:r>
        <w:rPr>
          <w:b/>
          <w:u w:val="single"/>
        </w:rPr>
        <w:t>Housing First Practices and Tenant Selection</w:t>
      </w:r>
    </w:p>
    <w:p w:rsidR="00C15CBF" w:rsidRDefault="00C15CBF" w:rsidP="00C15CBF">
      <w:pPr>
        <w:keepNext/>
        <w:ind w:left="360" w:hanging="360"/>
        <w:rPr>
          <w:b/>
          <w:u w:val="single"/>
        </w:rPr>
      </w:pPr>
    </w:p>
    <w:p w:rsidR="00C15CBF" w:rsidRDefault="00C15CBF" w:rsidP="00C15CBF">
      <w:pPr>
        <w:ind w:left="360"/>
        <w:rPr>
          <w:rFonts w:ascii="Arial" w:hAnsi="Arial" w:cs="Arial"/>
          <w:szCs w:val="22"/>
        </w:rPr>
      </w:pPr>
      <w:r>
        <w:rPr>
          <w:rFonts w:ascii="Arial" w:hAnsi="Arial" w:cs="Arial"/>
          <w:szCs w:val="22"/>
        </w:rPr>
        <w:t xml:space="preserve">Projects shall employ </w:t>
      </w:r>
      <w:r w:rsidRPr="005D1D59">
        <w:rPr>
          <w:rFonts w:ascii="Arial" w:hAnsi="Arial" w:cs="Arial"/>
          <w:szCs w:val="22"/>
        </w:rPr>
        <w:t xml:space="preserve">Housing First practices </w:t>
      </w:r>
      <w:r>
        <w:rPr>
          <w:rFonts w:ascii="Arial" w:hAnsi="Arial" w:cs="Arial"/>
          <w:szCs w:val="22"/>
        </w:rPr>
        <w:t>that are d</w:t>
      </w:r>
      <w:r w:rsidRPr="005D1D59">
        <w:rPr>
          <w:rFonts w:ascii="Arial" w:hAnsi="Arial" w:cs="Arial"/>
          <w:szCs w:val="22"/>
        </w:rPr>
        <w:t>ocumented in the application, property management plan</w:t>
      </w:r>
      <w:r w:rsidR="00A84E99">
        <w:rPr>
          <w:rFonts w:ascii="Arial" w:hAnsi="Arial" w:cs="Arial"/>
          <w:szCs w:val="22"/>
        </w:rPr>
        <w:t>,</w:t>
      </w:r>
      <w:r w:rsidRPr="005D1D59">
        <w:rPr>
          <w:rFonts w:ascii="Arial" w:hAnsi="Arial" w:cs="Arial"/>
          <w:szCs w:val="22"/>
        </w:rPr>
        <w:t xml:space="preserve"> and supportive services plan. Adherence to Housing First practices shall be subject to periodic compliance monitoring</w:t>
      </w:r>
      <w:r w:rsidR="005800D1">
        <w:rPr>
          <w:rFonts w:ascii="Arial" w:hAnsi="Arial" w:cs="Arial"/>
          <w:szCs w:val="22"/>
        </w:rPr>
        <w:t xml:space="preserve"> by the Department</w:t>
      </w:r>
      <w:r>
        <w:rPr>
          <w:rFonts w:ascii="Arial" w:hAnsi="Arial" w:cs="Arial"/>
          <w:szCs w:val="22"/>
        </w:rPr>
        <w:t>. Housing First Practices require:</w:t>
      </w:r>
    </w:p>
    <w:p w:rsidR="00C15CBF" w:rsidRDefault="00C15CBF" w:rsidP="00C15CBF">
      <w:pPr>
        <w:ind w:left="360"/>
        <w:rPr>
          <w:rFonts w:ascii="Arial" w:hAnsi="Arial" w:cs="Arial"/>
          <w:szCs w:val="22"/>
        </w:rPr>
      </w:pPr>
    </w:p>
    <w:p w:rsidR="00C15CBF" w:rsidRPr="005D1D59" w:rsidRDefault="00C15CBF" w:rsidP="00C15CBF">
      <w:pPr>
        <w:ind w:left="360"/>
        <w:rPr>
          <w:rFonts w:ascii="Arial" w:hAnsi="Arial" w:cs="Arial"/>
          <w:szCs w:val="22"/>
        </w:rPr>
      </w:pPr>
      <w:r w:rsidRPr="005D1D59">
        <w:rPr>
          <w:rFonts w:ascii="Arial" w:hAnsi="Arial" w:cs="Arial"/>
          <w:szCs w:val="22"/>
        </w:rPr>
        <w:t xml:space="preserve">(1) Tenant selection practices that promote the acceptance of applicants regardless of their sobriety or use of substances, completion of treatment, or participation in service, and seldom reject applicants on the basis of poor credit or financial history, poor or lack of rental history, or minor criminal convictions; </w:t>
      </w:r>
    </w:p>
    <w:p w:rsidR="00C15CBF" w:rsidRDefault="00C15CBF" w:rsidP="00C15CBF">
      <w:pPr>
        <w:ind w:left="360"/>
        <w:rPr>
          <w:rFonts w:ascii="Arial" w:hAnsi="Arial" w:cs="Arial"/>
          <w:szCs w:val="22"/>
        </w:rPr>
      </w:pPr>
    </w:p>
    <w:p w:rsidR="00C15CBF" w:rsidRPr="005D1D59" w:rsidRDefault="00C15CBF" w:rsidP="00C15CBF">
      <w:pPr>
        <w:ind w:left="360"/>
        <w:rPr>
          <w:rFonts w:ascii="Arial" w:hAnsi="Arial" w:cs="Arial"/>
          <w:szCs w:val="22"/>
        </w:rPr>
      </w:pPr>
      <w:r w:rsidRPr="005D1D59">
        <w:rPr>
          <w:rFonts w:ascii="Arial" w:hAnsi="Arial" w:cs="Arial"/>
          <w:szCs w:val="22"/>
        </w:rPr>
        <w:t xml:space="preserve">(2) </w:t>
      </w:r>
      <w:r>
        <w:rPr>
          <w:rFonts w:ascii="Arial" w:hAnsi="Arial" w:cs="Arial"/>
          <w:szCs w:val="22"/>
        </w:rPr>
        <w:t>T</w:t>
      </w:r>
      <w:r w:rsidRPr="005D1D59">
        <w:rPr>
          <w:rFonts w:ascii="Arial" w:hAnsi="Arial" w:cs="Arial"/>
          <w:szCs w:val="22"/>
        </w:rPr>
        <w:t>enants are assisted in making</w:t>
      </w:r>
      <w:r>
        <w:rPr>
          <w:rFonts w:ascii="Arial" w:hAnsi="Arial" w:cs="Arial"/>
          <w:szCs w:val="22"/>
        </w:rPr>
        <w:t xml:space="preserve"> application for tenancy and </w:t>
      </w:r>
      <w:r w:rsidRPr="005D1D59">
        <w:rPr>
          <w:rFonts w:ascii="Arial" w:hAnsi="Arial" w:cs="Arial"/>
          <w:szCs w:val="22"/>
        </w:rPr>
        <w:t xml:space="preserve">reasonable accommodation requests; </w:t>
      </w:r>
    </w:p>
    <w:p w:rsidR="00C15CBF" w:rsidRDefault="00C15CBF" w:rsidP="00C15CBF">
      <w:pPr>
        <w:ind w:left="360"/>
        <w:rPr>
          <w:rFonts w:ascii="Arial" w:hAnsi="Arial" w:cs="Arial"/>
          <w:szCs w:val="22"/>
        </w:rPr>
      </w:pPr>
    </w:p>
    <w:p w:rsidR="00C15CBF" w:rsidRPr="005D1D59" w:rsidRDefault="00C15CBF" w:rsidP="00C15CBF">
      <w:pPr>
        <w:ind w:left="360"/>
        <w:rPr>
          <w:rFonts w:ascii="Arial" w:hAnsi="Arial" w:cs="Arial"/>
          <w:szCs w:val="22"/>
        </w:rPr>
      </w:pPr>
      <w:r w:rsidRPr="005D1D59">
        <w:rPr>
          <w:rFonts w:ascii="Arial" w:hAnsi="Arial" w:cs="Arial"/>
          <w:szCs w:val="22"/>
        </w:rPr>
        <w:t xml:space="preserve">(3) Supportive services are </w:t>
      </w:r>
      <w:r>
        <w:rPr>
          <w:rFonts w:ascii="Arial" w:hAnsi="Arial" w:cs="Arial"/>
          <w:szCs w:val="22"/>
        </w:rPr>
        <w:t xml:space="preserve">flexible and </w:t>
      </w:r>
      <w:r w:rsidRPr="005D1D59">
        <w:rPr>
          <w:rFonts w:ascii="Arial" w:hAnsi="Arial" w:cs="Arial"/>
          <w:szCs w:val="22"/>
        </w:rPr>
        <w:t xml:space="preserve">voluntary and focus on housing stability, engagement, and problem-solving over therapeutic goals; </w:t>
      </w:r>
    </w:p>
    <w:p w:rsidR="00C15CBF" w:rsidRDefault="00C15CBF" w:rsidP="00C15CBF">
      <w:pPr>
        <w:ind w:left="360"/>
        <w:rPr>
          <w:rFonts w:ascii="Arial" w:hAnsi="Arial" w:cs="Arial"/>
          <w:szCs w:val="22"/>
        </w:rPr>
      </w:pPr>
    </w:p>
    <w:p w:rsidR="00C15CBF" w:rsidRPr="005D1D59" w:rsidRDefault="00C15CBF" w:rsidP="00C15CBF">
      <w:pPr>
        <w:ind w:left="360"/>
        <w:rPr>
          <w:rFonts w:ascii="Arial" w:hAnsi="Arial" w:cs="Arial"/>
          <w:szCs w:val="22"/>
        </w:rPr>
      </w:pPr>
      <w:r w:rsidRPr="005D1D59">
        <w:rPr>
          <w:rFonts w:ascii="Arial" w:hAnsi="Arial" w:cs="Arial"/>
          <w:szCs w:val="22"/>
        </w:rPr>
        <w:t xml:space="preserve">(4) Management </w:t>
      </w:r>
      <w:r>
        <w:rPr>
          <w:rFonts w:ascii="Arial" w:hAnsi="Arial" w:cs="Arial"/>
          <w:szCs w:val="22"/>
        </w:rPr>
        <w:t xml:space="preserve">and services </w:t>
      </w:r>
      <w:r w:rsidRPr="005D1D59">
        <w:rPr>
          <w:rFonts w:ascii="Arial" w:hAnsi="Arial" w:cs="Arial"/>
          <w:szCs w:val="22"/>
        </w:rPr>
        <w:t xml:space="preserve">practices emphasize tenant retention and offer flexibility and services to prevent and resolve lease violations and evictions. </w:t>
      </w:r>
    </w:p>
    <w:p w:rsidR="00C15CBF" w:rsidRPr="005D1D59" w:rsidRDefault="00C15CBF" w:rsidP="00C15CBF">
      <w:pPr>
        <w:keepNext/>
        <w:ind w:left="360" w:hanging="360"/>
      </w:pPr>
      <w:r>
        <w:rPr>
          <w:rFonts w:ascii="Arial" w:hAnsi="Arial" w:cs="Arial"/>
          <w:szCs w:val="22"/>
        </w:rPr>
        <w:tab/>
      </w:r>
    </w:p>
    <w:p w:rsidR="0042191D" w:rsidRDefault="00C15CBF" w:rsidP="0042191D">
      <w:pPr>
        <w:ind w:left="360"/>
        <w:rPr>
          <w:rFonts w:ascii="Arial" w:hAnsi="Arial" w:cs="Arial"/>
          <w:szCs w:val="22"/>
        </w:rPr>
      </w:pPr>
      <w:r w:rsidRPr="00A6679F">
        <w:rPr>
          <w:rFonts w:ascii="Arial" w:hAnsi="Arial" w:cs="Arial"/>
          <w:szCs w:val="22"/>
        </w:rPr>
        <w:t>Sponsors shall select tenants in accordanc</w:t>
      </w:r>
      <w:r w:rsidR="00693521">
        <w:rPr>
          <w:rFonts w:ascii="Arial" w:hAnsi="Arial" w:cs="Arial"/>
          <w:szCs w:val="22"/>
        </w:rPr>
        <w:t xml:space="preserve">e with the provisions of UMR </w:t>
      </w:r>
      <w:r w:rsidR="005800D1">
        <w:rPr>
          <w:rFonts w:ascii="Arial" w:hAnsi="Arial" w:cs="Arial"/>
          <w:szCs w:val="22"/>
        </w:rPr>
        <w:t xml:space="preserve">Section </w:t>
      </w:r>
      <w:r w:rsidR="00693521">
        <w:rPr>
          <w:rFonts w:ascii="Arial" w:hAnsi="Arial" w:cs="Arial"/>
          <w:szCs w:val="22"/>
        </w:rPr>
        <w:t>8305.</w:t>
      </w:r>
      <w:r w:rsidRPr="00A6679F">
        <w:rPr>
          <w:rFonts w:ascii="Arial" w:hAnsi="Arial" w:cs="Arial"/>
          <w:szCs w:val="22"/>
        </w:rPr>
        <w:t xml:space="preserve">  Reasonable selection criteria shall include priority status under a local coordinated access or assessment system developed pursuant to 24 CFR 578.7(a) (8).  Where such local systems are in place, Projects shall prioritize highly vulnerable households as referred by the local coordinated access system.  Where such systems are not yet operational, Projects shall coordinate directly and accept referrals from emergency shelters, safe havens, drop-in centers, and street outreach programs frequented by vulnerable people experiencing homelessness. </w:t>
      </w:r>
    </w:p>
    <w:p w:rsidR="0042191D" w:rsidRDefault="0042191D" w:rsidP="0042191D">
      <w:pPr>
        <w:ind w:left="360"/>
        <w:rPr>
          <w:rFonts w:ascii="Arial" w:hAnsi="Arial" w:cs="Arial"/>
          <w:szCs w:val="22"/>
        </w:rPr>
      </w:pPr>
    </w:p>
    <w:p w:rsidR="0042191D" w:rsidRDefault="00C15CBF" w:rsidP="0042191D">
      <w:pPr>
        <w:ind w:left="360"/>
        <w:rPr>
          <w:rFonts w:ascii="Arial" w:hAnsi="Arial" w:cs="Arial"/>
          <w:b/>
          <w:szCs w:val="24"/>
          <w:u w:val="single"/>
        </w:rPr>
      </w:pPr>
      <w:r>
        <w:rPr>
          <w:b/>
        </w:rPr>
        <w:t>R</w:t>
      </w:r>
      <w:r w:rsidRPr="002E2054">
        <w:rPr>
          <w:b/>
        </w:rPr>
        <w:t>.</w:t>
      </w:r>
      <w:r>
        <w:tab/>
      </w:r>
      <w:r>
        <w:rPr>
          <w:rFonts w:ascii="Arial" w:hAnsi="Arial" w:cs="Arial"/>
          <w:b/>
          <w:szCs w:val="24"/>
          <w:u w:val="single"/>
        </w:rPr>
        <w:t>Funding Compatibility</w:t>
      </w:r>
    </w:p>
    <w:p w:rsidR="0042191D" w:rsidRDefault="0042191D" w:rsidP="0042191D">
      <w:pPr>
        <w:ind w:left="360"/>
        <w:rPr>
          <w:rFonts w:ascii="Arial" w:hAnsi="Arial" w:cs="Arial"/>
          <w:szCs w:val="24"/>
        </w:rPr>
      </w:pPr>
    </w:p>
    <w:p w:rsidR="0042191D" w:rsidRDefault="00C15CBF" w:rsidP="0042191D">
      <w:pPr>
        <w:ind w:left="360"/>
        <w:rPr>
          <w:rFonts w:ascii="Arial" w:hAnsi="Arial" w:cs="Arial"/>
          <w:szCs w:val="24"/>
        </w:rPr>
      </w:pPr>
      <w:r w:rsidRPr="00AB2CCC">
        <w:rPr>
          <w:rFonts w:ascii="Arial" w:hAnsi="Arial" w:cs="Arial"/>
          <w:szCs w:val="24"/>
        </w:rPr>
        <w:t xml:space="preserve">Sponsors typically anticipate using an array of funding sources for the construction and permanent financing of their projects.  The Sponsor should determine, prior to applying for the </w:t>
      </w:r>
      <w:r>
        <w:rPr>
          <w:rFonts w:ascii="Arial" w:hAnsi="Arial" w:cs="Arial"/>
          <w:szCs w:val="24"/>
        </w:rPr>
        <w:t>EHAP-CD Conversion f</w:t>
      </w:r>
      <w:r w:rsidRPr="00AB2CCC">
        <w:rPr>
          <w:rFonts w:ascii="Arial" w:hAnsi="Arial" w:cs="Arial"/>
          <w:szCs w:val="24"/>
        </w:rPr>
        <w:t xml:space="preserve">unds, that the requirements of the </w:t>
      </w:r>
      <w:r>
        <w:rPr>
          <w:rFonts w:ascii="Arial" w:hAnsi="Arial" w:cs="Arial"/>
          <w:szCs w:val="24"/>
        </w:rPr>
        <w:t xml:space="preserve">other </w:t>
      </w:r>
      <w:r>
        <w:rPr>
          <w:rFonts w:ascii="Arial" w:hAnsi="Arial" w:cs="Arial"/>
          <w:szCs w:val="24"/>
        </w:rPr>
        <w:lastRenderedPageBreak/>
        <w:t xml:space="preserve">project funding </w:t>
      </w:r>
      <w:r w:rsidRPr="00AB2CCC">
        <w:rPr>
          <w:rFonts w:ascii="Arial" w:hAnsi="Arial" w:cs="Arial"/>
          <w:szCs w:val="24"/>
        </w:rPr>
        <w:t xml:space="preserve">sources are compatible </w:t>
      </w:r>
      <w:r>
        <w:rPr>
          <w:rFonts w:ascii="Arial" w:hAnsi="Arial" w:cs="Arial"/>
          <w:szCs w:val="24"/>
        </w:rPr>
        <w:t>with the requirements of HCD.</w:t>
      </w:r>
      <w:r w:rsidRPr="00AB2CCC">
        <w:rPr>
          <w:rFonts w:ascii="Arial" w:hAnsi="Arial" w:cs="Arial"/>
          <w:szCs w:val="24"/>
        </w:rPr>
        <w:t xml:space="preserve">  For example, compatibility issues have arisen with local and federal funding sources related to:</w:t>
      </w:r>
    </w:p>
    <w:p w:rsidR="0042191D" w:rsidRDefault="0042191D" w:rsidP="0042191D">
      <w:pPr>
        <w:ind w:left="360"/>
        <w:rPr>
          <w:rFonts w:ascii="Arial" w:hAnsi="Arial" w:cs="Arial"/>
          <w:szCs w:val="24"/>
        </w:rPr>
      </w:pPr>
    </w:p>
    <w:p w:rsidR="0042191D" w:rsidRDefault="0042191D" w:rsidP="0042191D">
      <w:pPr>
        <w:pStyle w:val="ListParagraph"/>
        <w:numPr>
          <w:ilvl w:val="0"/>
          <w:numId w:val="25"/>
        </w:numPr>
        <w:rPr>
          <w:rFonts w:ascii="Arial" w:hAnsi="Arial" w:cs="Arial"/>
          <w:szCs w:val="24"/>
        </w:rPr>
      </w:pPr>
      <w:r>
        <w:rPr>
          <w:rFonts w:ascii="Arial" w:hAnsi="Arial" w:cs="Arial"/>
          <w:szCs w:val="24"/>
        </w:rPr>
        <w:t>Th</w:t>
      </w:r>
      <w:r w:rsidR="00C15CBF" w:rsidRPr="0042191D">
        <w:rPr>
          <w:rFonts w:ascii="Arial" w:hAnsi="Arial" w:cs="Arial"/>
          <w:szCs w:val="24"/>
        </w:rPr>
        <w:t xml:space="preserve">e required terms of the HCD security documents, when the security for the EHAP-CD conversion loan is in a leasehold interest </w:t>
      </w:r>
      <w:hyperlink r:id="rId34" w:history="1">
        <w:r w:rsidR="00C15CBF" w:rsidRPr="0042191D">
          <w:rPr>
            <w:rStyle w:val="Hyperlink"/>
            <w:rFonts w:ascii="Arial" w:hAnsi="Arial" w:cs="Arial"/>
            <w:szCs w:val="24"/>
          </w:rPr>
          <w:t>(UMR Section 8316</w:t>
        </w:r>
      </w:hyperlink>
      <w:r w:rsidR="00C15CBF" w:rsidRPr="0042191D">
        <w:rPr>
          <w:rFonts w:ascii="Arial" w:hAnsi="Arial" w:cs="Arial"/>
          <w:szCs w:val="24"/>
        </w:rPr>
        <w:t>);</w:t>
      </w:r>
    </w:p>
    <w:p w:rsidR="0042191D" w:rsidRDefault="0042191D" w:rsidP="0042191D">
      <w:pPr>
        <w:pStyle w:val="ListParagraph"/>
        <w:ind w:left="1080"/>
        <w:rPr>
          <w:rFonts w:ascii="Arial" w:hAnsi="Arial" w:cs="Arial"/>
          <w:szCs w:val="24"/>
        </w:rPr>
      </w:pPr>
    </w:p>
    <w:p w:rsidR="00C15CBF" w:rsidRPr="0042191D" w:rsidRDefault="00C15CBF" w:rsidP="0042191D">
      <w:pPr>
        <w:pStyle w:val="ListParagraph"/>
        <w:numPr>
          <w:ilvl w:val="0"/>
          <w:numId w:val="25"/>
        </w:numPr>
        <w:rPr>
          <w:rFonts w:ascii="Arial" w:hAnsi="Arial" w:cs="Arial"/>
          <w:szCs w:val="24"/>
        </w:rPr>
      </w:pPr>
      <w:r w:rsidRPr="0042191D">
        <w:rPr>
          <w:rFonts w:ascii="Arial" w:hAnsi="Arial" w:cs="Arial"/>
          <w:szCs w:val="24"/>
        </w:rPr>
        <w:t xml:space="preserve">The prohibition of senior debt that has a provision for a “balloon” payment.  Often bond financing provisions include interest rate resets with potential calls prior to the full amortization term of the loan.  Any interest rate resets or similar provisions governing senior debt shall contain a specified interest rate cap, subject to the approval of HCD and shall not jeopardize the feasibility of the project.  Details of this issue and the HCD’s policy may be found on HCD’s website at: </w:t>
      </w:r>
      <w:hyperlink r:id="rId35" w:history="1">
        <w:r w:rsidRPr="0042191D">
          <w:rPr>
            <w:rStyle w:val="Hyperlink"/>
            <w:rFonts w:ascii="Arial" w:hAnsi="Arial" w:cs="Arial"/>
            <w:szCs w:val="24"/>
          </w:rPr>
          <w:t>http://www.hcd.ca.gov/fa/mhp/MHP-LoanClosing/ManagementMemo07-01.doc</w:t>
        </w:r>
      </w:hyperlink>
      <w:r w:rsidRPr="0042191D">
        <w:rPr>
          <w:rFonts w:ascii="Arial" w:hAnsi="Arial" w:cs="Arial"/>
          <w:szCs w:val="24"/>
        </w:rPr>
        <w:t>;</w:t>
      </w:r>
    </w:p>
    <w:p w:rsidR="00C15CBF" w:rsidRPr="00AB2CCC" w:rsidRDefault="00C15CBF" w:rsidP="00C15CBF">
      <w:pPr>
        <w:keepNext/>
        <w:tabs>
          <w:tab w:val="left" w:pos="720"/>
        </w:tabs>
        <w:ind w:left="720"/>
        <w:rPr>
          <w:rFonts w:ascii="Arial" w:hAnsi="Arial" w:cs="Arial"/>
          <w:szCs w:val="24"/>
        </w:rPr>
      </w:pPr>
    </w:p>
    <w:p w:rsidR="00C15CBF" w:rsidRPr="00D31C5D" w:rsidRDefault="00C15CBF" w:rsidP="00C15CBF">
      <w:pPr>
        <w:keepNext/>
        <w:numPr>
          <w:ilvl w:val="0"/>
          <w:numId w:val="20"/>
        </w:numPr>
        <w:tabs>
          <w:tab w:val="clear" w:pos="1440"/>
          <w:tab w:val="left" w:pos="720"/>
        </w:tabs>
        <w:ind w:left="720"/>
        <w:rPr>
          <w:rFonts w:ascii="Arial" w:hAnsi="Arial" w:cs="Arial"/>
          <w:szCs w:val="24"/>
        </w:rPr>
      </w:pPr>
      <w:r w:rsidRPr="00D31C5D">
        <w:rPr>
          <w:rFonts w:ascii="Arial" w:hAnsi="Arial" w:cs="Arial"/>
          <w:szCs w:val="24"/>
        </w:rPr>
        <w:t>Senior debt w</w:t>
      </w:r>
      <w:r w:rsidR="002F3325" w:rsidRPr="00D31C5D">
        <w:rPr>
          <w:rFonts w:ascii="Arial" w:hAnsi="Arial" w:cs="Arial"/>
          <w:szCs w:val="24"/>
        </w:rPr>
        <w:t xml:space="preserve">ith a variable interest rate must be </w:t>
      </w:r>
      <w:r w:rsidRPr="00D31C5D">
        <w:rPr>
          <w:rFonts w:ascii="Arial" w:hAnsi="Arial" w:cs="Arial"/>
          <w:szCs w:val="24"/>
        </w:rPr>
        <w:t>underwritten at the ceiling interest rate;</w:t>
      </w:r>
    </w:p>
    <w:p w:rsidR="00C15CBF" w:rsidRDefault="00C15CBF" w:rsidP="00C15CBF">
      <w:pPr>
        <w:keepNext/>
        <w:tabs>
          <w:tab w:val="left" w:pos="720"/>
        </w:tabs>
        <w:ind w:left="720"/>
        <w:rPr>
          <w:rFonts w:ascii="Arial" w:hAnsi="Arial" w:cs="Arial"/>
          <w:szCs w:val="24"/>
        </w:rPr>
      </w:pPr>
    </w:p>
    <w:p w:rsidR="00C15CBF" w:rsidRDefault="00C15CBF" w:rsidP="00C15CBF">
      <w:pPr>
        <w:keepNext/>
        <w:numPr>
          <w:ilvl w:val="0"/>
          <w:numId w:val="20"/>
        </w:numPr>
        <w:tabs>
          <w:tab w:val="clear" w:pos="1440"/>
          <w:tab w:val="left" w:pos="720"/>
        </w:tabs>
        <w:ind w:left="720"/>
        <w:rPr>
          <w:rFonts w:ascii="Arial" w:hAnsi="Arial" w:cs="Arial"/>
          <w:szCs w:val="24"/>
        </w:rPr>
      </w:pPr>
      <w:r>
        <w:rPr>
          <w:rFonts w:ascii="Arial" w:hAnsi="Arial" w:cs="Arial"/>
          <w:szCs w:val="24"/>
        </w:rPr>
        <w:t>Program target population and income-targeting requirements</w:t>
      </w:r>
      <w:r w:rsidR="005800D1">
        <w:rPr>
          <w:rFonts w:ascii="Arial" w:hAnsi="Arial" w:cs="Arial"/>
          <w:szCs w:val="24"/>
        </w:rPr>
        <w:t>; and</w:t>
      </w:r>
    </w:p>
    <w:p w:rsidR="00C15CBF" w:rsidRDefault="00C15CBF" w:rsidP="00C15CBF">
      <w:pPr>
        <w:pStyle w:val="ListParagraph"/>
        <w:rPr>
          <w:rFonts w:ascii="Arial" w:hAnsi="Arial" w:cs="Arial"/>
          <w:szCs w:val="24"/>
        </w:rPr>
      </w:pPr>
    </w:p>
    <w:p w:rsidR="00C15CBF" w:rsidRDefault="00C15CBF" w:rsidP="00C15CBF">
      <w:pPr>
        <w:keepNext/>
        <w:numPr>
          <w:ilvl w:val="0"/>
          <w:numId w:val="20"/>
        </w:numPr>
        <w:tabs>
          <w:tab w:val="clear" w:pos="1440"/>
          <w:tab w:val="left" w:pos="720"/>
        </w:tabs>
        <w:ind w:left="720"/>
        <w:rPr>
          <w:rFonts w:ascii="Arial" w:hAnsi="Arial" w:cs="Arial"/>
          <w:szCs w:val="24"/>
        </w:rPr>
      </w:pPr>
      <w:r w:rsidRPr="006B7B65">
        <w:rPr>
          <w:rFonts w:ascii="Arial" w:hAnsi="Arial" w:cs="Arial"/>
          <w:szCs w:val="24"/>
        </w:rPr>
        <w:t>Asset Management Fee and Stat</w:t>
      </w:r>
      <w:r w:rsidR="005800D1">
        <w:rPr>
          <w:rFonts w:ascii="Arial" w:hAnsi="Arial" w:cs="Arial"/>
          <w:szCs w:val="24"/>
        </w:rPr>
        <w:t>e Prevailing wage requirements.</w:t>
      </w:r>
    </w:p>
    <w:p w:rsidR="006D5D21" w:rsidRDefault="006D5D21" w:rsidP="006D5D21">
      <w:pPr>
        <w:pStyle w:val="ListParagraph"/>
        <w:rPr>
          <w:rFonts w:ascii="Arial" w:hAnsi="Arial" w:cs="Arial"/>
          <w:szCs w:val="24"/>
        </w:rPr>
      </w:pPr>
    </w:p>
    <w:p w:rsidR="00C15CBF" w:rsidRPr="006B7B65" w:rsidRDefault="00C15CBF" w:rsidP="00C15CBF">
      <w:pPr>
        <w:keepNext/>
        <w:tabs>
          <w:tab w:val="left" w:pos="720"/>
        </w:tabs>
        <w:ind w:left="810"/>
        <w:rPr>
          <w:rFonts w:ascii="Arial" w:hAnsi="Arial" w:cs="Arial"/>
          <w:szCs w:val="24"/>
        </w:rPr>
      </w:pPr>
    </w:p>
    <w:p w:rsidR="00C15CBF" w:rsidRPr="002414D6" w:rsidRDefault="00C15CBF" w:rsidP="00C15CBF">
      <w:pPr>
        <w:ind w:left="360" w:hanging="360"/>
        <w:rPr>
          <w:rFonts w:ascii="Arial Bold" w:hAnsi="Arial Bold"/>
          <w:b/>
        </w:rPr>
      </w:pPr>
      <w:r>
        <w:rPr>
          <w:rFonts w:ascii="Arial Bold" w:hAnsi="Arial Bold"/>
          <w:b/>
        </w:rPr>
        <w:t>S</w:t>
      </w:r>
      <w:r w:rsidRPr="002414D6">
        <w:rPr>
          <w:rFonts w:ascii="Arial Bold" w:hAnsi="Arial Bold"/>
          <w:b/>
        </w:rPr>
        <w:t>.</w:t>
      </w:r>
      <w:r w:rsidRPr="002414D6">
        <w:rPr>
          <w:rFonts w:ascii="Arial Bold" w:hAnsi="Arial Bold"/>
          <w:b/>
        </w:rPr>
        <w:tab/>
      </w:r>
      <w:r w:rsidRPr="002414D6">
        <w:rPr>
          <w:rFonts w:ascii="Arial Bold" w:hAnsi="Arial Bold"/>
          <w:b/>
          <w:u w:val="single"/>
        </w:rPr>
        <w:t>Important Legal Matters</w:t>
      </w:r>
    </w:p>
    <w:p w:rsidR="00C15CBF" w:rsidRDefault="00C15CBF" w:rsidP="00C15CBF">
      <w:pPr>
        <w:ind w:left="360" w:hanging="360"/>
        <w:rPr>
          <w:rFonts w:ascii="Times New Roman" w:hAnsi="Times New Roman"/>
          <w:b/>
          <w:sz w:val="22"/>
        </w:rPr>
      </w:pPr>
    </w:p>
    <w:p w:rsidR="00C15CBF" w:rsidRDefault="00C15CBF" w:rsidP="00C15CBF">
      <w:pPr>
        <w:ind w:left="360"/>
        <w:rPr>
          <w:rFonts w:ascii="Arial" w:hAnsi="Arial"/>
        </w:rPr>
      </w:pPr>
      <w:r w:rsidRPr="00D9357D">
        <w:rPr>
          <w:rFonts w:ascii="Arial" w:hAnsi="Arial"/>
        </w:rPr>
        <w:t xml:space="preserve">HCD reserves the right, at its sole discretion, to suspend or amend the provisions of this NOFA.  If such an action occurs, HCD will notify all interested parties.  </w:t>
      </w:r>
    </w:p>
    <w:p w:rsidR="00C15CBF" w:rsidRDefault="00C15CBF" w:rsidP="00C15CBF">
      <w:pPr>
        <w:ind w:left="360"/>
        <w:rPr>
          <w:rFonts w:ascii="Arial" w:hAnsi="Arial"/>
        </w:rPr>
      </w:pPr>
    </w:p>
    <w:p w:rsidR="00C15CBF" w:rsidRPr="00D9357D" w:rsidRDefault="00C15CBF" w:rsidP="00C15CBF">
      <w:pPr>
        <w:ind w:left="360"/>
        <w:rPr>
          <w:rFonts w:ascii="Arial" w:hAnsi="Arial"/>
        </w:rPr>
      </w:pPr>
      <w:r w:rsidRPr="00D9357D">
        <w:rPr>
          <w:rFonts w:ascii="Arial" w:hAnsi="Arial"/>
        </w:rPr>
        <w:t xml:space="preserve">Article XXXIV of the California Constitution requires advance voter approval of certain publicly funded and regulated low-income housing projects.  Projects funded by </w:t>
      </w:r>
      <w:r>
        <w:rPr>
          <w:rFonts w:ascii="Arial" w:hAnsi="Arial"/>
        </w:rPr>
        <w:t xml:space="preserve">EHAP-CD Conversion </w:t>
      </w:r>
      <w:r w:rsidRPr="00D9357D">
        <w:rPr>
          <w:rFonts w:ascii="Arial" w:hAnsi="Arial"/>
        </w:rPr>
        <w:t xml:space="preserve">must either have Article XXXIV approval or be exempt from the need for this approval. </w:t>
      </w:r>
    </w:p>
    <w:p w:rsidR="00C15CBF" w:rsidRPr="00D9357D" w:rsidRDefault="00C15CBF" w:rsidP="00C15CBF">
      <w:pPr>
        <w:ind w:left="360"/>
        <w:rPr>
          <w:rFonts w:ascii="Arial" w:hAnsi="Arial"/>
        </w:rPr>
      </w:pPr>
    </w:p>
    <w:p w:rsidR="00C15CBF" w:rsidRPr="00BD3A5F" w:rsidRDefault="00C15CBF" w:rsidP="00C15CBF">
      <w:pPr>
        <w:ind w:left="360"/>
        <w:rPr>
          <w:rFonts w:ascii="Times New Roman" w:hAnsi="Times New Roman"/>
          <w:sz w:val="22"/>
          <w:szCs w:val="22"/>
        </w:rPr>
      </w:pPr>
      <w:r w:rsidRPr="00D9357D">
        <w:rPr>
          <w:rFonts w:ascii="Arial" w:hAnsi="Arial"/>
        </w:rPr>
        <w:t>Sponsors must also be very careful to avoid violation of fair housing laws.  HCD will review proposed tenant selection criteria for potential violations of these laws.  A useful resource is “</w:t>
      </w:r>
      <w:r w:rsidRPr="00D9357D">
        <w:rPr>
          <w:rFonts w:ascii="Arial" w:hAnsi="Arial"/>
          <w:i/>
        </w:rPr>
        <w:t>Between the Lines, A Question and Answer Guide on Legal Issues”</w:t>
      </w:r>
      <w:r w:rsidRPr="00D9357D">
        <w:rPr>
          <w:rFonts w:ascii="Arial" w:hAnsi="Arial"/>
        </w:rPr>
        <w:t xml:space="preserve"> in Supportive Housing, published by the Corporation for Supportive Housing available online at </w:t>
      </w:r>
      <w:hyperlink r:id="rId36" w:history="1">
        <w:r w:rsidRPr="00D9357D">
          <w:rPr>
            <w:rStyle w:val="Hyperlink"/>
            <w:rFonts w:ascii="Arial" w:hAnsi="Arial"/>
            <w:i/>
          </w:rPr>
          <w:t>www.csh.org</w:t>
        </w:r>
      </w:hyperlink>
      <w:r w:rsidRPr="00D9357D">
        <w:rPr>
          <w:rFonts w:ascii="Arial" w:hAnsi="Arial"/>
        </w:rPr>
        <w:t xml:space="preserve">. </w:t>
      </w:r>
      <w:r w:rsidRPr="00BD3A5F">
        <w:rPr>
          <w:rFonts w:ascii="Arial" w:hAnsi="Arial"/>
        </w:rPr>
        <w:t xml:space="preserve">Please be advised that a proposal may have substantial discrimination problems even though it targets a specific special needs population served when the facility was funded by HCD or other funders as emergency shelter or transitional housing, </w:t>
      </w:r>
    </w:p>
    <w:p w:rsidR="00C15CBF" w:rsidRPr="00BD3A5F" w:rsidRDefault="00C15CBF" w:rsidP="00C15CBF">
      <w:pPr>
        <w:ind w:left="1440"/>
        <w:rPr>
          <w:rFonts w:ascii="Times New Roman" w:hAnsi="Times New Roman"/>
          <w:sz w:val="22"/>
          <w:szCs w:val="22"/>
        </w:rPr>
      </w:pPr>
    </w:p>
    <w:p w:rsidR="005800D1" w:rsidRDefault="005800D1">
      <w:pPr>
        <w:overflowPunct/>
        <w:autoSpaceDE/>
        <w:autoSpaceDN/>
        <w:adjustRightInd/>
        <w:spacing w:after="200" w:line="276" w:lineRule="auto"/>
        <w:textAlignment w:val="auto"/>
        <w:rPr>
          <w:rFonts w:ascii="Arial Bold" w:hAnsi="Arial Bold"/>
          <w:b/>
          <w:szCs w:val="22"/>
        </w:rPr>
      </w:pPr>
      <w:r>
        <w:rPr>
          <w:rFonts w:ascii="Arial Bold" w:hAnsi="Arial Bold"/>
          <w:b/>
          <w:szCs w:val="22"/>
        </w:rPr>
        <w:br w:type="page"/>
      </w:r>
    </w:p>
    <w:p w:rsidR="00C15CBF" w:rsidRPr="002414D6" w:rsidRDefault="00C15CBF" w:rsidP="00C15CBF">
      <w:pPr>
        <w:keepNext/>
        <w:keepLines/>
        <w:tabs>
          <w:tab w:val="left" w:pos="-180"/>
        </w:tabs>
        <w:ind w:left="360" w:hanging="360"/>
        <w:rPr>
          <w:rFonts w:ascii="Arial Bold" w:hAnsi="Arial Bold"/>
          <w:b/>
          <w:szCs w:val="22"/>
        </w:rPr>
      </w:pPr>
      <w:r>
        <w:rPr>
          <w:rFonts w:ascii="Arial Bold" w:hAnsi="Arial Bold"/>
          <w:b/>
          <w:szCs w:val="22"/>
        </w:rPr>
        <w:lastRenderedPageBreak/>
        <w:t>T.</w:t>
      </w:r>
      <w:r w:rsidRPr="002414D6">
        <w:rPr>
          <w:rFonts w:ascii="Arial Bold" w:hAnsi="Arial Bold"/>
          <w:b/>
          <w:szCs w:val="22"/>
        </w:rPr>
        <w:tab/>
      </w:r>
      <w:r w:rsidRPr="00CA7BD1">
        <w:rPr>
          <w:rFonts w:ascii="Arial" w:hAnsi="Arial" w:cs="Arial"/>
          <w:b/>
          <w:szCs w:val="22"/>
          <w:u w:val="single"/>
        </w:rPr>
        <w:t>Application Point Scoring</w:t>
      </w:r>
    </w:p>
    <w:p w:rsidR="00C15CBF" w:rsidRPr="00E26A34" w:rsidRDefault="00C15CBF" w:rsidP="00C15CBF">
      <w:pPr>
        <w:keepNext/>
        <w:keepLines/>
        <w:tabs>
          <w:tab w:val="left" w:pos="-180"/>
        </w:tabs>
        <w:ind w:left="1440"/>
        <w:rPr>
          <w:rFonts w:ascii="Arial" w:hAnsi="Arial"/>
          <w:sz w:val="20"/>
        </w:rPr>
      </w:pPr>
    </w:p>
    <w:p w:rsidR="00443C42" w:rsidRDefault="00443C42" w:rsidP="00443C42">
      <w:pPr>
        <w:ind w:left="360"/>
        <w:rPr>
          <w:rFonts w:ascii="Arial" w:hAnsi="Arial" w:cs="Arial"/>
          <w:b/>
          <w:u w:val="single"/>
        </w:rPr>
      </w:pPr>
      <w:r>
        <w:rPr>
          <w:rFonts w:ascii="Arial" w:hAnsi="Arial" w:cs="Arial"/>
          <w:szCs w:val="22"/>
        </w:rPr>
        <w:t>A</w:t>
      </w:r>
      <w:r w:rsidR="00C15CBF">
        <w:rPr>
          <w:rFonts w:ascii="Arial" w:hAnsi="Arial" w:cs="Arial"/>
          <w:szCs w:val="22"/>
        </w:rPr>
        <w:t xml:space="preserve">pplications will </w:t>
      </w:r>
      <w:r w:rsidR="006D5D21">
        <w:rPr>
          <w:rFonts w:ascii="Arial" w:hAnsi="Arial" w:cs="Arial"/>
          <w:szCs w:val="22"/>
        </w:rPr>
        <w:t>be scored</w:t>
      </w:r>
      <w:r w:rsidR="00C15CBF">
        <w:rPr>
          <w:rFonts w:ascii="Arial" w:hAnsi="Arial" w:cs="Arial"/>
          <w:szCs w:val="22"/>
        </w:rPr>
        <w:t xml:space="preserve"> as </w:t>
      </w:r>
      <w:r>
        <w:rPr>
          <w:rFonts w:ascii="Arial" w:hAnsi="Arial" w:cs="Arial"/>
          <w:szCs w:val="22"/>
        </w:rPr>
        <w:t xml:space="preserve">discussed in the table that </w:t>
      </w:r>
      <w:r w:rsidR="00C15CBF">
        <w:rPr>
          <w:rFonts w:ascii="Arial" w:hAnsi="Arial" w:cs="Arial"/>
          <w:szCs w:val="22"/>
        </w:rPr>
        <w:t>follows.</w:t>
      </w:r>
      <w:r w:rsidR="00C15CBF" w:rsidRPr="009F0EC6">
        <w:rPr>
          <w:rFonts w:ascii="Arial" w:hAnsi="Arial" w:cs="Arial"/>
        </w:rPr>
        <w:t xml:space="preserve"> </w:t>
      </w:r>
      <w:r w:rsidRPr="00DD5011">
        <w:rPr>
          <w:rFonts w:ascii="Arial" w:hAnsi="Arial" w:cs="Arial"/>
        </w:rPr>
        <w:t>Urban and non-urban county applications will be scored in two separate applicant pools</w:t>
      </w:r>
      <w:r>
        <w:rPr>
          <w:rFonts w:ascii="Arial" w:hAnsi="Arial" w:cs="Arial"/>
        </w:rPr>
        <w:t xml:space="preserve">. </w:t>
      </w:r>
      <w:r w:rsidRPr="00C96B1C">
        <w:rPr>
          <w:rFonts w:ascii="Arial" w:hAnsi="Arial" w:cs="Arial"/>
          <w:b/>
          <w:u w:val="single"/>
        </w:rPr>
        <w:t xml:space="preserve">Projects must </w:t>
      </w:r>
      <w:r>
        <w:rPr>
          <w:rFonts w:ascii="Arial" w:hAnsi="Arial" w:cs="Arial"/>
          <w:b/>
          <w:u w:val="single"/>
        </w:rPr>
        <w:t>score a minimum of 5</w:t>
      </w:r>
      <w:r w:rsidRPr="00C96B1C">
        <w:rPr>
          <w:rFonts w:ascii="Arial" w:hAnsi="Arial" w:cs="Arial"/>
          <w:b/>
          <w:u w:val="single"/>
        </w:rPr>
        <w:t>5 poin</w:t>
      </w:r>
      <w:r>
        <w:rPr>
          <w:rFonts w:ascii="Arial" w:hAnsi="Arial" w:cs="Arial"/>
          <w:b/>
          <w:u w:val="single"/>
        </w:rPr>
        <w:t>ts to be considered for funding, even if the amount of funds available does not exceed demand</w:t>
      </w:r>
      <w:r w:rsidR="00EE4AAC">
        <w:rPr>
          <w:rFonts w:ascii="Arial" w:hAnsi="Arial" w:cs="Arial"/>
          <w:b/>
          <w:u w:val="single"/>
        </w:rPr>
        <w:t>.</w:t>
      </w:r>
    </w:p>
    <w:p w:rsidR="00443C42" w:rsidRPr="00443C42" w:rsidRDefault="00443C42" w:rsidP="00B15324">
      <w:pPr>
        <w:overflowPunct/>
        <w:autoSpaceDE/>
        <w:autoSpaceDN/>
        <w:adjustRightInd/>
        <w:spacing w:after="200" w:line="276" w:lineRule="auto"/>
        <w:ind w:left="360"/>
        <w:textAlignment w:val="auto"/>
        <w:rPr>
          <w:rFonts w:ascii="Arial" w:hAnsi="Arial" w:cs="Arial"/>
        </w:rPr>
      </w:pPr>
      <w:r>
        <w:rPr>
          <w:rFonts w:ascii="Arial" w:hAnsi="Arial" w:cs="Arial"/>
          <w:b/>
          <w:u w:val="single"/>
        </w:rPr>
        <w:br w:type="page"/>
      </w:r>
    </w:p>
    <w:tbl>
      <w:tblPr>
        <w:tblpPr w:leftFromText="180" w:rightFromText="180" w:vertAnchor="text" w:horzAnchor="margin" w:tblpY="-69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6"/>
        <w:gridCol w:w="1170"/>
        <w:gridCol w:w="5364"/>
      </w:tblGrid>
      <w:tr w:rsidR="00C15CBF" w:rsidRPr="00F90DCB" w:rsidTr="00AC2C69">
        <w:trPr>
          <w:cantSplit/>
        </w:trPr>
        <w:tc>
          <w:tcPr>
            <w:tcW w:w="3186" w:type="dxa"/>
            <w:vAlign w:val="center"/>
          </w:tcPr>
          <w:p w:rsidR="00C15CBF" w:rsidRPr="00F90DCB" w:rsidRDefault="00C15CBF" w:rsidP="00AC2C69">
            <w:pPr>
              <w:keepNext/>
              <w:ind w:left="180"/>
              <w:jc w:val="center"/>
              <w:outlineLvl w:val="2"/>
              <w:rPr>
                <w:rFonts w:ascii="Arial" w:hAnsi="Arial" w:cs="Arial"/>
                <w:b/>
                <w:bCs/>
                <w:sz w:val="22"/>
                <w:szCs w:val="22"/>
              </w:rPr>
            </w:pPr>
            <w:r w:rsidRPr="00F90DCB">
              <w:rPr>
                <w:rFonts w:ascii="Arial" w:hAnsi="Arial" w:cs="Arial"/>
                <w:b/>
                <w:bCs/>
                <w:sz w:val="22"/>
                <w:szCs w:val="22"/>
              </w:rPr>
              <w:lastRenderedPageBreak/>
              <w:t>Scoring Category</w:t>
            </w:r>
          </w:p>
        </w:tc>
        <w:tc>
          <w:tcPr>
            <w:tcW w:w="1170" w:type="dxa"/>
            <w:vAlign w:val="center"/>
          </w:tcPr>
          <w:p w:rsidR="00C15CBF" w:rsidRPr="00F90DCB" w:rsidRDefault="00C15CBF" w:rsidP="00AC2C69">
            <w:pPr>
              <w:jc w:val="center"/>
              <w:rPr>
                <w:rFonts w:ascii="Arial" w:hAnsi="Arial" w:cs="Arial"/>
                <w:b/>
                <w:bCs/>
                <w:sz w:val="22"/>
                <w:szCs w:val="22"/>
              </w:rPr>
            </w:pPr>
            <w:r w:rsidRPr="00F90DCB">
              <w:rPr>
                <w:rFonts w:ascii="Arial" w:hAnsi="Arial" w:cs="Arial"/>
                <w:b/>
                <w:bCs/>
                <w:sz w:val="22"/>
                <w:szCs w:val="22"/>
              </w:rPr>
              <w:t>Max.</w:t>
            </w:r>
          </w:p>
          <w:p w:rsidR="00C15CBF" w:rsidRPr="00F90DCB" w:rsidRDefault="00C15CBF" w:rsidP="00AC2C69">
            <w:pPr>
              <w:jc w:val="center"/>
              <w:rPr>
                <w:rFonts w:ascii="Arial" w:hAnsi="Arial" w:cs="Arial"/>
                <w:b/>
                <w:bCs/>
                <w:sz w:val="22"/>
                <w:szCs w:val="22"/>
              </w:rPr>
            </w:pPr>
            <w:r w:rsidRPr="00F90DCB">
              <w:rPr>
                <w:rFonts w:ascii="Arial" w:hAnsi="Arial" w:cs="Arial"/>
                <w:b/>
                <w:bCs/>
                <w:sz w:val="22"/>
                <w:szCs w:val="22"/>
              </w:rPr>
              <w:t>Points</w:t>
            </w:r>
          </w:p>
        </w:tc>
        <w:tc>
          <w:tcPr>
            <w:tcW w:w="5364" w:type="dxa"/>
            <w:vAlign w:val="center"/>
          </w:tcPr>
          <w:p w:rsidR="00C15CBF" w:rsidRPr="00F90DCB" w:rsidRDefault="00C15CBF" w:rsidP="00AC2C69">
            <w:pPr>
              <w:keepNext/>
              <w:ind w:left="162"/>
              <w:jc w:val="center"/>
              <w:outlineLvl w:val="5"/>
              <w:rPr>
                <w:rFonts w:ascii="Arial" w:hAnsi="Arial" w:cs="Arial"/>
                <w:b/>
                <w:sz w:val="22"/>
                <w:szCs w:val="22"/>
              </w:rPr>
            </w:pPr>
            <w:r w:rsidRPr="00F90DCB">
              <w:rPr>
                <w:rFonts w:ascii="Arial" w:hAnsi="Arial" w:cs="Arial"/>
                <w:b/>
                <w:sz w:val="22"/>
                <w:szCs w:val="22"/>
              </w:rPr>
              <w:t>Comments</w:t>
            </w:r>
          </w:p>
        </w:tc>
      </w:tr>
      <w:tr w:rsidR="00C15CBF" w:rsidRPr="00F90DCB" w:rsidTr="00AC2C69">
        <w:trPr>
          <w:cantSplit/>
        </w:trPr>
        <w:tc>
          <w:tcPr>
            <w:tcW w:w="3186" w:type="dxa"/>
            <w:vAlign w:val="center"/>
          </w:tcPr>
          <w:p w:rsidR="00C15CBF" w:rsidRPr="00F90DCB" w:rsidRDefault="00C15CBF" w:rsidP="00AE0CA3">
            <w:pPr>
              <w:rPr>
                <w:rFonts w:ascii="Arial" w:hAnsi="Arial" w:cs="Arial"/>
                <w:sz w:val="22"/>
                <w:szCs w:val="22"/>
              </w:rPr>
            </w:pPr>
            <w:r w:rsidRPr="00F90DCB">
              <w:rPr>
                <w:rFonts w:ascii="Arial" w:hAnsi="Arial" w:cs="Arial"/>
                <w:sz w:val="22"/>
                <w:szCs w:val="22"/>
              </w:rPr>
              <w:t>Extent to which the Project se</w:t>
            </w:r>
            <w:r w:rsidR="00AE0CA3">
              <w:rPr>
                <w:rFonts w:ascii="Arial" w:hAnsi="Arial" w:cs="Arial"/>
                <w:sz w:val="22"/>
                <w:szCs w:val="22"/>
              </w:rPr>
              <w:t xml:space="preserve">rves Literally Homeless versus </w:t>
            </w:r>
            <w:r w:rsidR="00DF36E7">
              <w:rPr>
                <w:rFonts w:ascii="Arial" w:hAnsi="Arial" w:cs="Arial"/>
                <w:sz w:val="22"/>
                <w:szCs w:val="22"/>
              </w:rPr>
              <w:t>a</w:t>
            </w:r>
            <w:r w:rsidRPr="00F90DCB">
              <w:rPr>
                <w:rFonts w:ascii="Arial" w:hAnsi="Arial" w:cs="Arial"/>
                <w:sz w:val="22"/>
                <w:szCs w:val="22"/>
              </w:rPr>
              <w:t xml:space="preserve">t-risk </w:t>
            </w:r>
            <w:r w:rsidR="00DF36E7">
              <w:rPr>
                <w:rFonts w:ascii="Arial" w:hAnsi="Arial" w:cs="Arial"/>
                <w:sz w:val="22"/>
                <w:szCs w:val="22"/>
              </w:rPr>
              <w:t>h</w:t>
            </w:r>
            <w:r w:rsidRPr="00F90DCB">
              <w:rPr>
                <w:rFonts w:ascii="Arial" w:hAnsi="Arial" w:cs="Arial"/>
                <w:sz w:val="22"/>
                <w:szCs w:val="22"/>
              </w:rPr>
              <w:t>omeless as defined in Section F</w:t>
            </w:r>
          </w:p>
        </w:tc>
        <w:tc>
          <w:tcPr>
            <w:tcW w:w="1170" w:type="dxa"/>
            <w:vAlign w:val="center"/>
          </w:tcPr>
          <w:p w:rsidR="00C15CBF" w:rsidRPr="00F90DCB" w:rsidRDefault="00C15CBF" w:rsidP="00AC2C69">
            <w:pPr>
              <w:jc w:val="center"/>
              <w:rPr>
                <w:rFonts w:ascii="Arial" w:hAnsi="Arial" w:cs="Arial"/>
                <w:sz w:val="22"/>
                <w:szCs w:val="22"/>
              </w:rPr>
            </w:pPr>
            <w:r w:rsidRPr="00F90DCB">
              <w:rPr>
                <w:rFonts w:ascii="Arial" w:hAnsi="Arial" w:cs="Arial"/>
                <w:sz w:val="22"/>
                <w:szCs w:val="22"/>
              </w:rPr>
              <w:t>20</w:t>
            </w:r>
          </w:p>
        </w:tc>
        <w:tc>
          <w:tcPr>
            <w:tcW w:w="5364" w:type="dxa"/>
          </w:tcPr>
          <w:p w:rsidR="00C15CBF" w:rsidRPr="00F90DCB" w:rsidRDefault="00C15CBF" w:rsidP="00AC2C69">
            <w:pPr>
              <w:ind w:left="162"/>
              <w:rPr>
                <w:rFonts w:ascii="Arial" w:hAnsi="Arial" w:cs="Arial"/>
                <w:sz w:val="22"/>
                <w:szCs w:val="22"/>
              </w:rPr>
            </w:pPr>
            <w:r w:rsidRPr="00F90DCB">
              <w:rPr>
                <w:rFonts w:ascii="Arial" w:hAnsi="Arial" w:cs="Arial"/>
                <w:sz w:val="22"/>
                <w:szCs w:val="22"/>
              </w:rPr>
              <w:t xml:space="preserve">Points will be awarded in increments of 5 percentage points (5% of units to homeless populations = 1 point 10% = 2 points, etc.) </w:t>
            </w:r>
          </w:p>
        </w:tc>
      </w:tr>
      <w:tr w:rsidR="00C15CBF" w:rsidRPr="00F90DCB" w:rsidTr="00AC2C69">
        <w:trPr>
          <w:cantSplit/>
        </w:trPr>
        <w:tc>
          <w:tcPr>
            <w:tcW w:w="3186" w:type="dxa"/>
            <w:vAlign w:val="center"/>
          </w:tcPr>
          <w:p w:rsidR="00C15CBF" w:rsidRPr="00F90DCB" w:rsidRDefault="00C15CBF" w:rsidP="00AC2C69">
            <w:pPr>
              <w:rPr>
                <w:rFonts w:ascii="Arial" w:hAnsi="Arial" w:cs="Arial"/>
                <w:sz w:val="22"/>
                <w:szCs w:val="22"/>
              </w:rPr>
            </w:pPr>
            <w:r w:rsidRPr="00F90DCB">
              <w:rPr>
                <w:rFonts w:ascii="Arial" w:hAnsi="Arial" w:cs="Arial"/>
                <w:sz w:val="22"/>
                <w:szCs w:val="22"/>
              </w:rPr>
              <w:t>Development and Ownership Experience of the Sponsor</w:t>
            </w:r>
          </w:p>
        </w:tc>
        <w:tc>
          <w:tcPr>
            <w:tcW w:w="1170" w:type="dxa"/>
            <w:vAlign w:val="center"/>
          </w:tcPr>
          <w:p w:rsidR="00C15CBF" w:rsidRPr="00F90DCB" w:rsidRDefault="00C15CBF" w:rsidP="00AC2C69">
            <w:pPr>
              <w:jc w:val="center"/>
              <w:rPr>
                <w:rFonts w:ascii="Arial" w:hAnsi="Arial" w:cs="Arial"/>
                <w:sz w:val="22"/>
                <w:szCs w:val="22"/>
              </w:rPr>
            </w:pPr>
            <w:r w:rsidRPr="00F90DCB">
              <w:rPr>
                <w:rFonts w:ascii="Arial" w:hAnsi="Arial" w:cs="Arial"/>
                <w:sz w:val="22"/>
                <w:szCs w:val="22"/>
              </w:rPr>
              <w:t>30</w:t>
            </w:r>
          </w:p>
        </w:tc>
        <w:tc>
          <w:tcPr>
            <w:tcW w:w="5364" w:type="dxa"/>
          </w:tcPr>
          <w:p w:rsidR="00C15CBF" w:rsidRPr="00F90DCB" w:rsidRDefault="00C15CBF" w:rsidP="00AC2C69">
            <w:pPr>
              <w:ind w:left="162"/>
              <w:rPr>
                <w:rFonts w:ascii="Arial" w:hAnsi="Arial" w:cs="Arial"/>
                <w:sz w:val="22"/>
                <w:szCs w:val="22"/>
              </w:rPr>
            </w:pPr>
          </w:p>
          <w:p w:rsidR="00C15CBF" w:rsidRPr="00F90DCB" w:rsidRDefault="00C15CBF" w:rsidP="00AC2C69">
            <w:pPr>
              <w:ind w:left="162"/>
              <w:rPr>
                <w:rFonts w:ascii="Arial" w:hAnsi="Arial" w:cs="Arial"/>
                <w:sz w:val="22"/>
                <w:szCs w:val="22"/>
              </w:rPr>
            </w:pPr>
            <w:r w:rsidRPr="00F90DCB">
              <w:rPr>
                <w:rFonts w:ascii="Arial" w:hAnsi="Arial" w:cs="Arial"/>
                <w:sz w:val="22"/>
                <w:szCs w:val="22"/>
              </w:rPr>
              <w:t xml:space="preserve">Experience for the prior </w:t>
            </w:r>
            <w:r w:rsidR="00DF36E7">
              <w:rPr>
                <w:rFonts w:ascii="Arial" w:hAnsi="Arial" w:cs="Arial"/>
                <w:sz w:val="22"/>
                <w:szCs w:val="22"/>
              </w:rPr>
              <w:t>10</w:t>
            </w:r>
            <w:r w:rsidRPr="00F90DCB">
              <w:rPr>
                <w:rFonts w:ascii="Arial" w:hAnsi="Arial" w:cs="Arial"/>
                <w:sz w:val="22"/>
                <w:szCs w:val="22"/>
              </w:rPr>
              <w:t xml:space="preserve"> years</w:t>
            </w:r>
            <w:r w:rsidR="005800D1">
              <w:rPr>
                <w:rFonts w:ascii="Arial" w:hAnsi="Arial" w:cs="Arial"/>
                <w:sz w:val="22"/>
                <w:szCs w:val="22"/>
              </w:rPr>
              <w:t xml:space="preserve"> from the application due date</w:t>
            </w:r>
            <w:r w:rsidRPr="00F90DCB">
              <w:rPr>
                <w:rFonts w:ascii="Arial" w:hAnsi="Arial" w:cs="Arial"/>
                <w:sz w:val="22"/>
                <w:szCs w:val="22"/>
              </w:rPr>
              <w:t xml:space="preserve"> is considered.  </w:t>
            </w:r>
          </w:p>
          <w:p w:rsidR="00C15CBF" w:rsidRPr="00F90DCB" w:rsidRDefault="00C15CBF" w:rsidP="00AC2C69">
            <w:pPr>
              <w:ind w:left="162"/>
              <w:rPr>
                <w:rFonts w:ascii="Arial" w:hAnsi="Arial" w:cs="Arial"/>
                <w:sz w:val="22"/>
                <w:szCs w:val="22"/>
              </w:rPr>
            </w:pPr>
          </w:p>
          <w:p w:rsidR="00C15CBF" w:rsidRPr="00F90DCB" w:rsidRDefault="00C15CBF" w:rsidP="00AC2C69">
            <w:pPr>
              <w:ind w:left="162"/>
              <w:rPr>
                <w:rFonts w:ascii="Arial" w:hAnsi="Arial" w:cs="Arial"/>
                <w:sz w:val="22"/>
                <w:szCs w:val="22"/>
              </w:rPr>
            </w:pPr>
            <w:r w:rsidRPr="00F90DCB">
              <w:rPr>
                <w:rFonts w:ascii="Arial" w:hAnsi="Arial" w:cs="Arial"/>
                <w:sz w:val="22"/>
                <w:szCs w:val="22"/>
              </w:rPr>
              <w:t>Sponsor experience in the development and ownership of permanent supportive housing will receive maximum points. Emergency and Transitional housing development and ownership experience will also be considered.</w:t>
            </w:r>
          </w:p>
          <w:p w:rsidR="00C15CBF" w:rsidRPr="00F90DCB" w:rsidRDefault="00C15CBF" w:rsidP="00AC2C69">
            <w:pPr>
              <w:ind w:left="162"/>
              <w:rPr>
                <w:rFonts w:ascii="Arial" w:hAnsi="Arial" w:cs="Arial"/>
                <w:sz w:val="22"/>
                <w:szCs w:val="22"/>
              </w:rPr>
            </w:pPr>
          </w:p>
        </w:tc>
      </w:tr>
      <w:tr w:rsidR="00C15CBF" w:rsidRPr="00F90DCB" w:rsidTr="00AC2C69">
        <w:trPr>
          <w:cantSplit/>
        </w:trPr>
        <w:tc>
          <w:tcPr>
            <w:tcW w:w="3186" w:type="dxa"/>
            <w:vAlign w:val="center"/>
          </w:tcPr>
          <w:p w:rsidR="00C15CBF" w:rsidRPr="00F90DCB" w:rsidRDefault="00C15CBF" w:rsidP="00AC2C69">
            <w:pPr>
              <w:rPr>
                <w:rFonts w:ascii="Arial" w:hAnsi="Arial" w:cs="Arial"/>
                <w:sz w:val="22"/>
                <w:szCs w:val="22"/>
              </w:rPr>
            </w:pPr>
            <w:r w:rsidRPr="00F90DCB">
              <w:rPr>
                <w:rFonts w:ascii="Arial" w:hAnsi="Arial" w:cs="Arial"/>
                <w:sz w:val="22"/>
                <w:szCs w:val="22"/>
              </w:rPr>
              <w:t>Commitment of at Least Three Years of Operating or Rental Subsidy for the Proposed Project</w:t>
            </w:r>
          </w:p>
        </w:tc>
        <w:tc>
          <w:tcPr>
            <w:tcW w:w="1170" w:type="dxa"/>
            <w:vAlign w:val="center"/>
          </w:tcPr>
          <w:p w:rsidR="00C15CBF" w:rsidRPr="00F90DCB" w:rsidRDefault="00C15CBF" w:rsidP="00AC2C69">
            <w:pPr>
              <w:jc w:val="center"/>
              <w:rPr>
                <w:rFonts w:ascii="Arial" w:hAnsi="Arial" w:cs="Arial"/>
                <w:sz w:val="22"/>
                <w:szCs w:val="22"/>
              </w:rPr>
            </w:pPr>
            <w:r w:rsidRPr="00F90DCB">
              <w:rPr>
                <w:rFonts w:ascii="Arial" w:hAnsi="Arial" w:cs="Arial"/>
                <w:sz w:val="22"/>
                <w:szCs w:val="22"/>
              </w:rPr>
              <w:t>50</w:t>
            </w:r>
          </w:p>
        </w:tc>
        <w:tc>
          <w:tcPr>
            <w:tcW w:w="5364" w:type="dxa"/>
          </w:tcPr>
          <w:p w:rsidR="00C15CBF" w:rsidRPr="00F90DCB" w:rsidRDefault="00C15CBF" w:rsidP="00AC2C69">
            <w:pPr>
              <w:ind w:left="162"/>
              <w:rPr>
                <w:rFonts w:ascii="Arial" w:hAnsi="Arial" w:cs="Arial"/>
                <w:sz w:val="22"/>
                <w:szCs w:val="22"/>
              </w:rPr>
            </w:pPr>
          </w:p>
          <w:p w:rsidR="00C15CBF" w:rsidRPr="00F90DCB" w:rsidRDefault="00C15CBF" w:rsidP="00AC2C69">
            <w:pPr>
              <w:ind w:left="162"/>
              <w:rPr>
                <w:rFonts w:ascii="Arial" w:hAnsi="Arial" w:cs="Arial"/>
                <w:sz w:val="22"/>
                <w:szCs w:val="22"/>
              </w:rPr>
            </w:pPr>
            <w:r w:rsidRPr="00F90DCB">
              <w:rPr>
                <w:rFonts w:ascii="Arial" w:hAnsi="Arial" w:cs="Arial"/>
                <w:sz w:val="22"/>
                <w:szCs w:val="22"/>
              </w:rPr>
              <w:t>Documentation of committed financing for all units for a minimum of three years from the HUD Continuum of Care or other funding source will receive maximum points. Commitments for some of units in the Project will receive partial points.</w:t>
            </w:r>
          </w:p>
          <w:p w:rsidR="00C15CBF" w:rsidRPr="00F90DCB" w:rsidRDefault="00C15CBF" w:rsidP="00AC2C69">
            <w:pPr>
              <w:ind w:left="162"/>
              <w:rPr>
                <w:rFonts w:ascii="Arial" w:hAnsi="Arial" w:cs="Arial"/>
                <w:sz w:val="22"/>
                <w:szCs w:val="22"/>
              </w:rPr>
            </w:pPr>
          </w:p>
          <w:p w:rsidR="00C15CBF" w:rsidRPr="00F90DCB" w:rsidRDefault="00C15CBF" w:rsidP="00AC2C69">
            <w:pPr>
              <w:ind w:left="162"/>
              <w:rPr>
                <w:rFonts w:ascii="Arial" w:hAnsi="Arial" w:cs="Arial"/>
                <w:sz w:val="22"/>
                <w:szCs w:val="22"/>
              </w:rPr>
            </w:pPr>
            <w:r w:rsidRPr="00F90DCB">
              <w:rPr>
                <w:rFonts w:ascii="Arial" w:hAnsi="Arial" w:cs="Arial"/>
                <w:sz w:val="22"/>
                <w:szCs w:val="22"/>
              </w:rPr>
              <w:t>For CoC Program funding, points will be awarded if the Project currently receives CoC funding and the CoC has committed to support an application to HUD to convert CoC Transitional Housing funding to CoC Permanent Supportive Housing funding.</w:t>
            </w:r>
          </w:p>
          <w:p w:rsidR="00C15CBF" w:rsidRPr="00F90DCB" w:rsidRDefault="00C15CBF" w:rsidP="00AC2C69">
            <w:pPr>
              <w:ind w:left="162"/>
              <w:rPr>
                <w:rFonts w:ascii="Arial" w:hAnsi="Arial" w:cs="Arial"/>
                <w:sz w:val="22"/>
                <w:szCs w:val="22"/>
              </w:rPr>
            </w:pPr>
          </w:p>
          <w:p w:rsidR="00C15CBF" w:rsidRPr="00F90DCB" w:rsidRDefault="00C15CBF" w:rsidP="00AC2C69">
            <w:pPr>
              <w:ind w:left="162"/>
              <w:rPr>
                <w:rFonts w:ascii="Arial" w:hAnsi="Arial" w:cs="Arial"/>
                <w:sz w:val="22"/>
                <w:szCs w:val="22"/>
              </w:rPr>
            </w:pPr>
            <w:r w:rsidRPr="00F90DCB">
              <w:rPr>
                <w:rFonts w:ascii="Arial" w:hAnsi="Arial" w:cs="Arial"/>
                <w:sz w:val="22"/>
                <w:szCs w:val="22"/>
              </w:rPr>
              <w:t>For sources other than the CoC, documentation must be through a firm letter of commitment from the funding source that indicates the purpose, terms</w:t>
            </w:r>
            <w:r w:rsidR="00DF36E7">
              <w:rPr>
                <w:rFonts w:ascii="Arial" w:hAnsi="Arial" w:cs="Arial"/>
                <w:sz w:val="22"/>
                <w:szCs w:val="22"/>
              </w:rPr>
              <w:t>,</w:t>
            </w:r>
            <w:r w:rsidRPr="00F90DCB">
              <w:rPr>
                <w:rFonts w:ascii="Arial" w:hAnsi="Arial" w:cs="Arial"/>
                <w:sz w:val="22"/>
                <w:szCs w:val="22"/>
              </w:rPr>
              <w:t xml:space="preserve"> and contract amounts. </w:t>
            </w:r>
          </w:p>
          <w:p w:rsidR="00C15CBF" w:rsidRPr="00F90DCB" w:rsidRDefault="00C15CBF" w:rsidP="00AC2C69">
            <w:pPr>
              <w:ind w:left="162"/>
              <w:rPr>
                <w:rFonts w:ascii="Arial" w:hAnsi="Arial" w:cs="Arial"/>
                <w:sz w:val="22"/>
                <w:szCs w:val="22"/>
              </w:rPr>
            </w:pPr>
          </w:p>
          <w:p w:rsidR="00C15CBF" w:rsidRPr="00F90DCB" w:rsidRDefault="00C15CBF" w:rsidP="00AC2C69">
            <w:pPr>
              <w:ind w:left="162"/>
              <w:rPr>
                <w:rFonts w:ascii="Arial" w:hAnsi="Arial" w:cs="Arial"/>
                <w:sz w:val="22"/>
                <w:szCs w:val="22"/>
              </w:rPr>
            </w:pPr>
          </w:p>
        </w:tc>
      </w:tr>
      <w:tr w:rsidR="00C15CBF" w:rsidRPr="00F90DCB" w:rsidTr="00AC2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86" w:type="dxa"/>
            <w:tcBorders>
              <w:top w:val="single" w:sz="4" w:space="0" w:color="auto"/>
              <w:left w:val="single" w:sz="4" w:space="0" w:color="auto"/>
              <w:bottom w:val="single" w:sz="4" w:space="0" w:color="auto"/>
              <w:right w:val="single" w:sz="4" w:space="0" w:color="auto"/>
            </w:tcBorders>
            <w:vAlign w:val="center"/>
          </w:tcPr>
          <w:p w:rsidR="00C15CBF" w:rsidRPr="00F90DCB" w:rsidRDefault="00C15CBF" w:rsidP="00AC2C69">
            <w:pPr>
              <w:rPr>
                <w:rFonts w:ascii="Arial" w:hAnsi="Arial" w:cs="Arial"/>
                <w:sz w:val="22"/>
                <w:szCs w:val="22"/>
              </w:rPr>
            </w:pPr>
            <w:r w:rsidRPr="00F90DCB">
              <w:rPr>
                <w:rFonts w:ascii="Arial" w:hAnsi="Arial" w:cs="Arial"/>
                <w:sz w:val="22"/>
                <w:szCs w:val="22"/>
              </w:rPr>
              <w:t>Commitment of  Capital Financing</w:t>
            </w:r>
          </w:p>
        </w:tc>
        <w:tc>
          <w:tcPr>
            <w:tcW w:w="1170" w:type="dxa"/>
            <w:tcBorders>
              <w:top w:val="single" w:sz="4" w:space="0" w:color="auto"/>
              <w:left w:val="single" w:sz="4" w:space="0" w:color="auto"/>
              <w:bottom w:val="single" w:sz="4" w:space="0" w:color="auto"/>
              <w:right w:val="single" w:sz="4" w:space="0" w:color="auto"/>
            </w:tcBorders>
            <w:vAlign w:val="center"/>
          </w:tcPr>
          <w:p w:rsidR="00C15CBF" w:rsidRPr="00F90DCB" w:rsidRDefault="00C15CBF" w:rsidP="00AC2C69">
            <w:pPr>
              <w:jc w:val="center"/>
              <w:rPr>
                <w:rFonts w:ascii="Arial" w:hAnsi="Arial" w:cs="Arial"/>
                <w:sz w:val="22"/>
                <w:szCs w:val="22"/>
              </w:rPr>
            </w:pPr>
            <w:r w:rsidRPr="00F90DCB">
              <w:rPr>
                <w:rFonts w:ascii="Arial" w:hAnsi="Arial" w:cs="Arial"/>
                <w:sz w:val="22"/>
                <w:szCs w:val="22"/>
              </w:rPr>
              <w:t>25</w:t>
            </w:r>
          </w:p>
        </w:tc>
        <w:tc>
          <w:tcPr>
            <w:tcW w:w="5364" w:type="dxa"/>
            <w:tcBorders>
              <w:top w:val="single" w:sz="4" w:space="0" w:color="auto"/>
              <w:left w:val="single" w:sz="4" w:space="0" w:color="auto"/>
              <w:bottom w:val="single" w:sz="4" w:space="0" w:color="auto"/>
              <w:right w:val="single" w:sz="4" w:space="0" w:color="auto"/>
            </w:tcBorders>
          </w:tcPr>
          <w:p w:rsidR="00C15CBF" w:rsidRPr="00F90DCB" w:rsidRDefault="00C15CBF" w:rsidP="00AC2C69">
            <w:pPr>
              <w:ind w:left="162"/>
              <w:rPr>
                <w:rFonts w:ascii="Arial" w:hAnsi="Arial" w:cs="Arial"/>
                <w:sz w:val="22"/>
                <w:szCs w:val="22"/>
              </w:rPr>
            </w:pPr>
            <w:r w:rsidRPr="00F90DCB">
              <w:rPr>
                <w:rFonts w:ascii="Arial" w:hAnsi="Arial" w:cs="Arial"/>
                <w:sz w:val="22"/>
                <w:szCs w:val="22"/>
              </w:rPr>
              <w:t xml:space="preserve"> </w:t>
            </w:r>
          </w:p>
          <w:p w:rsidR="00C15CBF" w:rsidRPr="00F90DCB" w:rsidRDefault="00C15CBF" w:rsidP="00AC2C69">
            <w:pPr>
              <w:ind w:left="162"/>
              <w:rPr>
                <w:rFonts w:ascii="Arial" w:hAnsi="Arial" w:cs="Arial"/>
                <w:sz w:val="22"/>
                <w:szCs w:val="22"/>
              </w:rPr>
            </w:pPr>
            <w:r w:rsidRPr="00F90DCB">
              <w:rPr>
                <w:rFonts w:ascii="Arial" w:hAnsi="Arial" w:cs="Arial"/>
                <w:sz w:val="22"/>
                <w:szCs w:val="22"/>
              </w:rPr>
              <w:t>For projects where funds in addition to EHAP</w:t>
            </w:r>
            <w:r w:rsidR="00DF36E7">
              <w:rPr>
                <w:rFonts w:ascii="Arial" w:hAnsi="Arial" w:cs="Arial"/>
                <w:sz w:val="22"/>
                <w:szCs w:val="22"/>
              </w:rPr>
              <w:t xml:space="preserve">-CD are needed for rehabilitation or </w:t>
            </w:r>
            <w:r w:rsidRPr="00F90DCB">
              <w:rPr>
                <w:rFonts w:ascii="Arial" w:hAnsi="Arial" w:cs="Arial"/>
                <w:sz w:val="22"/>
                <w:szCs w:val="22"/>
              </w:rPr>
              <w:t xml:space="preserve">conversion activities, points will be awarded based on the percentage of other capital financing committed. </w:t>
            </w:r>
          </w:p>
          <w:p w:rsidR="00C15CBF" w:rsidRPr="00F90DCB" w:rsidRDefault="00C15CBF" w:rsidP="00AC2C69">
            <w:pPr>
              <w:ind w:left="162"/>
              <w:rPr>
                <w:rFonts w:ascii="Arial" w:hAnsi="Arial" w:cs="Arial"/>
                <w:sz w:val="22"/>
                <w:szCs w:val="22"/>
              </w:rPr>
            </w:pPr>
          </w:p>
          <w:p w:rsidR="00C15CBF" w:rsidRPr="00F90DCB" w:rsidRDefault="00C15CBF" w:rsidP="00AC2C69">
            <w:pPr>
              <w:ind w:left="162"/>
              <w:rPr>
                <w:rFonts w:ascii="Arial" w:hAnsi="Arial" w:cs="Arial"/>
                <w:sz w:val="22"/>
                <w:szCs w:val="22"/>
              </w:rPr>
            </w:pPr>
            <w:r w:rsidRPr="00F90DCB">
              <w:rPr>
                <w:rFonts w:ascii="Arial" w:hAnsi="Arial" w:cs="Arial"/>
                <w:sz w:val="22"/>
                <w:szCs w:val="22"/>
              </w:rPr>
              <w:t>Projects where EHAP-CD will provide 100% of the necess</w:t>
            </w:r>
            <w:r w:rsidR="00DF36E7">
              <w:rPr>
                <w:rFonts w:ascii="Arial" w:hAnsi="Arial" w:cs="Arial"/>
                <w:sz w:val="22"/>
                <w:szCs w:val="22"/>
              </w:rPr>
              <w:t>ary capital for rehabilitation or</w:t>
            </w:r>
            <w:r w:rsidRPr="00F90DCB">
              <w:rPr>
                <w:rFonts w:ascii="Arial" w:hAnsi="Arial" w:cs="Arial"/>
                <w:sz w:val="22"/>
                <w:szCs w:val="22"/>
              </w:rPr>
              <w:t xml:space="preserve"> conversion activities, will receive full points in this rating category.</w:t>
            </w:r>
          </w:p>
          <w:p w:rsidR="00C15CBF" w:rsidRPr="00F90DCB" w:rsidRDefault="00C15CBF" w:rsidP="00AC2C69">
            <w:pPr>
              <w:ind w:left="162"/>
              <w:rPr>
                <w:rFonts w:ascii="Arial" w:hAnsi="Arial" w:cs="Arial"/>
                <w:sz w:val="22"/>
                <w:szCs w:val="22"/>
              </w:rPr>
            </w:pPr>
          </w:p>
        </w:tc>
      </w:tr>
      <w:tr w:rsidR="00C15CBF" w:rsidRPr="00F90DCB" w:rsidTr="00AC2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3"/>
        </w:trPr>
        <w:tc>
          <w:tcPr>
            <w:tcW w:w="3186" w:type="dxa"/>
            <w:tcBorders>
              <w:top w:val="single" w:sz="4" w:space="0" w:color="auto"/>
              <w:left w:val="single" w:sz="4" w:space="0" w:color="auto"/>
              <w:bottom w:val="single" w:sz="4" w:space="0" w:color="auto"/>
              <w:right w:val="single" w:sz="4" w:space="0" w:color="auto"/>
            </w:tcBorders>
            <w:vAlign w:val="center"/>
          </w:tcPr>
          <w:p w:rsidR="00DF36E7" w:rsidRDefault="00DF36E7" w:rsidP="00AC2C69">
            <w:pPr>
              <w:rPr>
                <w:rFonts w:ascii="Arial" w:hAnsi="Arial" w:cs="Arial"/>
                <w:sz w:val="22"/>
                <w:szCs w:val="22"/>
              </w:rPr>
            </w:pPr>
          </w:p>
          <w:p w:rsidR="00C15CBF" w:rsidRPr="00F90DCB" w:rsidRDefault="00C15CBF" w:rsidP="00AC2C69">
            <w:pPr>
              <w:rPr>
                <w:rFonts w:ascii="Arial" w:hAnsi="Arial" w:cs="Arial"/>
                <w:sz w:val="22"/>
                <w:szCs w:val="22"/>
              </w:rPr>
            </w:pPr>
            <w:r w:rsidRPr="00F90DCB">
              <w:rPr>
                <w:rFonts w:ascii="Arial" w:hAnsi="Arial" w:cs="Arial"/>
                <w:sz w:val="22"/>
                <w:szCs w:val="22"/>
              </w:rPr>
              <w:t>Project is a current EHAP- CD-funded emergency shelter or transitional housing facility operating in compliance with HCD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15CBF" w:rsidRPr="00F90DCB" w:rsidRDefault="00C15CBF" w:rsidP="00AC2C69">
            <w:pPr>
              <w:jc w:val="center"/>
              <w:rPr>
                <w:rFonts w:ascii="Arial" w:hAnsi="Arial" w:cs="Arial"/>
                <w:sz w:val="22"/>
                <w:szCs w:val="22"/>
              </w:rPr>
            </w:pPr>
            <w:r w:rsidRPr="00F90DCB">
              <w:rPr>
                <w:rFonts w:ascii="Arial" w:hAnsi="Arial" w:cs="Arial"/>
                <w:sz w:val="22"/>
                <w:szCs w:val="22"/>
              </w:rPr>
              <w:t>5</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15CBF" w:rsidRPr="00F90DCB" w:rsidRDefault="00C15CBF" w:rsidP="00AC2C69">
            <w:pPr>
              <w:ind w:left="162"/>
              <w:rPr>
                <w:rFonts w:ascii="Arial" w:hAnsi="Arial" w:cs="Arial"/>
                <w:sz w:val="22"/>
                <w:szCs w:val="22"/>
              </w:rPr>
            </w:pPr>
            <w:r w:rsidRPr="00F90DCB">
              <w:rPr>
                <w:rFonts w:ascii="Arial" w:hAnsi="Arial" w:cs="Arial"/>
                <w:sz w:val="22"/>
                <w:szCs w:val="22"/>
              </w:rPr>
              <w:t xml:space="preserve"> </w:t>
            </w:r>
          </w:p>
          <w:p w:rsidR="00C15CBF" w:rsidRPr="00F90DCB" w:rsidRDefault="00C15CBF" w:rsidP="00AC2C69">
            <w:pPr>
              <w:ind w:left="162"/>
              <w:rPr>
                <w:rFonts w:ascii="Arial" w:hAnsi="Arial" w:cs="Arial"/>
                <w:sz w:val="22"/>
                <w:szCs w:val="22"/>
              </w:rPr>
            </w:pPr>
            <w:r w:rsidRPr="00F90DCB">
              <w:rPr>
                <w:rFonts w:ascii="Arial" w:hAnsi="Arial" w:cs="Arial"/>
                <w:sz w:val="22"/>
                <w:szCs w:val="22"/>
              </w:rPr>
              <w:t>Applicant will attach evidence of current EHAP</w:t>
            </w:r>
            <w:r w:rsidR="00DF36E7">
              <w:rPr>
                <w:rFonts w:ascii="Arial" w:hAnsi="Arial" w:cs="Arial"/>
                <w:sz w:val="22"/>
                <w:szCs w:val="22"/>
              </w:rPr>
              <w:t>-</w:t>
            </w:r>
            <w:r w:rsidRPr="00F90DCB">
              <w:rPr>
                <w:rFonts w:ascii="Arial" w:hAnsi="Arial" w:cs="Arial"/>
                <w:sz w:val="22"/>
                <w:szCs w:val="22"/>
              </w:rPr>
              <w:t>CD loan; HCD will verify.</w:t>
            </w:r>
          </w:p>
          <w:p w:rsidR="00C15CBF" w:rsidRPr="00F90DCB" w:rsidRDefault="00C15CBF" w:rsidP="00AC2C69">
            <w:pPr>
              <w:ind w:left="162"/>
              <w:rPr>
                <w:rFonts w:ascii="Arial" w:hAnsi="Arial" w:cs="Arial"/>
                <w:sz w:val="22"/>
                <w:szCs w:val="22"/>
              </w:rPr>
            </w:pPr>
          </w:p>
        </w:tc>
      </w:tr>
      <w:tr w:rsidR="00C15CBF" w:rsidRPr="00F90DCB" w:rsidTr="00AC2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86" w:type="dxa"/>
            <w:tcBorders>
              <w:top w:val="single" w:sz="2" w:space="0" w:color="auto"/>
              <w:left w:val="single" w:sz="4" w:space="0" w:color="auto"/>
              <w:bottom w:val="single" w:sz="4" w:space="0" w:color="auto"/>
              <w:right w:val="single" w:sz="4" w:space="0" w:color="auto"/>
            </w:tcBorders>
            <w:vAlign w:val="center"/>
          </w:tcPr>
          <w:p w:rsidR="00C15CBF" w:rsidRPr="00F90DCB" w:rsidRDefault="00C15CBF" w:rsidP="00AC2C69">
            <w:pPr>
              <w:ind w:left="180"/>
              <w:jc w:val="right"/>
              <w:rPr>
                <w:rFonts w:ascii="Arial" w:hAnsi="Arial" w:cs="Arial"/>
                <w:sz w:val="22"/>
                <w:szCs w:val="22"/>
              </w:rPr>
            </w:pPr>
            <w:r w:rsidRPr="00F90DCB">
              <w:rPr>
                <w:rFonts w:ascii="Arial" w:hAnsi="Arial" w:cs="Arial"/>
                <w:sz w:val="22"/>
                <w:szCs w:val="22"/>
              </w:rPr>
              <w:t>Total Maximum Points</w:t>
            </w:r>
          </w:p>
        </w:tc>
        <w:tc>
          <w:tcPr>
            <w:tcW w:w="1170" w:type="dxa"/>
            <w:tcBorders>
              <w:top w:val="single" w:sz="2" w:space="0" w:color="auto"/>
              <w:left w:val="single" w:sz="4" w:space="0" w:color="auto"/>
              <w:bottom w:val="single" w:sz="4" w:space="0" w:color="auto"/>
              <w:right w:val="single" w:sz="4" w:space="0" w:color="auto"/>
            </w:tcBorders>
            <w:vAlign w:val="center"/>
          </w:tcPr>
          <w:p w:rsidR="00C15CBF" w:rsidRPr="00F90DCB" w:rsidRDefault="00C15CBF" w:rsidP="00AC2C69">
            <w:pPr>
              <w:jc w:val="center"/>
              <w:rPr>
                <w:rFonts w:ascii="Arial" w:hAnsi="Arial" w:cs="Arial"/>
                <w:sz w:val="22"/>
                <w:szCs w:val="22"/>
              </w:rPr>
            </w:pPr>
            <w:r w:rsidRPr="00F90DCB">
              <w:rPr>
                <w:rFonts w:ascii="Arial" w:hAnsi="Arial" w:cs="Arial"/>
                <w:sz w:val="22"/>
                <w:szCs w:val="22"/>
              </w:rPr>
              <w:t>130</w:t>
            </w:r>
          </w:p>
        </w:tc>
        <w:tc>
          <w:tcPr>
            <w:tcW w:w="5364" w:type="dxa"/>
            <w:tcBorders>
              <w:top w:val="single" w:sz="2" w:space="0" w:color="auto"/>
              <w:left w:val="single" w:sz="4" w:space="0" w:color="auto"/>
              <w:bottom w:val="single" w:sz="4" w:space="0" w:color="auto"/>
              <w:right w:val="single" w:sz="4" w:space="0" w:color="auto"/>
            </w:tcBorders>
          </w:tcPr>
          <w:p w:rsidR="00C15CBF" w:rsidRPr="00F90DCB" w:rsidRDefault="00C15CBF" w:rsidP="00AC2C69">
            <w:pPr>
              <w:ind w:left="162"/>
              <w:rPr>
                <w:rFonts w:ascii="Arial" w:hAnsi="Arial" w:cs="Arial"/>
                <w:sz w:val="22"/>
                <w:szCs w:val="22"/>
              </w:rPr>
            </w:pPr>
          </w:p>
        </w:tc>
      </w:tr>
    </w:tbl>
    <w:p w:rsidR="00C15CBF" w:rsidRDefault="00C15CBF" w:rsidP="00C15CBF">
      <w:pPr>
        <w:ind w:left="360"/>
        <w:rPr>
          <w:rFonts w:ascii="Arial" w:hAnsi="Arial" w:cs="Arial"/>
          <w:b/>
          <w:szCs w:val="22"/>
        </w:rPr>
      </w:pPr>
    </w:p>
    <w:p w:rsidR="00C15CBF" w:rsidRDefault="00C15CBF" w:rsidP="00C15CBF">
      <w:pPr>
        <w:ind w:left="360"/>
        <w:rPr>
          <w:rFonts w:ascii="Arial" w:hAnsi="Arial" w:cs="Arial"/>
          <w:b/>
          <w:szCs w:val="22"/>
        </w:rPr>
      </w:pPr>
    </w:p>
    <w:p w:rsidR="00C15CBF" w:rsidRPr="009845BF" w:rsidRDefault="00B15324" w:rsidP="00C15CBF">
      <w:pPr>
        <w:ind w:left="360"/>
        <w:rPr>
          <w:rFonts w:ascii="Times New Roman" w:hAnsi="Times New Roman"/>
          <w:strike/>
          <w:sz w:val="22"/>
        </w:rPr>
      </w:pPr>
      <w:r>
        <w:rPr>
          <w:rFonts w:ascii="Arial" w:hAnsi="Arial" w:cs="Arial"/>
          <w:b/>
          <w:szCs w:val="22"/>
        </w:rPr>
        <w:t>Tieb</w:t>
      </w:r>
      <w:r w:rsidR="00C15CBF" w:rsidRPr="009845BF">
        <w:rPr>
          <w:rFonts w:ascii="Arial" w:hAnsi="Arial" w:cs="Arial"/>
          <w:b/>
          <w:szCs w:val="22"/>
        </w:rPr>
        <w:t xml:space="preserve">reaker:  </w:t>
      </w:r>
      <w:r w:rsidR="00C15CBF" w:rsidRPr="009845BF">
        <w:rPr>
          <w:rFonts w:ascii="Arial" w:hAnsi="Arial" w:cs="Arial"/>
          <w:color w:val="000000"/>
          <w:szCs w:val="22"/>
        </w:rPr>
        <w:t xml:space="preserve">In the event of tied point scores, the tied </w:t>
      </w:r>
      <w:r w:rsidR="00C15CBF" w:rsidRPr="009845BF">
        <w:rPr>
          <w:rFonts w:ascii="Arial" w:hAnsi="Arial" w:cs="Arial"/>
          <w:szCs w:val="22"/>
        </w:rPr>
        <w:t xml:space="preserve">project with the highest percentage of project funds committed, including capital, rental subsidy, and </w:t>
      </w:r>
      <w:r w:rsidR="00C15CBF">
        <w:rPr>
          <w:rFonts w:ascii="Arial" w:hAnsi="Arial" w:cs="Arial"/>
          <w:szCs w:val="22"/>
        </w:rPr>
        <w:t>operating</w:t>
      </w:r>
      <w:r w:rsidR="00C15CBF" w:rsidRPr="009845BF">
        <w:rPr>
          <w:rFonts w:ascii="Arial" w:hAnsi="Arial" w:cs="Arial"/>
          <w:szCs w:val="22"/>
        </w:rPr>
        <w:t xml:space="preserve"> funds, will receive an award. </w:t>
      </w:r>
    </w:p>
    <w:p w:rsidR="00C15CBF" w:rsidRPr="009845BF" w:rsidRDefault="00C15CBF" w:rsidP="00C15CBF">
      <w:pPr>
        <w:ind w:left="720"/>
        <w:rPr>
          <w:rFonts w:ascii="Times New Roman" w:hAnsi="Times New Roman"/>
          <w:strike/>
          <w:sz w:val="22"/>
        </w:rPr>
      </w:pPr>
    </w:p>
    <w:p w:rsidR="00C15CBF" w:rsidRPr="00DD5011" w:rsidRDefault="00C15CBF" w:rsidP="00C15CBF">
      <w:pPr>
        <w:ind w:left="450"/>
        <w:rPr>
          <w:rFonts w:ascii="Arial" w:hAnsi="Arial" w:cs="Arial"/>
        </w:rPr>
      </w:pPr>
      <w:r w:rsidRPr="00DD5011">
        <w:rPr>
          <w:rFonts w:ascii="Arial" w:hAnsi="Arial" w:cs="Arial"/>
        </w:rPr>
        <w:t xml:space="preserve">The Department may request clarification of unclear or ambiguous documents and/or statements provided in the application where doing so will not impact the neutral evaluation of the application.  The Department may request that an Applicant revise any of the application documents as necessary to establish threshold compliance as long as such revisions do not alter scoring, which may include, but is not limited to, adjustments made to the amount of funding requested.  The Department may request submission of documentation if the documentation existed prior to the application deadline and the submission of the documentation is necessary but does not alter the scoring.       </w:t>
      </w:r>
    </w:p>
    <w:p w:rsidR="00C15CBF" w:rsidRPr="00DD5011" w:rsidRDefault="00C15CBF" w:rsidP="00C15CBF">
      <w:pPr>
        <w:ind w:left="450"/>
        <w:rPr>
          <w:rFonts w:ascii="Arial" w:hAnsi="Arial" w:cs="Arial"/>
        </w:rPr>
      </w:pPr>
    </w:p>
    <w:p w:rsidR="00C15CBF" w:rsidRDefault="00C15CBF" w:rsidP="00C15CBF">
      <w:pPr>
        <w:ind w:left="720"/>
        <w:rPr>
          <w:rFonts w:ascii="Times New Roman" w:hAnsi="Times New Roman"/>
          <w:sz w:val="22"/>
        </w:rPr>
      </w:pPr>
    </w:p>
    <w:p w:rsidR="00C15CBF" w:rsidRDefault="00C15CBF" w:rsidP="00C15CBF">
      <w:pPr>
        <w:tabs>
          <w:tab w:val="left" w:pos="360"/>
          <w:tab w:val="left" w:pos="1440"/>
        </w:tabs>
        <w:rPr>
          <w:rFonts w:ascii="Times New Roman" w:hAnsi="Times New Roman"/>
          <w:b/>
          <w:sz w:val="22"/>
          <w:u w:val="single"/>
        </w:rPr>
      </w:pPr>
      <w:r>
        <w:rPr>
          <w:rFonts w:ascii="Arial Bold" w:hAnsi="Arial Bold"/>
          <w:b/>
        </w:rPr>
        <w:t>U</w:t>
      </w:r>
      <w:r w:rsidRPr="002414D6">
        <w:rPr>
          <w:rFonts w:ascii="Arial Bold" w:hAnsi="Arial Bold"/>
          <w:b/>
        </w:rPr>
        <w:t>.</w:t>
      </w:r>
      <w:r w:rsidRPr="002414D6">
        <w:rPr>
          <w:rFonts w:ascii="Arial Bold" w:hAnsi="Arial Bold"/>
          <w:b/>
        </w:rPr>
        <w:tab/>
      </w:r>
      <w:r w:rsidRPr="00CA7BD1">
        <w:rPr>
          <w:rFonts w:ascii="Arial" w:hAnsi="Arial" w:cs="Arial"/>
          <w:b/>
          <w:szCs w:val="22"/>
          <w:u w:val="single"/>
        </w:rPr>
        <w:t>Disclosure of Application</w:t>
      </w:r>
    </w:p>
    <w:p w:rsidR="00C15CBF" w:rsidRDefault="00C15CBF" w:rsidP="00C15CBF">
      <w:pPr>
        <w:ind w:left="360"/>
        <w:rPr>
          <w:rFonts w:ascii="Arial" w:hAnsi="Arial"/>
        </w:rPr>
      </w:pPr>
    </w:p>
    <w:p w:rsidR="00C15CBF" w:rsidRDefault="00C15CBF" w:rsidP="00C15CBF">
      <w:pPr>
        <w:ind w:left="360"/>
        <w:rPr>
          <w:rFonts w:ascii="Arial" w:hAnsi="Arial"/>
          <w:spacing w:val="-3"/>
        </w:rPr>
      </w:pPr>
      <w:r w:rsidRPr="00755FDC">
        <w:rPr>
          <w:rFonts w:ascii="Arial" w:hAnsi="Arial"/>
        </w:rPr>
        <w:t xml:space="preserve">Information provided in this application will become a public record available for review by the public pursuant to the Public Records Act.  As such, any materials provided will be disclosed to any person making a valid public records request.  As such, we caution you to use discretion in providing us with information that is not specifically requested, including but not limited to, bank account numbers, personal phone numbers and home addresses.  By providing this information to HCD, the Sponsor is waiving any claim of confidentiality and consents to the disclosure of all submitted material upon request.  </w:t>
      </w:r>
    </w:p>
    <w:p w:rsidR="00C15CBF" w:rsidRPr="000E1355" w:rsidRDefault="00C15CBF" w:rsidP="00C15CBF">
      <w:pPr>
        <w:jc w:val="center"/>
        <w:rPr>
          <w:rFonts w:ascii="Arial Bold" w:hAnsi="Arial Bold" w:cs="Arial"/>
          <w:b/>
          <w:sz w:val="36"/>
          <w:szCs w:val="36"/>
        </w:rPr>
      </w:pPr>
      <w:r>
        <w:rPr>
          <w:rFonts w:ascii="Arial Bold" w:hAnsi="Arial Bold" w:cs="Arial"/>
          <w:b/>
          <w:spacing w:val="-3"/>
          <w:sz w:val="36"/>
          <w:szCs w:val="22"/>
        </w:rPr>
        <w:br w:type="page"/>
      </w:r>
      <w:r w:rsidRPr="000E1355">
        <w:rPr>
          <w:rFonts w:ascii="Arial Bold" w:hAnsi="Arial Bold" w:cs="Arial"/>
          <w:b/>
          <w:sz w:val="36"/>
          <w:szCs w:val="36"/>
        </w:rPr>
        <w:lastRenderedPageBreak/>
        <w:t xml:space="preserve"> </w:t>
      </w:r>
    </w:p>
    <w:p w:rsidR="00C15CBF" w:rsidRPr="000E1355" w:rsidRDefault="00C15CBF" w:rsidP="00C15CBF">
      <w:pPr>
        <w:jc w:val="center"/>
        <w:rPr>
          <w:rFonts w:ascii="Arial Bold" w:hAnsi="Arial Bold" w:cs="Arial"/>
          <w:b/>
          <w:sz w:val="36"/>
          <w:szCs w:val="36"/>
        </w:rPr>
      </w:pPr>
      <w:r>
        <w:rPr>
          <w:rFonts w:ascii="Arial Bold" w:hAnsi="Arial Bold" w:cs="Arial"/>
          <w:b/>
          <w:sz w:val="36"/>
          <w:szCs w:val="36"/>
        </w:rPr>
        <w:t>Attachment 1</w:t>
      </w:r>
    </w:p>
    <w:p w:rsidR="00C15CBF" w:rsidRDefault="00C15CBF" w:rsidP="00C15CBF">
      <w:pPr>
        <w:rPr>
          <w:rFonts w:ascii="Arial Bold" w:hAnsi="Arial Bold" w:cs="Arial"/>
          <w:b/>
        </w:rPr>
      </w:pPr>
    </w:p>
    <w:p w:rsidR="00C15CBF" w:rsidRDefault="00C15CBF" w:rsidP="00C15CBF">
      <w:pPr>
        <w:rPr>
          <w:rFonts w:ascii="Arial Bold" w:hAnsi="Arial Bold" w:cs="Arial"/>
          <w:b/>
        </w:rPr>
      </w:pPr>
    </w:p>
    <w:p w:rsidR="00C15CBF" w:rsidRPr="000E1355" w:rsidRDefault="00C15CBF" w:rsidP="00C15CBF">
      <w:pPr>
        <w:jc w:val="center"/>
        <w:rPr>
          <w:rFonts w:ascii="Arial" w:hAnsi="Arial" w:cs="Arial"/>
          <w:b/>
          <w:sz w:val="36"/>
          <w:szCs w:val="36"/>
        </w:rPr>
      </w:pPr>
      <w:r w:rsidRPr="000E1355">
        <w:rPr>
          <w:rFonts w:ascii="Arial" w:hAnsi="Arial" w:cs="Arial"/>
          <w:b/>
          <w:sz w:val="36"/>
          <w:szCs w:val="36"/>
        </w:rPr>
        <w:t>URBAN / NON-URBAN</w:t>
      </w:r>
      <w:r w:rsidRPr="000E1355">
        <w:rPr>
          <w:rFonts w:ascii="Arial" w:hAnsi="Arial" w:cs="Arial"/>
          <w:sz w:val="36"/>
          <w:szCs w:val="36"/>
        </w:rPr>
        <w:t xml:space="preserve"> </w:t>
      </w:r>
      <w:r w:rsidRPr="000E1355">
        <w:rPr>
          <w:rFonts w:ascii="Arial" w:hAnsi="Arial" w:cs="Arial"/>
          <w:b/>
          <w:sz w:val="36"/>
          <w:szCs w:val="36"/>
        </w:rPr>
        <w:t>COUNTIES LIST</w:t>
      </w:r>
    </w:p>
    <w:p w:rsidR="00C15CBF" w:rsidRPr="000E1355" w:rsidRDefault="00C15CBF" w:rsidP="00C15CBF">
      <w:pPr>
        <w:ind w:left="3600"/>
        <w:jc w:val="center"/>
        <w:rPr>
          <w:rFonts w:ascii="Arial" w:hAnsi="Arial" w:cs="Arial"/>
        </w:rPr>
      </w:pPr>
    </w:p>
    <w:tbl>
      <w:tblPr>
        <w:tblW w:w="8640" w:type="dxa"/>
        <w:tblInd w:w="774" w:type="dxa"/>
        <w:tblLayout w:type="fixed"/>
        <w:tblCellMar>
          <w:left w:w="54" w:type="dxa"/>
          <w:right w:w="54" w:type="dxa"/>
        </w:tblCellMar>
        <w:tblLook w:val="04A0" w:firstRow="1" w:lastRow="0" w:firstColumn="1" w:lastColumn="0" w:noHBand="0" w:noVBand="1"/>
      </w:tblPr>
      <w:tblGrid>
        <w:gridCol w:w="4500"/>
        <w:gridCol w:w="4140"/>
      </w:tblGrid>
      <w:tr w:rsidR="00C15CBF" w:rsidRPr="00DD5011" w:rsidTr="00AC2C69">
        <w:trPr>
          <w:trHeight w:val="315"/>
        </w:trPr>
        <w:tc>
          <w:tcPr>
            <w:tcW w:w="4500" w:type="dxa"/>
            <w:hideMark/>
          </w:tcPr>
          <w:p w:rsidR="00C15CBF" w:rsidRPr="00DD5011" w:rsidRDefault="00C15CBF" w:rsidP="00AC2C69">
            <w:pPr>
              <w:widowControl w:val="0"/>
              <w:rPr>
                <w:rFonts w:ascii="Arial" w:hAnsi="Arial" w:cs="Arial"/>
                <w:b/>
                <w:bCs/>
                <w:u w:val="single"/>
              </w:rPr>
            </w:pPr>
            <w:r w:rsidRPr="00DD5011">
              <w:rPr>
                <w:rFonts w:ascii="Arial" w:hAnsi="Arial" w:cs="Arial"/>
                <w:b/>
                <w:bCs/>
                <w:u w:val="single"/>
              </w:rPr>
              <w:t>URBAN</w:t>
            </w:r>
          </w:p>
        </w:tc>
        <w:tc>
          <w:tcPr>
            <w:tcW w:w="4140" w:type="dxa"/>
            <w:hideMark/>
          </w:tcPr>
          <w:p w:rsidR="00C15CBF" w:rsidRPr="00DD5011" w:rsidRDefault="00C15CBF" w:rsidP="00AC2C69">
            <w:pPr>
              <w:widowControl w:val="0"/>
              <w:rPr>
                <w:rFonts w:ascii="Arial" w:hAnsi="Arial" w:cs="Arial"/>
                <w:b/>
                <w:bCs/>
                <w:u w:val="single"/>
              </w:rPr>
            </w:pPr>
            <w:r w:rsidRPr="00DD5011">
              <w:rPr>
                <w:rFonts w:ascii="Arial" w:hAnsi="Arial" w:cs="Arial"/>
                <w:b/>
                <w:bCs/>
                <w:u w:val="single"/>
              </w:rPr>
              <w:t xml:space="preserve">NON-URBAN </w:t>
            </w:r>
          </w:p>
        </w:tc>
      </w:tr>
      <w:tr w:rsidR="00C15CBF" w:rsidRPr="00DD5011" w:rsidTr="00AC2C69">
        <w:trPr>
          <w:trHeight w:val="315"/>
        </w:trPr>
        <w:tc>
          <w:tcPr>
            <w:tcW w:w="4500" w:type="dxa"/>
          </w:tcPr>
          <w:p w:rsidR="00C15CBF" w:rsidRPr="00DD5011" w:rsidRDefault="00C15CBF" w:rsidP="00AC2C69">
            <w:pPr>
              <w:widowControl w:val="0"/>
              <w:rPr>
                <w:rFonts w:ascii="Arial" w:hAnsi="Arial" w:cs="Arial"/>
              </w:rPr>
            </w:pPr>
          </w:p>
        </w:tc>
        <w:tc>
          <w:tcPr>
            <w:tcW w:w="4140" w:type="dxa"/>
          </w:tcPr>
          <w:p w:rsidR="00C15CBF" w:rsidRPr="00DD5011" w:rsidRDefault="00C15CBF" w:rsidP="00AC2C69">
            <w:pPr>
              <w:widowControl w:val="0"/>
              <w:rPr>
                <w:rFonts w:ascii="Arial" w:hAnsi="Arial" w:cs="Arial"/>
              </w:rPr>
            </w:pP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Alameda</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Alpine</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 xml:space="preserve">Butte </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Amador</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Contra Costa</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Calaveras</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Fresno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Colusa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 xml:space="preserve">Kern </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Del Norte</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Los Angeles</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El Dorado</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Marin</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Glenn</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Merced</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Humboldt</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Monterey</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 xml:space="preserve">Imperial </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Orange</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Inyo</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 xml:space="preserve">Placer </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 xml:space="preserve">Kings </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Riverside</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Lake</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Sacramento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Lassen</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 Bernardino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Madera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 Diego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Mariposa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 Francisco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Mendocino</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 Joaquin</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Modoc</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 Luis Obispo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Mono</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 Mateo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Napa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Santa Barbara</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Nevada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Santa Clara</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Plumas</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Santa Cruz</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San Benito</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Solano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Shasta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Sonoma</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Sierra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Stanislaus</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Siskiyou</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Tulare</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Sutter</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Ventura</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Tehama</w:t>
            </w:r>
          </w:p>
        </w:tc>
      </w:tr>
      <w:tr w:rsidR="00C15CBF" w:rsidRPr="00DD5011" w:rsidTr="00AC2C69">
        <w:trPr>
          <w:trHeight w:val="315"/>
        </w:trPr>
        <w:tc>
          <w:tcPr>
            <w:tcW w:w="4500" w:type="dxa"/>
            <w:hideMark/>
          </w:tcPr>
          <w:p w:rsidR="00C15CBF" w:rsidRPr="00DD5011" w:rsidRDefault="00C15CBF" w:rsidP="00AC2C69">
            <w:pPr>
              <w:widowControl w:val="0"/>
              <w:rPr>
                <w:rFonts w:ascii="Arial" w:hAnsi="Arial" w:cs="Arial"/>
              </w:rPr>
            </w:pPr>
            <w:r w:rsidRPr="00DD5011">
              <w:rPr>
                <w:rFonts w:ascii="Arial" w:hAnsi="Arial" w:cs="Arial"/>
              </w:rPr>
              <w:t>Yolo</w:t>
            </w: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Trinity</w:t>
            </w:r>
          </w:p>
        </w:tc>
      </w:tr>
      <w:tr w:rsidR="00C15CBF" w:rsidRPr="00DD5011" w:rsidTr="00AC2C69">
        <w:trPr>
          <w:trHeight w:val="315"/>
        </w:trPr>
        <w:tc>
          <w:tcPr>
            <w:tcW w:w="4500" w:type="dxa"/>
          </w:tcPr>
          <w:p w:rsidR="00C15CBF" w:rsidRPr="00DD5011" w:rsidRDefault="00C15CBF" w:rsidP="00AC2C69">
            <w:pPr>
              <w:widowControl w:val="0"/>
              <w:rPr>
                <w:rFonts w:ascii="Arial" w:hAnsi="Arial" w:cs="Arial"/>
              </w:rPr>
            </w:pP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Tuolumne</w:t>
            </w:r>
          </w:p>
        </w:tc>
      </w:tr>
      <w:tr w:rsidR="00C15CBF" w:rsidRPr="00DD5011" w:rsidTr="00AC2C69">
        <w:trPr>
          <w:trHeight w:val="315"/>
        </w:trPr>
        <w:tc>
          <w:tcPr>
            <w:tcW w:w="4500" w:type="dxa"/>
          </w:tcPr>
          <w:p w:rsidR="00C15CBF" w:rsidRPr="00DD5011" w:rsidRDefault="00C15CBF" w:rsidP="00AC2C69">
            <w:pPr>
              <w:widowControl w:val="0"/>
              <w:rPr>
                <w:rFonts w:ascii="Arial" w:hAnsi="Arial" w:cs="Arial"/>
              </w:rPr>
            </w:pPr>
          </w:p>
        </w:tc>
        <w:tc>
          <w:tcPr>
            <w:tcW w:w="4140" w:type="dxa"/>
            <w:hideMark/>
          </w:tcPr>
          <w:p w:rsidR="00C15CBF" w:rsidRPr="00DD5011" w:rsidRDefault="00C15CBF" w:rsidP="00AC2C69">
            <w:pPr>
              <w:widowControl w:val="0"/>
              <w:rPr>
                <w:rFonts w:ascii="Arial" w:hAnsi="Arial" w:cs="Arial"/>
              </w:rPr>
            </w:pPr>
            <w:r w:rsidRPr="00DD5011">
              <w:rPr>
                <w:rFonts w:ascii="Arial" w:hAnsi="Arial" w:cs="Arial"/>
              </w:rPr>
              <w:t>Yuba</w:t>
            </w:r>
          </w:p>
        </w:tc>
      </w:tr>
    </w:tbl>
    <w:p w:rsidR="00E9123B" w:rsidRDefault="00E9123B"/>
    <w:sectPr w:rsidR="00E9123B" w:rsidSect="00C15CB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69" w:rsidRDefault="00AC2C69" w:rsidP="00C15CBF">
      <w:r>
        <w:separator/>
      </w:r>
    </w:p>
  </w:endnote>
  <w:endnote w:type="continuationSeparator" w:id="0">
    <w:p w:rsidR="00AC2C69" w:rsidRDefault="00AC2C69" w:rsidP="00C1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69" w:rsidRDefault="00AC2C69" w:rsidP="00AC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C2C69" w:rsidRDefault="00AC2C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69" w:rsidRDefault="00AC2C69">
    <w:pPr>
      <w:pStyle w:val="Footer"/>
    </w:pPr>
    <w:r>
      <w:t>EHAP</w:t>
    </w:r>
    <w:r w:rsidR="004E678C">
      <w:t>-</w:t>
    </w:r>
    <w:r>
      <w:t>CD Conversion NOFA</w:t>
    </w:r>
    <w:r>
      <w:ptab w:relativeTo="margin" w:alignment="center" w:leader="none"/>
    </w:r>
    <w:r>
      <w:fldChar w:fldCharType="begin"/>
    </w:r>
    <w:r>
      <w:instrText xml:space="preserve"> PAGE   \* MERGEFORMAT </w:instrText>
    </w:r>
    <w:r>
      <w:fldChar w:fldCharType="separate"/>
    </w:r>
    <w:r w:rsidR="004456A0">
      <w:rPr>
        <w:noProof/>
      </w:rPr>
      <w:t>1</w:t>
    </w:r>
    <w:r>
      <w:rPr>
        <w:noProof/>
      </w:rPr>
      <w:fldChar w:fldCharType="end"/>
    </w:r>
    <w:r>
      <w:ptab w:relativeTo="margin" w:alignment="right" w:leader="none"/>
    </w:r>
    <w:r>
      <w:t>February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69" w:rsidRDefault="00AC2C69">
    <w:pPr>
      <w:pStyle w:val="Footer"/>
    </w:pPr>
    <w:r>
      <w:t>EHAPCD</w:t>
    </w:r>
    <w:r>
      <w:ptab w:relativeTo="margin" w:alignment="center" w:leader="none"/>
    </w:r>
    <w:r>
      <w:fldChar w:fldCharType="begin"/>
    </w:r>
    <w:r>
      <w:instrText xml:space="preserve"> PAGE   \* MERGEFORMAT </w:instrText>
    </w:r>
    <w:r>
      <w:fldChar w:fldCharType="separate"/>
    </w:r>
    <w:r w:rsidR="00AF4167">
      <w:rPr>
        <w:noProof/>
      </w:rPr>
      <w:t>3</w:t>
    </w:r>
    <w:r>
      <w:rPr>
        <w:noProof/>
      </w:rPr>
      <w:fldChar w:fldCharType="end"/>
    </w:r>
    <w:r>
      <w:ptab w:relativeTo="margin" w:alignment="right" w:leader="none"/>
    </w:r>
    <w:r>
      <w:t>February 10,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69" w:rsidRDefault="00AC2C69" w:rsidP="00C15CBF">
      <w:r>
        <w:separator/>
      </w:r>
    </w:p>
  </w:footnote>
  <w:footnote w:type="continuationSeparator" w:id="0">
    <w:p w:rsidR="00AC2C69" w:rsidRDefault="00AC2C69" w:rsidP="00C15CBF">
      <w:r>
        <w:continuationSeparator/>
      </w:r>
    </w:p>
  </w:footnote>
  <w:footnote w:id="1">
    <w:p w:rsidR="004C00FE" w:rsidRDefault="004C00FE">
      <w:pPr>
        <w:pStyle w:val="FootnoteText"/>
      </w:pPr>
      <w:r w:rsidRPr="00A54EC7">
        <w:rPr>
          <w:rStyle w:val="FootnoteReference"/>
          <w:rFonts w:ascii="Arial" w:hAnsi="Arial" w:cs="Arial"/>
          <w:sz w:val="20"/>
        </w:rPr>
        <w:footnoteRef/>
      </w:r>
      <w:r w:rsidRPr="00A54EC7">
        <w:rPr>
          <w:rFonts w:ascii="Arial" w:hAnsi="Arial" w:cs="Arial"/>
          <w:sz w:val="20"/>
        </w:rPr>
        <w:t xml:space="preserve"> </w:t>
      </w:r>
      <w:r w:rsidR="00A54EC7" w:rsidRPr="00A54EC7">
        <w:rPr>
          <w:rFonts w:ascii="Arial" w:hAnsi="Arial" w:cs="Arial"/>
          <w:sz w:val="20"/>
        </w:rPr>
        <w:t>For purposes of calculating the</w:t>
      </w:r>
      <w:r w:rsidR="008C75B4">
        <w:t xml:space="preserve"> </w:t>
      </w:r>
      <w:r w:rsidR="00A54EC7">
        <w:rPr>
          <w:rFonts w:ascii="Arial" w:hAnsi="Arial" w:cs="Arial"/>
          <w:sz w:val="20"/>
        </w:rPr>
        <w:t>minimum replacement reserve deposit, t</w:t>
      </w:r>
      <w:r w:rsidRPr="004C00FE">
        <w:rPr>
          <w:rFonts w:ascii="Arial" w:hAnsi="Arial" w:cs="Arial"/>
          <w:sz w:val="20"/>
        </w:rPr>
        <w:t>hese project</w:t>
      </w:r>
      <w:r>
        <w:rPr>
          <w:rFonts w:ascii="Arial" w:hAnsi="Arial" w:cs="Arial"/>
          <w:sz w:val="20"/>
        </w:rPr>
        <w:t>s</w:t>
      </w:r>
      <w:r w:rsidR="00500644">
        <w:rPr>
          <w:rFonts w:ascii="Arial" w:hAnsi="Arial" w:cs="Arial"/>
          <w:sz w:val="20"/>
        </w:rPr>
        <w:t xml:space="preserve"> have a per unit construction cost </w:t>
      </w:r>
      <w:r w:rsidR="00500644" w:rsidRPr="00500644">
        <w:rPr>
          <w:rFonts w:ascii="Arial" w:hAnsi="Arial" w:cs="Arial"/>
          <w:sz w:val="20"/>
        </w:rPr>
        <w:t xml:space="preserve">(excluding contractor profit and overhead) </w:t>
      </w:r>
      <w:r w:rsidR="00500644">
        <w:rPr>
          <w:rFonts w:ascii="Arial" w:hAnsi="Arial" w:cs="Arial"/>
          <w:sz w:val="20"/>
        </w:rPr>
        <w:t xml:space="preserve">of over </w:t>
      </w:r>
      <w:r w:rsidR="00500644" w:rsidRPr="00500644">
        <w:rPr>
          <w:rFonts w:ascii="Arial" w:hAnsi="Arial" w:cs="Arial"/>
          <w:sz w:val="20"/>
        </w:rPr>
        <w:t>$35,000 per unit</w:t>
      </w:r>
      <w:r w:rsidR="00A54EC7">
        <w:rPr>
          <w:rFonts w:ascii="Arial" w:hAnsi="Arial" w:cs="Arial"/>
          <w:sz w:val="20"/>
        </w:rPr>
        <w:t>.</w:t>
      </w:r>
    </w:p>
  </w:footnote>
  <w:footnote w:id="2">
    <w:p w:rsidR="00A54EC7" w:rsidRDefault="00A54EC7">
      <w:pPr>
        <w:pStyle w:val="FootnoteText"/>
      </w:pPr>
      <w:r>
        <w:rPr>
          <w:rStyle w:val="FootnoteReference"/>
        </w:rPr>
        <w:footnoteRef/>
      </w:r>
      <w:r>
        <w:t xml:space="preserve"> </w:t>
      </w:r>
      <w:r w:rsidRPr="00A54EC7">
        <w:rPr>
          <w:rFonts w:ascii="Arial" w:hAnsi="Arial" w:cs="Arial"/>
          <w:sz w:val="20"/>
        </w:rPr>
        <w:t>For purposes of calculating the</w:t>
      </w:r>
      <w:r>
        <w:t xml:space="preserve"> </w:t>
      </w:r>
      <w:r>
        <w:rPr>
          <w:rFonts w:ascii="Arial" w:hAnsi="Arial" w:cs="Arial"/>
          <w:sz w:val="20"/>
        </w:rPr>
        <w:t>minimum replacement reserve deposit, t</w:t>
      </w:r>
      <w:r w:rsidRPr="004C00FE">
        <w:rPr>
          <w:rFonts w:ascii="Arial" w:hAnsi="Arial" w:cs="Arial"/>
          <w:sz w:val="20"/>
        </w:rPr>
        <w:t>hese project</w:t>
      </w:r>
      <w:r>
        <w:rPr>
          <w:rFonts w:ascii="Arial" w:hAnsi="Arial" w:cs="Arial"/>
          <w:sz w:val="20"/>
        </w:rPr>
        <w:t xml:space="preserve">s have a per unit construction cost </w:t>
      </w:r>
      <w:r w:rsidRPr="00500644">
        <w:rPr>
          <w:rFonts w:ascii="Arial" w:hAnsi="Arial" w:cs="Arial"/>
          <w:sz w:val="20"/>
        </w:rPr>
        <w:t xml:space="preserve">(excluding contractor profit and overhead) </w:t>
      </w:r>
      <w:r>
        <w:rPr>
          <w:rFonts w:ascii="Arial" w:hAnsi="Arial" w:cs="Arial"/>
          <w:sz w:val="20"/>
        </w:rPr>
        <w:t xml:space="preserve">of </w:t>
      </w:r>
      <w:r w:rsidRPr="00500644">
        <w:rPr>
          <w:rFonts w:ascii="Arial" w:hAnsi="Arial" w:cs="Arial"/>
          <w:sz w:val="20"/>
        </w:rPr>
        <w:t xml:space="preserve">$35,000 </w:t>
      </w:r>
      <w:r>
        <w:rPr>
          <w:rFonts w:ascii="Arial" w:hAnsi="Arial" w:cs="Arial"/>
          <w:sz w:val="20"/>
        </w:rPr>
        <w:t xml:space="preserve">or less </w:t>
      </w:r>
      <w:r w:rsidRPr="00500644">
        <w:rPr>
          <w:rFonts w:ascii="Arial" w:hAnsi="Arial" w:cs="Arial"/>
          <w:sz w:val="20"/>
        </w:rPr>
        <w:t>per unit</w:t>
      </w:r>
      <w:r>
        <w:rPr>
          <w:rFonts w:ascii="Arial" w:hAnsi="Arial" w:cs="Arial"/>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69" w:rsidRDefault="00AC2C69">
    <w:pPr>
      <w:pStyle w:val="Header"/>
      <w:jc w:val="right"/>
    </w:pPr>
  </w:p>
  <w:p w:rsidR="00AC2C69" w:rsidRDefault="00AC2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6B"/>
    <w:multiLevelType w:val="hybridMultilevel"/>
    <w:tmpl w:val="73449102"/>
    <w:lvl w:ilvl="0" w:tplc="DC2C2356">
      <w:start w:val="1"/>
      <w:numFmt w:val="decimal"/>
      <w:lvlText w:val="%1."/>
      <w:lvlJc w:val="left"/>
      <w:pPr>
        <w:tabs>
          <w:tab w:val="num" w:pos="1800"/>
        </w:tabs>
        <w:ind w:left="1800" w:hanging="360"/>
      </w:pPr>
      <w:rPr>
        <w:rFonts w:hint="default"/>
      </w:rPr>
    </w:lvl>
    <w:lvl w:ilvl="1" w:tplc="86EC6F1A">
      <w:start w:val="1"/>
      <w:numFmt w:val="low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114C47"/>
    <w:multiLevelType w:val="hybridMultilevel"/>
    <w:tmpl w:val="04E8A0C0"/>
    <w:lvl w:ilvl="0" w:tplc="EF925E7C">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C31125"/>
    <w:multiLevelType w:val="hybridMultilevel"/>
    <w:tmpl w:val="C176692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B7A0880"/>
    <w:multiLevelType w:val="hybridMultilevel"/>
    <w:tmpl w:val="F304A64E"/>
    <w:lvl w:ilvl="0" w:tplc="88DCE486">
      <w:start w:val="18"/>
      <w:numFmt w:val="upperLetter"/>
      <w:lvlText w:val="%1."/>
      <w:lvlJc w:val="left"/>
      <w:pPr>
        <w:tabs>
          <w:tab w:val="num" w:pos="1440"/>
        </w:tabs>
        <w:ind w:left="1440" w:hanging="720"/>
      </w:pPr>
      <w:rPr>
        <w:rFonts w:hint="default"/>
        <w:u w:val="none"/>
      </w:rPr>
    </w:lvl>
    <w:lvl w:ilvl="1" w:tplc="9670D0C4">
      <w:start w:val="1"/>
      <w:numFmt w:val="lowerLetter"/>
      <w:lvlText w:val="%2."/>
      <w:lvlJc w:val="left"/>
      <w:pPr>
        <w:tabs>
          <w:tab w:val="num" w:pos="1800"/>
        </w:tabs>
        <w:ind w:left="1800" w:hanging="360"/>
      </w:pPr>
      <w:rPr>
        <w:rFonts w:ascii="Arial" w:eastAsia="Times New Roman" w:hAnsi="Arial"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331525"/>
    <w:multiLevelType w:val="hybridMultilevel"/>
    <w:tmpl w:val="05A012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A2704E0"/>
    <w:multiLevelType w:val="hybridMultilevel"/>
    <w:tmpl w:val="44FA830A"/>
    <w:lvl w:ilvl="0" w:tplc="20B6370A">
      <w:start w:val="1"/>
      <w:numFmt w:val="bullet"/>
      <w:lvlText w:val=""/>
      <w:lvlJc w:val="left"/>
      <w:pPr>
        <w:tabs>
          <w:tab w:val="num" w:pos="2160"/>
        </w:tabs>
        <w:ind w:left="2160" w:hanging="360"/>
      </w:pPr>
      <w:rPr>
        <w:rFonts w:ascii="Symbol" w:hAnsi="Symbol" w:hint="default"/>
        <w:color w:val="auto"/>
      </w:rPr>
    </w:lvl>
    <w:lvl w:ilvl="1" w:tplc="8D383C36">
      <w:start w:val="6"/>
      <w:numFmt w:val="bullet"/>
      <w:lvlText w:val="-"/>
      <w:lvlJc w:val="left"/>
      <w:pPr>
        <w:tabs>
          <w:tab w:val="num" w:pos="2880"/>
        </w:tabs>
        <w:ind w:left="2880" w:hanging="360"/>
      </w:pPr>
      <w:rPr>
        <w:rFonts w:ascii="Arial" w:eastAsia="Times New Roman" w:hAnsi="Arial"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A37697F"/>
    <w:multiLevelType w:val="hybridMultilevel"/>
    <w:tmpl w:val="2AE875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EB24FEA"/>
    <w:multiLevelType w:val="hybridMultilevel"/>
    <w:tmpl w:val="8D3A891A"/>
    <w:lvl w:ilvl="0" w:tplc="38FC9718">
      <w:start w:val="1"/>
      <w:numFmt w:val="decimal"/>
      <w:lvlText w:val="%1."/>
      <w:lvlJc w:val="left"/>
      <w:pPr>
        <w:tabs>
          <w:tab w:val="num" w:pos="2160"/>
        </w:tabs>
        <w:ind w:left="2160" w:hanging="360"/>
      </w:pPr>
      <w:rPr>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26AE1C92"/>
    <w:multiLevelType w:val="hybridMultilevel"/>
    <w:tmpl w:val="B71AF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0B116F"/>
    <w:multiLevelType w:val="hybridMultilevel"/>
    <w:tmpl w:val="8BCC7610"/>
    <w:lvl w:ilvl="0" w:tplc="53CC2CC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DE65138"/>
    <w:multiLevelType w:val="hybridMultilevel"/>
    <w:tmpl w:val="E124A3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0611C4F"/>
    <w:multiLevelType w:val="hybridMultilevel"/>
    <w:tmpl w:val="62E20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C208AE"/>
    <w:multiLevelType w:val="hybridMultilevel"/>
    <w:tmpl w:val="1D0EFA64"/>
    <w:lvl w:ilvl="0" w:tplc="EF925E7C">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AD5051A"/>
    <w:multiLevelType w:val="hybridMultilevel"/>
    <w:tmpl w:val="B276CEF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5B2D67"/>
    <w:multiLevelType w:val="hybridMultilevel"/>
    <w:tmpl w:val="AC64EDA0"/>
    <w:lvl w:ilvl="0" w:tplc="D952BEB8">
      <w:start w:val="1"/>
      <w:numFmt w:val="upperLetter"/>
      <w:lvlText w:val="%1."/>
      <w:lvlJc w:val="left"/>
      <w:pPr>
        <w:tabs>
          <w:tab w:val="num" w:pos="1080"/>
        </w:tabs>
        <w:ind w:left="1080" w:hanging="360"/>
      </w:pPr>
      <w:rPr>
        <w:rFonts w:hint="default"/>
      </w:rPr>
    </w:lvl>
    <w:lvl w:ilvl="1" w:tplc="721650D6">
      <w:start w:val="1"/>
      <w:numFmt w:val="decimal"/>
      <w:lvlText w:val="%2."/>
      <w:lvlJc w:val="left"/>
      <w:pPr>
        <w:tabs>
          <w:tab w:val="num" w:pos="2430"/>
        </w:tabs>
        <w:ind w:left="2430" w:hanging="360"/>
      </w:pPr>
      <w:rPr>
        <w:rFonts w:hint="default"/>
      </w:rPr>
    </w:lvl>
    <w:lvl w:ilvl="2" w:tplc="97DA00CE">
      <w:start w:val="1"/>
      <w:numFmt w:val="lowerLetter"/>
      <w:lvlText w:val="%3."/>
      <w:lvlJc w:val="left"/>
      <w:pPr>
        <w:tabs>
          <w:tab w:val="num" w:pos="2250"/>
        </w:tabs>
        <w:ind w:left="2250" w:hanging="360"/>
      </w:pPr>
      <w:rPr>
        <w:rFonts w:ascii="Times New Roman" w:eastAsia="Times New Roman" w:hAnsi="Times New Roman" w:cs="Times New Roman"/>
      </w:rPr>
    </w:lvl>
    <w:lvl w:ilvl="3" w:tplc="83C23238">
      <w:start w:val="1"/>
      <w:numFmt w:val="lowerRoman"/>
      <w:lvlText w:val="%4."/>
      <w:lvlJc w:val="left"/>
      <w:pPr>
        <w:tabs>
          <w:tab w:val="num" w:pos="3600"/>
        </w:tabs>
        <w:ind w:left="3600" w:hanging="720"/>
      </w:pPr>
      <w:rPr>
        <w:rFonts w:hint="default"/>
      </w:rPr>
    </w:lvl>
    <w:lvl w:ilvl="4" w:tplc="53C04950">
      <w:start w:val="1"/>
      <w:numFmt w:val="upp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9E71B6"/>
    <w:multiLevelType w:val="hybridMultilevel"/>
    <w:tmpl w:val="22DCCB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8AA49F3"/>
    <w:multiLevelType w:val="hybridMultilevel"/>
    <w:tmpl w:val="768E96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5BAA479F"/>
    <w:multiLevelType w:val="hybridMultilevel"/>
    <w:tmpl w:val="FFC25E26"/>
    <w:lvl w:ilvl="0" w:tplc="D952BEB8">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5A410AF"/>
    <w:multiLevelType w:val="hybridMultilevel"/>
    <w:tmpl w:val="94AABF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7283E70"/>
    <w:multiLevelType w:val="hybridMultilevel"/>
    <w:tmpl w:val="1CD215A6"/>
    <w:lvl w:ilvl="0" w:tplc="F380F862">
      <w:start w:val="1"/>
      <w:numFmt w:val="bullet"/>
      <w:lvlText w:val=""/>
      <w:lvlJc w:val="left"/>
      <w:pPr>
        <w:tabs>
          <w:tab w:val="num" w:pos="1584"/>
        </w:tabs>
        <w:ind w:left="1584" w:hanging="288"/>
      </w:pPr>
      <w:rPr>
        <w:rFonts w:ascii="Symbol" w:hAnsi="Symbol" w:hint="default"/>
      </w:rPr>
    </w:lvl>
    <w:lvl w:ilvl="1" w:tplc="04090001">
      <w:start w:val="1"/>
      <w:numFmt w:val="bullet"/>
      <w:lvlText w:val=""/>
      <w:lvlJc w:val="left"/>
      <w:pPr>
        <w:tabs>
          <w:tab w:val="num" w:pos="2736"/>
        </w:tabs>
        <w:ind w:left="2736" w:hanging="360"/>
      </w:pPr>
      <w:rPr>
        <w:rFonts w:ascii="Symbol" w:hAnsi="Symbol"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20">
    <w:nsid w:val="686F39D5"/>
    <w:multiLevelType w:val="hybridMultilevel"/>
    <w:tmpl w:val="D8CCAB1C"/>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1">
    <w:nsid w:val="6A435C58"/>
    <w:multiLevelType w:val="hybridMultilevel"/>
    <w:tmpl w:val="6F8EFA9E"/>
    <w:lvl w:ilvl="0" w:tplc="943AE178">
      <w:start w:val="5"/>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6FD182B"/>
    <w:multiLevelType w:val="hybridMultilevel"/>
    <w:tmpl w:val="8A2A0160"/>
    <w:lvl w:ilvl="0" w:tplc="150E1950">
      <w:start w:val="1"/>
      <w:numFmt w:val="decimal"/>
      <w:lvlText w:val="%1."/>
      <w:lvlJc w:val="left"/>
      <w:pPr>
        <w:tabs>
          <w:tab w:val="num" w:pos="2160"/>
        </w:tabs>
        <w:ind w:left="2160" w:hanging="360"/>
      </w:pPr>
      <w:rPr>
        <w:rFonts w:ascii="Arial" w:hAnsi="Arial" w:cs="Arial" w:hint="default"/>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8EB273D"/>
    <w:multiLevelType w:val="hybridMultilevel"/>
    <w:tmpl w:val="7EEEF5FE"/>
    <w:lvl w:ilvl="0" w:tplc="33548400">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F5A6A86"/>
    <w:multiLevelType w:val="hybridMultilevel"/>
    <w:tmpl w:val="D07C9EC0"/>
    <w:lvl w:ilvl="0" w:tplc="D952BEB8">
      <w:start w:val="1"/>
      <w:numFmt w:val="upperLetter"/>
      <w:lvlText w:val="%1."/>
      <w:lvlJc w:val="left"/>
      <w:pPr>
        <w:tabs>
          <w:tab w:val="num" w:pos="1080"/>
        </w:tabs>
        <w:ind w:left="1080" w:hanging="360"/>
      </w:pPr>
      <w:rPr>
        <w:rFonts w:hint="default"/>
      </w:rPr>
    </w:lvl>
    <w:lvl w:ilvl="1" w:tplc="721650D6">
      <w:start w:val="1"/>
      <w:numFmt w:val="decimal"/>
      <w:lvlText w:val="%2."/>
      <w:lvlJc w:val="left"/>
      <w:pPr>
        <w:tabs>
          <w:tab w:val="num" w:pos="1800"/>
        </w:tabs>
        <w:ind w:left="1800" w:hanging="360"/>
      </w:pPr>
      <w:rPr>
        <w:rFonts w:hint="default"/>
      </w:rPr>
    </w:lvl>
    <w:lvl w:ilvl="2" w:tplc="BF06FBE4">
      <w:start w:val="1"/>
      <w:numFmt w:val="decimal"/>
      <w:lvlText w:val="%3."/>
      <w:lvlJc w:val="left"/>
      <w:pPr>
        <w:tabs>
          <w:tab w:val="num" w:pos="1800"/>
        </w:tabs>
        <w:ind w:left="1800" w:hanging="360"/>
      </w:pPr>
      <w:rPr>
        <w:rFonts w:ascii="Times New Roman" w:eastAsia="Times New Roman" w:hAnsi="Times New Roman" w:cs="Times New Roman"/>
      </w:rPr>
    </w:lvl>
    <w:lvl w:ilvl="3" w:tplc="B0E4AF4E">
      <w:start w:val="1"/>
      <w:numFmt w:val="lowerLetter"/>
      <w:lvlText w:val="%4."/>
      <w:lvlJc w:val="left"/>
      <w:pPr>
        <w:tabs>
          <w:tab w:val="num" w:pos="3600"/>
        </w:tabs>
        <w:ind w:left="3600" w:hanging="720"/>
      </w:pPr>
      <w:rPr>
        <w:rFonts w:ascii="Times New Roman" w:eastAsia="Times New Roman" w:hAnsi="Times New Roman" w:cs="Times New Roman"/>
      </w:rPr>
    </w:lvl>
    <w:lvl w:ilvl="4" w:tplc="A8FC4C76">
      <w:start w:val="1"/>
      <w:numFmt w:val="lowerRoman"/>
      <w:lvlText w:val="%5."/>
      <w:lvlJc w:val="left"/>
      <w:pPr>
        <w:tabs>
          <w:tab w:val="num" w:pos="3960"/>
        </w:tabs>
        <w:ind w:left="3960" w:hanging="360"/>
      </w:pPr>
      <w:rPr>
        <w:rFonts w:ascii="Times New Roman" w:eastAsia="Times New Roman" w:hAnsi="Times New Roman" w:cs="Times New Roman"/>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4"/>
  </w:num>
  <w:num w:numId="3">
    <w:abstractNumId w:val="3"/>
  </w:num>
  <w:num w:numId="4">
    <w:abstractNumId w:val="9"/>
  </w:num>
  <w:num w:numId="5">
    <w:abstractNumId w:val="22"/>
  </w:num>
  <w:num w:numId="6">
    <w:abstractNumId w:val="0"/>
  </w:num>
  <w:num w:numId="7">
    <w:abstractNumId w:val="13"/>
  </w:num>
  <w:num w:numId="8">
    <w:abstractNumId w:val="17"/>
  </w:num>
  <w:num w:numId="9">
    <w:abstractNumId w:val="23"/>
  </w:num>
  <w:num w:numId="10">
    <w:abstractNumId w:val="7"/>
  </w:num>
  <w:num w:numId="11">
    <w:abstractNumId w:val="21"/>
  </w:num>
  <w:num w:numId="12">
    <w:abstractNumId w:val="19"/>
  </w:num>
  <w:num w:numId="13">
    <w:abstractNumId w:val="5"/>
  </w:num>
  <w:num w:numId="14">
    <w:abstractNumId w:val="16"/>
  </w:num>
  <w:num w:numId="15">
    <w:abstractNumId w:val="15"/>
  </w:num>
  <w:num w:numId="16">
    <w:abstractNumId w:val="2"/>
  </w:num>
  <w:num w:numId="17">
    <w:abstractNumId w:val="10"/>
  </w:num>
  <w:num w:numId="18">
    <w:abstractNumId w:val="4"/>
  </w:num>
  <w:num w:numId="19">
    <w:abstractNumId w:val="6"/>
  </w:num>
  <w:num w:numId="20">
    <w:abstractNumId w:val="18"/>
  </w:num>
  <w:num w:numId="21">
    <w:abstractNumId w:val="12"/>
  </w:num>
  <w:num w:numId="22">
    <w:abstractNumId w:val="1"/>
  </w:num>
  <w:num w:numId="23">
    <w:abstractNumId w:val="8"/>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BF"/>
    <w:rsid w:val="00065517"/>
    <w:rsid w:val="000A40D9"/>
    <w:rsid w:val="000C46FC"/>
    <w:rsid w:val="000C64D7"/>
    <w:rsid w:val="00153028"/>
    <w:rsid w:val="00163142"/>
    <w:rsid w:val="001C2F12"/>
    <w:rsid w:val="00232057"/>
    <w:rsid w:val="00272A92"/>
    <w:rsid w:val="00292327"/>
    <w:rsid w:val="002A3599"/>
    <w:rsid w:val="002F3325"/>
    <w:rsid w:val="003B584B"/>
    <w:rsid w:val="003D2368"/>
    <w:rsid w:val="003E00B5"/>
    <w:rsid w:val="003F3F7E"/>
    <w:rsid w:val="0042191D"/>
    <w:rsid w:val="00443C42"/>
    <w:rsid w:val="004456A0"/>
    <w:rsid w:val="00497BD0"/>
    <w:rsid w:val="004B44C8"/>
    <w:rsid w:val="004C00FE"/>
    <w:rsid w:val="004E678C"/>
    <w:rsid w:val="004F08D5"/>
    <w:rsid w:val="004F4C20"/>
    <w:rsid w:val="00500644"/>
    <w:rsid w:val="005119ED"/>
    <w:rsid w:val="00516D20"/>
    <w:rsid w:val="005800D1"/>
    <w:rsid w:val="005B2F4F"/>
    <w:rsid w:val="006855CB"/>
    <w:rsid w:val="00693521"/>
    <w:rsid w:val="006B4BA9"/>
    <w:rsid w:val="006D29F2"/>
    <w:rsid w:val="006D5D21"/>
    <w:rsid w:val="006E1A98"/>
    <w:rsid w:val="00702B73"/>
    <w:rsid w:val="00740786"/>
    <w:rsid w:val="007A7BF3"/>
    <w:rsid w:val="008219AC"/>
    <w:rsid w:val="00873FDC"/>
    <w:rsid w:val="008916AB"/>
    <w:rsid w:val="008A45F5"/>
    <w:rsid w:val="008B7360"/>
    <w:rsid w:val="008C75B4"/>
    <w:rsid w:val="009933C2"/>
    <w:rsid w:val="00A45A0D"/>
    <w:rsid w:val="00A460F1"/>
    <w:rsid w:val="00A54D95"/>
    <w:rsid w:val="00A54EC7"/>
    <w:rsid w:val="00A81C07"/>
    <w:rsid w:val="00A84E99"/>
    <w:rsid w:val="00AC2C69"/>
    <w:rsid w:val="00AD1CFC"/>
    <w:rsid w:val="00AE0CA3"/>
    <w:rsid w:val="00AE0F63"/>
    <w:rsid w:val="00AF4167"/>
    <w:rsid w:val="00B02C52"/>
    <w:rsid w:val="00B15324"/>
    <w:rsid w:val="00B30954"/>
    <w:rsid w:val="00B36121"/>
    <w:rsid w:val="00B9646D"/>
    <w:rsid w:val="00BD0F42"/>
    <w:rsid w:val="00BF5D1E"/>
    <w:rsid w:val="00C15CBF"/>
    <w:rsid w:val="00C21B26"/>
    <w:rsid w:val="00C317B1"/>
    <w:rsid w:val="00C43ABC"/>
    <w:rsid w:val="00C750A5"/>
    <w:rsid w:val="00C901EC"/>
    <w:rsid w:val="00CA40F9"/>
    <w:rsid w:val="00CD368E"/>
    <w:rsid w:val="00CF7E0E"/>
    <w:rsid w:val="00D2109D"/>
    <w:rsid w:val="00D31C5D"/>
    <w:rsid w:val="00DE5012"/>
    <w:rsid w:val="00DF36E7"/>
    <w:rsid w:val="00E05E5D"/>
    <w:rsid w:val="00E20ADF"/>
    <w:rsid w:val="00E8066B"/>
    <w:rsid w:val="00E9123B"/>
    <w:rsid w:val="00EE4AAC"/>
    <w:rsid w:val="00EF4CBE"/>
    <w:rsid w:val="00F03616"/>
    <w:rsid w:val="00F22812"/>
    <w:rsid w:val="00F43832"/>
    <w:rsid w:val="00F44F0A"/>
    <w:rsid w:val="00F50CB8"/>
    <w:rsid w:val="00FA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CBF"/>
    <w:pPr>
      <w:overflowPunct w:val="0"/>
      <w:autoSpaceDE w:val="0"/>
      <w:autoSpaceDN w:val="0"/>
      <w:adjustRightInd w:val="0"/>
      <w:spacing w:after="0" w:line="240" w:lineRule="auto"/>
      <w:textAlignment w:val="baseline"/>
    </w:pPr>
    <w:rPr>
      <w:rFonts w:ascii="Antique Olive" w:eastAsia="Times New Roman" w:hAnsi="Antique Olive" w:cs="Times New Roman"/>
      <w:szCs w:val="20"/>
    </w:rPr>
  </w:style>
  <w:style w:type="paragraph" w:styleId="Heading1">
    <w:name w:val="heading 1"/>
    <w:basedOn w:val="Normal"/>
    <w:next w:val="Normal"/>
    <w:link w:val="Heading1Char"/>
    <w:qFormat/>
    <w:rsid w:val="00C15CBF"/>
    <w:pPr>
      <w:keepNext/>
      <w:ind w:left="1440"/>
      <w:jc w:val="center"/>
      <w:outlineLvl w:val="0"/>
    </w:pPr>
    <w:rPr>
      <w:rFonts w:ascii="Times New Roman" w:hAnsi="Times New Roman"/>
      <w:b/>
    </w:rPr>
  </w:style>
  <w:style w:type="paragraph" w:styleId="Heading2">
    <w:name w:val="heading 2"/>
    <w:basedOn w:val="Normal"/>
    <w:next w:val="Normal"/>
    <w:link w:val="Heading2Char"/>
    <w:qFormat/>
    <w:rsid w:val="00C15CBF"/>
    <w:pPr>
      <w:keepNext/>
      <w:widowControl w:val="0"/>
      <w:tabs>
        <w:tab w:val="right" w:pos="10800"/>
      </w:tabs>
      <w:outlineLvl w:val="1"/>
    </w:pPr>
    <w:rPr>
      <w:rFonts w:ascii="Arial" w:hAnsi="Arial"/>
      <w:sz w:val="14"/>
      <w:u w:val="double"/>
    </w:rPr>
  </w:style>
  <w:style w:type="paragraph" w:styleId="Heading3">
    <w:name w:val="heading 3"/>
    <w:basedOn w:val="Normal"/>
    <w:next w:val="Normal"/>
    <w:link w:val="Heading3Char"/>
    <w:qFormat/>
    <w:rsid w:val="00C15CBF"/>
    <w:pPr>
      <w:keepNext/>
      <w:jc w:val="center"/>
      <w:outlineLvl w:val="2"/>
    </w:pPr>
    <w:rPr>
      <w:rFonts w:ascii="Times New Roman" w:hAnsi="Times New Roman"/>
      <w:sz w:val="22"/>
      <w:u w:val="single"/>
    </w:rPr>
  </w:style>
  <w:style w:type="paragraph" w:styleId="Heading4">
    <w:name w:val="heading 4"/>
    <w:basedOn w:val="Normal"/>
    <w:next w:val="Normal"/>
    <w:link w:val="Heading4Char"/>
    <w:qFormat/>
    <w:rsid w:val="00C15CBF"/>
    <w:pPr>
      <w:keepNext/>
      <w:widowControl w:val="0"/>
      <w:jc w:val="center"/>
      <w:outlineLvl w:val="3"/>
    </w:pPr>
    <w:rPr>
      <w:rFonts w:ascii="Times New Roman" w:hAnsi="Times New Roman"/>
    </w:rPr>
  </w:style>
  <w:style w:type="paragraph" w:styleId="Heading5">
    <w:name w:val="heading 5"/>
    <w:basedOn w:val="Normal"/>
    <w:next w:val="Normal"/>
    <w:link w:val="Heading5Char"/>
    <w:qFormat/>
    <w:rsid w:val="00C15CBF"/>
    <w:pPr>
      <w:keepNext/>
      <w:ind w:left="720"/>
      <w:jc w:val="center"/>
      <w:outlineLvl w:val="4"/>
    </w:pPr>
    <w:rPr>
      <w:rFonts w:ascii="Times New Roman" w:hAnsi="Times New Roman"/>
      <w:sz w:val="22"/>
    </w:rPr>
  </w:style>
  <w:style w:type="paragraph" w:styleId="Heading6">
    <w:name w:val="heading 6"/>
    <w:basedOn w:val="Normal"/>
    <w:next w:val="Normal"/>
    <w:link w:val="Heading6Char"/>
    <w:semiHidden/>
    <w:unhideWhenUsed/>
    <w:qFormat/>
    <w:rsid w:val="00C15CB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15CBF"/>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CBF"/>
    <w:pPr>
      <w:tabs>
        <w:tab w:val="center" w:pos="4680"/>
        <w:tab w:val="right" w:pos="9360"/>
      </w:tabs>
    </w:pPr>
  </w:style>
  <w:style w:type="character" w:customStyle="1" w:styleId="HeaderChar">
    <w:name w:val="Header Char"/>
    <w:basedOn w:val="DefaultParagraphFont"/>
    <w:link w:val="Header"/>
    <w:uiPriority w:val="99"/>
    <w:rsid w:val="00C15CBF"/>
  </w:style>
  <w:style w:type="paragraph" w:styleId="Footer">
    <w:name w:val="footer"/>
    <w:basedOn w:val="Normal"/>
    <w:link w:val="FooterChar"/>
    <w:uiPriority w:val="99"/>
    <w:unhideWhenUsed/>
    <w:rsid w:val="00C15CBF"/>
    <w:pPr>
      <w:tabs>
        <w:tab w:val="center" w:pos="4680"/>
        <w:tab w:val="right" w:pos="9360"/>
      </w:tabs>
    </w:pPr>
  </w:style>
  <w:style w:type="character" w:customStyle="1" w:styleId="FooterChar">
    <w:name w:val="Footer Char"/>
    <w:basedOn w:val="DefaultParagraphFont"/>
    <w:link w:val="Footer"/>
    <w:uiPriority w:val="99"/>
    <w:rsid w:val="00C15CBF"/>
  </w:style>
  <w:style w:type="paragraph" w:styleId="BalloonText">
    <w:name w:val="Balloon Text"/>
    <w:basedOn w:val="Normal"/>
    <w:link w:val="BalloonTextChar"/>
    <w:semiHidden/>
    <w:unhideWhenUsed/>
    <w:rsid w:val="00C15CBF"/>
    <w:rPr>
      <w:rFonts w:ascii="Tahoma" w:hAnsi="Tahoma" w:cs="Tahoma"/>
      <w:sz w:val="16"/>
      <w:szCs w:val="16"/>
    </w:rPr>
  </w:style>
  <w:style w:type="character" w:customStyle="1" w:styleId="BalloonTextChar">
    <w:name w:val="Balloon Text Char"/>
    <w:basedOn w:val="DefaultParagraphFont"/>
    <w:link w:val="BalloonText"/>
    <w:uiPriority w:val="99"/>
    <w:semiHidden/>
    <w:rsid w:val="00C15CBF"/>
    <w:rPr>
      <w:rFonts w:ascii="Tahoma" w:hAnsi="Tahoma" w:cs="Tahoma"/>
      <w:sz w:val="16"/>
      <w:szCs w:val="16"/>
    </w:rPr>
  </w:style>
  <w:style w:type="character" w:customStyle="1" w:styleId="Heading1Char">
    <w:name w:val="Heading 1 Char"/>
    <w:basedOn w:val="DefaultParagraphFont"/>
    <w:link w:val="Heading1"/>
    <w:rsid w:val="00C15CBF"/>
    <w:rPr>
      <w:rFonts w:ascii="Times New Roman" w:eastAsia="Times New Roman" w:hAnsi="Times New Roman" w:cs="Times New Roman"/>
      <w:b/>
      <w:szCs w:val="20"/>
    </w:rPr>
  </w:style>
  <w:style w:type="character" w:customStyle="1" w:styleId="Heading2Char">
    <w:name w:val="Heading 2 Char"/>
    <w:basedOn w:val="DefaultParagraphFont"/>
    <w:link w:val="Heading2"/>
    <w:rsid w:val="00C15CBF"/>
    <w:rPr>
      <w:rFonts w:eastAsia="Times New Roman" w:cs="Times New Roman"/>
      <w:sz w:val="14"/>
      <w:szCs w:val="20"/>
      <w:u w:val="double"/>
    </w:rPr>
  </w:style>
  <w:style w:type="character" w:customStyle="1" w:styleId="Heading3Char">
    <w:name w:val="Heading 3 Char"/>
    <w:basedOn w:val="DefaultParagraphFont"/>
    <w:link w:val="Heading3"/>
    <w:rsid w:val="00C15CBF"/>
    <w:rPr>
      <w:rFonts w:ascii="Times New Roman" w:eastAsia="Times New Roman" w:hAnsi="Times New Roman" w:cs="Times New Roman"/>
      <w:sz w:val="22"/>
      <w:szCs w:val="20"/>
      <w:u w:val="single"/>
    </w:rPr>
  </w:style>
  <w:style w:type="character" w:customStyle="1" w:styleId="Heading4Char">
    <w:name w:val="Heading 4 Char"/>
    <w:basedOn w:val="DefaultParagraphFont"/>
    <w:link w:val="Heading4"/>
    <w:rsid w:val="00C15CBF"/>
    <w:rPr>
      <w:rFonts w:ascii="Times New Roman" w:eastAsia="Times New Roman" w:hAnsi="Times New Roman" w:cs="Times New Roman"/>
      <w:szCs w:val="20"/>
    </w:rPr>
  </w:style>
  <w:style w:type="character" w:customStyle="1" w:styleId="Heading5Char">
    <w:name w:val="Heading 5 Char"/>
    <w:basedOn w:val="DefaultParagraphFont"/>
    <w:link w:val="Heading5"/>
    <w:rsid w:val="00C15CBF"/>
    <w:rPr>
      <w:rFonts w:ascii="Times New Roman" w:eastAsia="Times New Roman" w:hAnsi="Times New Roman" w:cs="Times New Roman"/>
      <w:sz w:val="22"/>
      <w:szCs w:val="20"/>
    </w:rPr>
  </w:style>
  <w:style w:type="character" w:customStyle="1" w:styleId="Heading6Char">
    <w:name w:val="Heading 6 Char"/>
    <w:basedOn w:val="DefaultParagraphFont"/>
    <w:link w:val="Heading6"/>
    <w:semiHidden/>
    <w:rsid w:val="00C15CBF"/>
    <w:rPr>
      <w:rFonts w:ascii="Calibri" w:eastAsia="Times New Roman" w:hAnsi="Calibri" w:cs="Times New Roman"/>
      <w:b/>
      <w:bCs/>
      <w:sz w:val="22"/>
    </w:rPr>
  </w:style>
  <w:style w:type="character" w:customStyle="1" w:styleId="Heading7Char">
    <w:name w:val="Heading 7 Char"/>
    <w:basedOn w:val="DefaultParagraphFont"/>
    <w:link w:val="Heading7"/>
    <w:rsid w:val="00C15CBF"/>
    <w:rPr>
      <w:rFonts w:ascii="Times New Roman" w:eastAsia="Times New Roman" w:hAnsi="Times New Roman" w:cs="Times New Roman"/>
      <w:szCs w:val="24"/>
    </w:rPr>
  </w:style>
  <w:style w:type="paragraph" w:styleId="BodyText">
    <w:name w:val="Body Text"/>
    <w:basedOn w:val="Normal"/>
    <w:link w:val="BodyTextChar"/>
    <w:rsid w:val="00C15CBF"/>
    <w:pPr>
      <w:jc w:val="both"/>
    </w:pPr>
    <w:rPr>
      <w:rFonts w:ascii="Times New Roman" w:hAnsi="Times New Roman"/>
    </w:rPr>
  </w:style>
  <w:style w:type="character" w:customStyle="1" w:styleId="BodyTextChar">
    <w:name w:val="Body Text Char"/>
    <w:basedOn w:val="DefaultParagraphFont"/>
    <w:link w:val="BodyText"/>
    <w:rsid w:val="00C15CBF"/>
    <w:rPr>
      <w:rFonts w:ascii="Times New Roman" w:eastAsia="Times New Roman" w:hAnsi="Times New Roman" w:cs="Times New Roman"/>
      <w:szCs w:val="20"/>
    </w:rPr>
  </w:style>
  <w:style w:type="character" w:styleId="Hyperlink">
    <w:name w:val="Hyperlink"/>
    <w:rsid w:val="00C15CBF"/>
    <w:rPr>
      <w:color w:val="0000FF"/>
      <w:u w:val="single"/>
    </w:rPr>
  </w:style>
  <w:style w:type="paragraph" w:styleId="BodyText3">
    <w:name w:val="Body Text 3"/>
    <w:basedOn w:val="Normal"/>
    <w:link w:val="BodyText3Char"/>
    <w:rsid w:val="00C15CBF"/>
    <w:pPr>
      <w:widowControl w:val="0"/>
    </w:pPr>
    <w:rPr>
      <w:rFonts w:ascii="Times New Roman" w:hAnsi="Times New Roman"/>
      <w:spacing w:val="-3"/>
      <w:sz w:val="22"/>
    </w:rPr>
  </w:style>
  <w:style w:type="character" w:customStyle="1" w:styleId="BodyText3Char">
    <w:name w:val="Body Text 3 Char"/>
    <w:basedOn w:val="DefaultParagraphFont"/>
    <w:link w:val="BodyText3"/>
    <w:rsid w:val="00C15CBF"/>
    <w:rPr>
      <w:rFonts w:ascii="Times New Roman" w:eastAsia="Times New Roman" w:hAnsi="Times New Roman" w:cs="Times New Roman"/>
      <w:spacing w:val="-3"/>
      <w:sz w:val="22"/>
      <w:szCs w:val="20"/>
    </w:rPr>
  </w:style>
  <w:style w:type="character" w:styleId="PageNumber">
    <w:name w:val="page number"/>
    <w:basedOn w:val="DefaultParagraphFont"/>
    <w:rsid w:val="00C15CBF"/>
  </w:style>
  <w:style w:type="paragraph" w:styleId="BodyText2">
    <w:name w:val="Body Text 2"/>
    <w:basedOn w:val="Normal"/>
    <w:link w:val="BodyText2Char"/>
    <w:rsid w:val="00C15CBF"/>
    <w:pPr>
      <w:ind w:left="720"/>
    </w:pPr>
    <w:rPr>
      <w:rFonts w:ascii="Times New Roman" w:hAnsi="Times New Roman"/>
      <w:spacing w:val="-3"/>
      <w:sz w:val="22"/>
    </w:rPr>
  </w:style>
  <w:style w:type="character" w:customStyle="1" w:styleId="BodyText2Char">
    <w:name w:val="Body Text 2 Char"/>
    <w:basedOn w:val="DefaultParagraphFont"/>
    <w:link w:val="BodyText2"/>
    <w:rsid w:val="00C15CBF"/>
    <w:rPr>
      <w:rFonts w:ascii="Times New Roman" w:eastAsia="Times New Roman" w:hAnsi="Times New Roman" w:cs="Times New Roman"/>
      <w:spacing w:val="-3"/>
      <w:sz w:val="22"/>
      <w:szCs w:val="20"/>
    </w:rPr>
  </w:style>
  <w:style w:type="paragraph" w:styleId="BodyTextIndent">
    <w:name w:val="Body Text Indent"/>
    <w:basedOn w:val="Normal"/>
    <w:link w:val="BodyTextIndentChar"/>
    <w:rsid w:val="00C15CBF"/>
    <w:pPr>
      <w:ind w:left="720"/>
    </w:pPr>
    <w:rPr>
      <w:rFonts w:ascii="Times New Roman" w:hAnsi="Times New Roman"/>
      <w:sz w:val="22"/>
    </w:rPr>
  </w:style>
  <w:style w:type="character" w:customStyle="1" w:styleId="BodyTextIndentChar">
    <w:name w:val="Body Text Indent Char"/>
    <w:basedOn w:val="DefaultParagraphFont"/>
    <w:link w:val="BodyTextIndent"/>
    <w:rsid w:val="00C15CBF"/>
    <w:rPr>
      <w:rFonts w:ascii="Times New Roman" w:eastAsia="Times New Roman" w:hAnsi="Times New Roman" w:cs="Times New Roman"/>
      <w:sz w:val="22"/>
      <w:szCs w:val="20"/>
    </w:rPr>
  </w:style>
  <w:style w:type="paragraph" w:styleId="BodyTextIndent2">
    <w:name w:val="Body Text Indent 2"/>
    <w:basedOn w:val="Normal"/>
    <w:link w:val="BodyTextIndent2Char"/>
    <w:rsid w:val="00C15CBF"/>
    <w:pPr>
      <w:ind w:left="360"/>
    </w:pPr>
    <w:rPr>
      <w:rFonts w:ascii="Times New Roman" w:hAnsi="Times New Roman"/>
      <w:sz w:val="22"/>
    </w:rPr>
  </w:style>
  <w:style w:type="character" w:customStyle="1" w:styleId="BodyTextIndent2Char">
    <w:name w:val="Body Text Indent 2 Char"/>
    <w:basedOn w:val="DefaultParagraphFont"/>
    <w:link w:val="BodyTextIndent2"/>
    <w:rsid w:val="00C15CBF"/>
    <w:rPr>
      <w:rFonts w:ascii="Times New Roman" w:eastAsia="Times New Roman" w:hAnsi="Times New Roman" w:cs="Times New Roman"/>
      <w:sz w:val="22"/>
      <w:szCs w:val="20"/>
    </w:rPr>
  </w:style>
  <w:style w:type="paragraph" w:styleId="BodyTextIndent3">
    <w:name w:val="Body Text Indent 3"/>
    <w:basedOn w:val="Normal"/>
    <w:link w:val="BodyTextIndent3Char"/>
    <w:rsid w:val="00C15CBF"/>
    <w:pPr>
      <w:ind w:left="720"/>
      <w:jc w:val="both"/>
    </w:pPr>
    <w:rPr>
      <w:rFonts w:ascii="Times New Roman" w:hAnsi="Times New Roman"/>
      <w:sz w:val="22"/>
    </w:rPr>
  </w:style>
  <w:style w:type="character" w:customStyle="1" w:styleId="BodyTextIndent3Char">
    <w:name w:val="Body Text Indent 3 Char"/>
    <w:basedOn w:val="DefaultParagraphFont"/>
    <w:link w:val="BodyTextIndent3"/>
    <w:rsid w:val="00C15CBF"/>
    <w:rPr>
      <w:rFonts w:ascii="Times New Roman" w:eastAsia="Times New Roman" w:hAnsi="Times New Roman" w:cs="Times New Roman"/>
      <w:sz w:val="22"/>
      <w:szCs w:val="20"/>
    </w:rPr>
  </w:style>
  <w:style w:type="character" w:styleId="CommentReference">
    <w:name w:val="annotation reference"/>
    <w:semiHidden/>
    <w:rsid w:val="00C15CBF"/>
    <w:rPr>
      <w:sz w:val="16"/>
      <w:szCs w:val="16"/>
    </w:rPr>
  </w:style>
  <w:style w:type="paragraph" w:styleId="CommentText">
    <w:name w:val="annotation text"/>
    <w:basedOn w:val="Normal"/>
    <w:link w:val="CommentTextChar"/>
    <w:semiHidden/>
    <w:rsid w:val="00C15CBF"/>
    <w:rPr>
      <w:sz w:val="20"/>
    </w:rPr>
  </w:style>
  <w:style w:type="character" w:customStyle="1" w:styleId="CommentTextChar">
    <w:name w:val="Comment Text Char"/>
    <w:basedOn w:val="DefaultParagraphFont"/>
    <w:link w:val="CommentText"/>
    <w:semiHidden/>
    <w:rsid w:val="00C15CBF"/>
    <w:rPr>
      <w:rFonts w:ascii="Antique Olive" w:eastAsia="Times New Roman" w:hAnsi="Antique Olive" w:cs="Times New Roman"/>
      <w:sz w:val="20"/>
      <w:szCs w:val="20"/>
    </w:rPr>
  </w:style>
  <w:style w:type="paragraph" w:styleId="CommentSubject">
    <w:name w:val="annotation subject"/>
    <w:basedOn w:val="CommentText"/>
    <w:next w:val="CommentText"/>
    <w:link w:val="CommentSubjectChar"/>
    <w:semiHidden/>
    <w:rsid w:val="00C15CBF"/>
    <w:rPr>
      <w:b/>
      <w:bCs/>
    </w:rPr>
  </w:style>
  <w:style w:type="character" w:customStyle="1" w:styleId="CommentSubjectChar">
    <w:name w:val="Comment Subject Char"/>
    <w:basedOn w:val="CommentTextChar"/>
    <w:link w:val="CommentSubject"/>
    <w:semiHidden/>
    <w:rsid w:val="00C15CBF"/>
    <w:rPr>
      <w:rFonts w:ascii="Antique Olive" w:eastAsia="Times New Roman" w:hAnsi="Antique Olive" w:cs="Times New Roman"/>
      <w:b/>
      <w:bCs/>
      <w:sz w:val="20"/>
      <w:szCs w:val="20"/>
    </w:rPr>
  </w:style>
  <w:style w:type="character" w:styleId="FollowedHyperlink">
    <w:name w:val="FollowedHyperlink"/>
    <w:rsid w:val="00C15CBF"/>
    <w:rPr>
      <w:color w:val="800080"/>
      <w:u w:val="single"/>
    </w:rPr>
  </w:style>
  <w:style w:type="paragraph" w:styleId="FootnoteText">
    <w:name w:val="footnote text"/>
    <w:basedOn w:val="Normal"/>
    <w:link w:val="FootnoteTextChar"/>
    <w:rsid w:val="00C15CBF"/>
    <w:pPr>
      <w:widowControl w:val="0"/>
    </w:pPr>
    <w:rPr>
      <w:rFonts w:ascii="Courier" w:hAnsi="Courier"/>
    </w:rPr>
  </w:style>
  <w:style w:type="character" w:customStyle="1" w:styleId="FootnoteTextChar">
    <w:name w:val="Footnote Text Char"/>
    <w:basedOn w:val="DefaultParagraphFont"/>
    <w:link w:val="FootnoteText"/>
    <w:rsid w:val="00C15CBF"/>
    <w:rPr>
      <w:rFonts w:ascii="Courier" w:eastAsia="Times New Roman" w:hAnsi="Courier" w:cs="Times New Roman"/>
      <w:szCs w:val="20"/>
    </w:rPr>
  </w:style>
  <w:style w:type="paragraph" w:styleId="Title">
    <w:name w:val="Title"/>
    <w:basedOn w:val="Normal"/>
    <w:link w:val="TitleChar"/>
    <w:qFormat/>
    <w:rsid w:val="00C15CBF"/>
    <w:pPr>
      <w:overflowPunct/>
      <w:autoSpaceDE/>
      <w:autoSpaceDN/>
      <w:adjustRightInd/>
      <w:jc w:val="center"/>
      <w:textAlignment w:val="auto"/>
    </w:pPr>
    <w:rPr>
      <w:rFonts w:ascii="Times New Roman" w:hAnsi="Times New Roman"/>
      <w:b/>
      <w:bCs/>
      <w:sz w:val="32"/>
      <w:szCs w:val="24"/>
    </w:rPr>
  </w:style>
  <w:style w:type="character" w:customStyle="1" w:styleId="TitleChar">
    <w:name w:val="Title Char"/>
    <w:basedOn w:val="DefaultParagraphFont"/>
    <w:link w:val="Title"/>
    <w:rsid w:val="00C15CBF"/>
    <w:rPr>
      <w:rFonts w:ascii="Times New Roman" w:eastAsia="Times New Roman" w:hAnsi="Times New Roman" w:cs="Times New Roman"/>
      <w:b/>
      <w:bCs/>
      <w:sz w:val="32"/>
      <w:szCs w:val="24"/>
    </w:rPr>
  </w:style>
  <w:style w:type="paragraph" w:styleId="DocumentMap">
    <w:name w:val="Document Map"/>
    <w:basedOn w:val="Normal"/>
    <w:link w:val="DocumentMapChar"/>
    <w:semiHidden/>
    <w:rsid w:val="00C15CB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15CBF"/>
    <w:rPr>
      <w:rFonts w:ascii="Tahoma" w:eastAsia="Times New Roman" w:hAnsi="Tahoma" w:cs="Tahoma"/>
      <w:sz w:val="20"/>
      <w:szCs w:val="20"/>
      <w:shd w:val="clear" w:color="auto" w:fill="000080"/>
    </w:rPr>
  </w:style>
  <w:style w:type="paragraph" w:customStyle="1" w:styleId="Default">
    <w:name w:val="Default"/>
    <w:rsid w:val="00C15CBF"/>
    <w:pPr>
      <w:autoSpaceDE w:val="0"/>
      <w:autoSpaceDN w:val="0"/>
      <w:adjustRightInd w:val="0"/>
      <w:spacing w:after="0" w:line="240" w:lineRule="auto"/>
    </w:pPr>
    <w:rPr>
      <w:rFonts w:eastAsia="Times New Roman" w:cs="Arial"/>
      <w:color w:val="000000"/>
      <w:szCs w:val="24"/>
    </w:rPr>
  </w:style>
  <w:style w:type="paragraph" w:styleId="ListParagraph">
    <w:name w:val="List Paragraph"/>
    <w:basedOn w:val="Normal"/>
    <w:uiPriority w:val="34"/>
    <w:qFormat/>
    <w:rsid w:val="00C15CBF"/>
    <w:pPr>
      <w:ind w:left="720"/>
    </w:pPr>
  </w:style>
  <w:style w:type="paragraph" w:styleId="HTMLPreformatted">
    <w:name w:val="HTML Preformatted"/>
    <w:basedOn w:val="Normal"/>
    <w:link w:val="HTMLPreformattedChar"/>
    <w:uiPriority w:val="99"/>
    <w:unhideWhenUsed/>
    <w:rsid w:val="00C1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15CBF"/>
    <w:rPr>
      <w:rFonts w:ascii="Courier New" w:eastAsia="Times New Roman" w:hAnsi="Courier New" w:cs="Courier New"/>
      <w:sz w:val="20"/>
      <w:szCs w:val="20"/>
    </w:rPr>
  </w:style>
  <w:style w:type="paragraph" w:styleId="BlockText">
    <w:name w:val="Block Text"/>
    <w:basedOn w:val="Normal"/>
    <w:unhideWhenUsed/>
    <w:rsid w:val="00C15CBF"/>
    <w:pPr>
      <w:tabs>
        <w:tab w:val="left" w:pos="739"/>
        <w:tab w:val="right" w:pos="9572"/>
      </w:tabs>
      <w:overflowPunct/>
      <w:autoSpaceDE/>
      <w:autoSpaceDN/>
      <w:adjustRightInd/>
      <w:ind w:left="720" w:right="720" w:hanging="720"/>
      <w:jc w:val="both"/>
      <w:textAlignment w:val="auto"/>
    </w:pPr>
    <w:rPr>
      <w:rFonts w:ascii="Times New Roman" w:eastAsia="Calibri" w:hAnsi="Times New Roman"/>
    </w:rPr>
  </w:style>
  <w:style w:type="paragraph" w:styleId="NormalWeb">
    <w:name w:val="Normal (Web)"/>
    <w:basedOn w:val="Normal"/>
    <w:uiPriority w:val="99"/>
    <w:unhideWhenUsed/>
    <w:rsid w:val="00C15CBF"/>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rsid w:val="00C15CBF"/>
  </w:style>
  <w:style w:type="character" w:styleId="FootnoteReference">
    <w:name w:val="footnote reference"/>
    <w:basedOn w:val="DefaultParagraphFont"/>
    <w:uiPriority w:val="99"/>
    <w:semiHidden/>
    <w:unhideWhenUsed/>
    <w:rsid w:val="004C00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CBF"/>
    <w:pPr>
      <w:overflowPunct w:val="0"/>
      <w:autoSpaceDE w:val="0"/>
      <w:autoSpaceDN w:val="0"/>
      <w:adjustRightInd w:val="0"/>
      <w:spacing w:after="0" w:line="240" w:lineRule="auto"/>
      <w:textAlignment w:val="baseline"/>
    </w:pPr>
    <w:rPr>
      <w:rFonts w:ascii="Antique Olive" w:eastAsia="Times New Roman" w:hAnsi="Antique Olive" w:cs="Times New Roman"/>
      <w:szCs w:val="20"/>
    </w:rPr>
  </w:style>
  <w:style w:type="paragraph" w:styleId="Heading1">
    <w:name w:val="heading 1"/>
    <w:basedOn w:val="Normal"/>
    <w:next w:val="Normal"/>
    <w:link w:val="Heading1Char"/>
    <w:qFormat/>
    <w:rsid w:val="00C15CBF"/>
    <w:pPr>
      <w:keepNext/>
      <w:ind w:left="1440"/>
      <w:jc w:val="center"/>
      <w:outlineLvl w:val="0"/>
    </w:pPr>
    <w:rPr>
      <w:rFonts w:ascii="Times New Roman" w:hAnsi="Times New Roman"/>
      <w:b/>
    </w:rPr>
  </w:style>
  <w:style w:type="paragraph" w:styleId="Heading2">
    <w:name w:val="heading 2"/>
    <w:basedOn w:val="Normal"/>
    <w:next w:val="Normal"/>
    <w:link w:val="Heading2Char"/>
    <w:qFormat/>
    <w:rsid w:val="00C15CBF"/>
    <w:pPr>
      <w:keepNext/>
      <w:widowControl w:val="0"/>
      <w:tabs>
        <w:tab w:val="right" w:pos="10800"/>
      </w:tabs>
      <w:outlineLvl w:val="1"/>
    </w:pPr>
    <w:rPr>
      <w:rFonts w:ascii="Arial" w:hAnsi="Arial"/>
      <w:sz w:val="14"/>
      <w:u w:val="double"/>
    </w:rPr>
  </w:style>
  <w:style w:type="paragraph" w:styleId="Heading3">
    <w:name w:val="heading 3"/>
    <w:basedOn w:val="Normal"/>
    <w:next w:val="Normal"/>
    <w:link w:val="Heading3Char"/>
    <w:qFormat/>
    <w:rsid w:val="00C15CBF"/>
    <w:pPr>
      <w:keepNext/>
      <w:jc w:val="center"/>
      <w:outlineLvl w:val="2"/>
    </w:pPr>
    <w:rPr>
      <w:rFonts w:ascii="Times New Roman" w:hAnsi="Times New Roman"/>
      <w:sz w:val="22"/>
      <w:u w:val="single"/>
    </w:rPr>
  </w:style>
  <w:style w:type="paragraph" w:styleId="Heading4">
    <w:name w:val="heading 4"/>
    <w:basedOn w:val="Normal"/>
    <w:next w:val="Normal"/>
    <w:link w:val="Heading4Char"/>
    <w:qFormat/>
    <w:rsid w:val="00C15CBF"/>
    <w:pPr>
      <w:keepNext/>
      <w:widowControl w:val="0"/>
      <w:jc w:val="center"/>
      <w:outlineLvl w:val="3"/>
    </w:pPr>
    <w:rPr>
      <w:rFonts w:ascii="Times New Roman" w:hAnsi="Times New Roman"/>
    </w:rPr>
  </w:style>
  <w:style w:type="paragraph" w:styleId="Heading5">
    <w:name w:val="heading 5"/>
    <w:basedOn w:val="Normal"/>
    <w:next w:val="Normal"/>
    <w:link w:val="Heading5Char"/>
    <w:qFormat/>
    <w:rsid w:val="00C15CBF"/>
    <w:pPr>
      <w:keepNext/>
      <w:ind w:left="720"/>
      <w:jc w:val="center"/>
      <w:outlineLvl w:val="4"/>
    </w:pPr>
    <w:rPr>
      <w:rFonts w:ascii="Times New Roman" w:hAnsi="Times New Roman"/>
      <w:sz w:val="22"/>
    </w:rPr>
  </w:style>
  <w:style w:type="paragraph" w:styleId="Heading6">
    <w:name w:val="heading 6"/>
    <w:basedOn w:val="Normal"/>
    <w:next w:val="Normal"/>
    <w:link w:val="Heading6Char"/>
    <w:semiHidden/>
    <w:unhideWhenUsed/>
    <w:qFormat/>
    <w:rsid w:val="00C15CB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15CBF"/>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CBF"/>
    <w:pPr>
      <w:tabs>
        <w:tab w:val="center" w:pos="4680"/>
        <w:tab w:val="right" w:pos="9360"/>
      </w:tabs>
    </w:pPr>
  </w:style>
  <w:style w:type="character" w:customStyle="1" w:styleId="HeaderChar">
    <w:name w:val="Header Char"/>
    <w:basedOn w:val="DefaultParagraphFont"/>
    <w:link w:val="Header"/>
    <w:uiPriority w:val="99"/>
    <w:rsid w:val="00C15CBF"/>
  </w:style>
  <w:style w:type="paragraph" w:styleId="Footer">
    <w:name w:val="footer"/>
    <w:basedOn w:val="Normal"/>
    <w:link w:val="FooterChar"/>
    <w:uiPriority w:val="99"/>
    <w:unhideWhenUsed/>
    <w:rsid w:val="00C15CBF"/>
    <w:pPr>
      <w:tabs>
        <w:tab w:val="center" w:pos="4680"/>
        <w:tab w:val="right" w:pos="9360"/>
      </w:tabs>
    </w:pPr>
  </w:style>
  <w:style w:type="character" w:customStyle="1" w:styleId="FooterChar">
    <w:name w:val="Footer Char"/>
    <w:basedOn w:val="DefaultParagraphFont"/>
    <w:link w:val="Footer"/>
    <w:uiPriority w:val="99"/>
    <w:rsid w:val="00C15CBF"/>
  </w:style>
  <w:style w:type="paragraph" w:styleId="BalloonText">
    <w:name w:val="Balloon Text"/>
    <w:basedOn w:val="Normal"/>
    <w:link w:val="BalloonTextChar"/>
    <w:semiHidden/>
    <w:unhideWhenUsed/>
    <w:rsid w:val="00C15CBF"/>
    <w:rPr>
      <w:rFonts w:ascii="Tahoma" w:hAnsi="Tahoma" w:cs="Tahoma"/>
      <w:sz w:val="16"/>
      <w:szCs w:val="16"/>
    </w:rPr>
  </w:style>
  <w:style w:type="character" w:customStyle="1" w:styleId="BalloonTextChar">
    <w:name w:val="Balloon Text Char"/>
    <w:basedOn w:val="DefaultParagraphFont"/>
    <w:link w:val="BalloonText"/>
    <w:uiPriority w:val="99"/>
    <w:semiHidden/>
    <w:rsid w:val="00C15CBF"/>
    <w:rPr>
      <w:rFonts w:ascii="Tahoma" w:hAnsi="Tahoma" w:cs="Tahoma"/>
      <w:sz w:val="16"/>
      <w:szCs w:val="16"/>
    </w:rPr>
  </w:style>
  <w:style w:type="character" w:customStyle="1" w:styleId="Heading1Char">
    <w:name w:val="Heading 1 Char"/>
    <w:basedOn w:val="DefaultParagraphFont"/>
    <w:link w:val="Heading1"/>
    <w:rsid w:val="00C15CBF"/>
    <w:rPr>
      <w:rFonts w:ascii="Times New Roman" w:eastAsia="Times New Roman" w:hAnsi="Times New Roman" w:cs="Times New Roman"/>
      <w:b/>
      <w:szCs w:val="20"/>
    </w:rPr>
  </w:style>
  <w:style w:type="character" w:customStyle="1" w:styleId="Heading2Char">
    <w:name w:val="Heading 2 Char"/>
    <w:basedOn w:val="DefaultParagraphFont"/>
    <w:link w:val="Heading2"/>
    <w:rsid w:val="00C15CBF"/>
    <w:rPr>
      <w:rFonts w:eastAsia="Times New Roman" w:cs="Times New Roman"/>
      <w:sz w:val="14"/>
      <w:szCs w:val="20"/>
      <w:u w:val="double"/>
    </w:rPr>
  </w:style>
  <w:style w:type="character" w:customStyle="1" w:styleId="Heading3Char">
    <w:name w:val="Heading 3 Char"/>
    <w:basedOn w:val="DefaultParagraphFont"/>
    <w:link w:val="Heading3"/>
    <w:rsid w:val="00C15CBF"/>
    <w:rPr>
      <w:rFonts w:ascii="Times New Roman" w:eastAsia="Times New Roman" w:hAnsi="Times New Roman" w:cs="Times New Roman"/>
      <w:sz w:val="22"/>
      <w:szCs w:val="20"/>
      <w:u w:val="single"/>
    </w:rPr>
  </w:style>
  <w:style w:type="character" w:customStyle="1" w:styleId="Heading4Char">
    <w:name w:val="Heading 4 Char"/>
    <w:basedOn w:val="DefaultParagraphFont"/>
    <w:link w:val="Heading4"/>
    <w:rsid w:val="00C15CBF"/>
    <w:rPr>
      <w:rFonts w:ascii="Times New Roman" w:eastAsia="Times New Roman" w:hAnsi="Times New Roman" w:cs="Times New Roman"/>
      <w:szCs w:val="20"/>
    </w:rPr>
  </w:style>
  <w:style w:type="character" w:customStyle="1" w:styleId="Heading5Char">
    <w:name w:val="Heading 5 Char"/>
    <w:basedOn w:val="DefaultParagraphFont"/>
    <w:link w:val="Heading5"/>
    <w:rsid w:val="00C15CBF"/>
    <w:rPr>
      <w:rFonts w:ascii="Times New Roman" w:eastAsia="Times New Roman" w:hAnsi="Times New Roman" w:cs="Times New Roman"/>
      <w:sz w:val="22"/>
      <w:szCs w:val="20"/>
    </w:rPr>
  </w:style>
  <w:style w:type="character" w:customStyle="1" w:styleId="Heading6Char">
    <w:name w:val="Heading 6 Char"/>
    <w:basedOn w:val="DefaultParagraphFont"/>
    <w:link w:val="Heading6"/>
    <w:semiHidden/>
    <w:rsid w:val="00C15CBF"/>
    <w:rPr>
      <w:rFonts w:ascii="Calibri" w:eastAsia="Times New Roman" w:hAnsi="Calibri" w:cs="Times New Roman"/>
      <w:b/>
      <w:bCs/>
      <w:sz w:val="22"/>
    </w:rPr>
  </w:style>
  <w:style w:type="character" w:customStyle="1" w:styleId="Heading7Char">
    <w:name w:val="Heading 7 Char"/>
    <w:basedOn w:val="DefaultParagraphFont"/>
    <w:link w:val="Heading7"/>
    <w:rsid w:val="00C15CBF"/>
    <w:rPr>
      <w:rFonts w:ascii="Times New Roman" w:eastAsia="Times New Roman" w:hAnsi="Times New Roman" w:cs="Times New Roman"/>
      <w:szCs w:val="24"/>
    </w:rPr>
  </w:style>
  <w:style w:type="paragraph" w:styleId="BodyText">
    <w:name w:val="Body Text"/>
    <w:basedOn w:val="Normal"/>
    <w:link w:val="BodyTextChar"/>
    <w:rsid w:val="00C15CBF"/>
    <w:pPr>
      <w:jc w:val="both"/>
    </w:pPr>
    <w:rPr>
      <w:rFonts w:ascii="Times New Roman" w:hAnsi="Times New Roman"/>
    </w:rPr>
  </w:style>
  <w:style w:type="character" w:customStyle="1" w:styleId="BodyTextChar">
    <w:name w:val="Body Text Char"/>
    <w:basedOn w:val="DefaultParagraphFont"/>
    <w:link w:val="BodyText"/>
    <w:rsid w:val="00C15CBF"/>
    <w:rPr>
      <w:rFonts w:ascii="Times New Roman" w:eastAsia="Times New Roman" w:hAnsi="Times New Roman" w:cs="Times New Roman"/>
      <w:szCs w:val="20"/>
    </w:rPr>
  </w:style>
  <w:style w:type="character" w:styleId="Hyperlink">
    <w:name w:val="Hyperlink"/>
    <w:rsid w:val="00C15CBF"/>
    <w:rPr>
      <w:color w:val="0000FF"/>
      <w:u w:val="single"/>
    </w:rPr>
  </w:style>
  <w:style w:type="paragraph" w:styleId="BodyText3">
    <w:name w:val="Body Text 3"/>
    <w:basedOn w:val="Normal"/>
    <w:link w:val="BodyText3Char"/>
    <w:rsid w:val="00C15CBF"/>
    <w:pPr>
      <w:widowControl w:val="0"/>
    </w:pPr>
    <w:rPr>
      <w:rFonts w:ascii="Times New Roman" w:hAnsi="Times New Roman"/>
      <w:spacing w:val="-3"/>
      <w:sz w:val="22"/>
    </w:rPr>
  </w:style>
  <w:style w:type="character" w:customStyle="1" w:styleId="BodyText3Char">
    <w:name w:val="Body Text 3 Char"/>
    <w:basedOn w:val="DefaultParagraphFont"/>
    <w:link w:val="BodyText3"/>
    <w:rsid w:val="00C15CBF"/>
    <w:rPr>
      <w:rFonts w:ascii="Times New Roman" w:eastAsia="Times New Roman" w:hAnsi="Times New Roman" w:cs="Times New Roman"/>
      <w:spacing w:val="-3"/>
      <w:sz w:val="22"/>
      <w:szCs w:val="20"/>
    </w:rPr>
  </w:style>
  <w:style w:type="character" w:styleId="PageNumber">
    <w:name w:val="page number"/>
    <w:basedOn w:val="DefaultParagraphFont"/>
    <w:rsid w:val="00C15CBF"/>
  </w:style>
  <w:style w:type="paragraph" w:styleId="BodyText2">
    <w:name w:val="Body Text 2"/>
    <w:basedOn w:val="Normal"/>
    <w:link w:val="BodyText2Char"/>
    <w:rsid w:val="00C15CBF"/>
    <w:pPr>
      <w:ind w:left="720"/>
    </w:pPr>
    <w:rPr>
      <w:rFonts w:ascii="Times New Roman" w:hAnsi="Times New Roman"/>
      <w:spacing w:val="-3"/>
      <w:sz w:val="22"/>
    </w:rPr>
  </w:style>
  <w:style w:type="character" w:customStyle="1" w:styleId="BodyText2Char">
    <w:name w:val="Body Text 2 Char"/>
    <w:basedOn w:val="DefaultParagraphFont"/>
    <w:link w:val="BodyText2"/>
    <w:rsid w:val="00C15CBF"/>
    <w:rPr>
      <w:rFonts w:ascii="Times New Roman" w:eastAsia="Times New Roman" w:hAnsi="Times New Roman" w:cs="Times New Roman"/>
      <w:spacing w:val="-3"/>
      <w:sz w:val="22"/>
      <w:szCs w:val="20"/>
    </w:rPr>
  </w:style>
  <w:style w:type="paragraph" w:styleId="BodyTextIndent">
    <w:name w:val="Body Text Indent"/>
    <w:basedOn w:val="Normal"/>
    <w:link w:val="BodyTextIndentChar"/>
    <w:rsid w:val="00C15CBF"/>
    <w:pPr>
      <w:ind w:left="720"/>
    </w:pPr>
    <w:rPr>
      <w:rFonts w:ascii="Times New Roman" w:hAnsi="Times New Roman"/>
      <w:sz w:val="22"/>
    </w:rPr>
  </w:style>
  <w:style w:type="character" w:customStyle="1" w:styleId="BodyTextIndentChar">
    <w:name w:val="Body Text Indent Char"/>
    <w:basedOn w:val="DefaultParagraphFont"/>
    <w:link w:val="BodyTextIndent"/>
    <w:rsid w:val="00C15CBF"/>
    <w:rPr>
      <w:rFonts w:ascii="Times New Roman" w:eastAsia="Times New Roman" w:hAnsi="Times New Roman" w:cs="Times New Roman"/>
      <w:sz w:val="22"/>
      <w:szCs w:val="20"/>
    </w:rPr>
  </w:style>
  <w:style w:type="paragraph" w:styleId="BodyTextIndent2">
    <w:name w:val="Body Text Indent 2"/>
    <w:basedOn w:val="Normal"/>
    <w:link w:val="BodyTextIndent2Char"/>
    <w:rsid w:val="00C15CBF"/>
    <w:pPr>
      <w:ind w:left="360"/>
    </w:pPr>
    <w:rPr>
      <w:rFonts w:ascii="Times New Roman" w:hAnsi="Times New Roman"/>
      <w:sz w:val="22"/>
    </w:rPr>
  </w:style>
  <w:style w:type="character" w:customStyle="1" w:styleId="BodyTextIndent2Char">
    <w:name w:val="Body Text Indent 2 Char"/>
    <w:basedOn w:val="DefaultParagraphFont"/>
    <w:link w:val="BodyTextIndent2"/>
    <w:rsid w:val="00C15CBF"/>
    <w:rPr>
      <w:rFonts w:ascii="Times New Roman" w:eastAsia="Times New Roman" w:hAnsi="Times New Roman" w:cs="Times New Roman"/>
      <w:sz w:val="22"/>
      <w:szCs w:val="20"/>
    </w:rPr>
  </w:style>
  <w:style w:type="paragraph" w:styleId="BodyTextIndent3">
    <w:name w:val="Body Text Indent 3"/>
    <w:basedOn w:val="Normal"/>
    <w:link w:val="BodyTextIndent3Char"/>
    <w:rsid w:val="00C15CBF"/>
    <w:pPr>
      <w:ind w:left="720"/>
      <w:jc w:val="both"/>
    </w:pPr>
    <w:rPr>
      <w:rFonts w:ascii="Times New Roman" w:hAnsi="Times New Roman"/>
      <w:sz w:val="22"/>
    </w:rPr>
  </w:style>
  <w:style w:type="character" w:customStyle="1" w:styleId="BodyTextIndent3Char">
    <w:name w:val="Body Text Indent 3 Char"/>
    <w:basedOn w:val="DefaultParagraphFont"/>
    <w:link w:val="BodyTextIndent3"/>
    <w:rsid w:val="00C15CBF"/>
    <w:rPr>
      <w:rFonts w:ascii="Times New Roman" w:eastAsia="Times New Roman" w:hAnsi="Times New Roman" w:cs="Times New Roman"/>
      <w:sz w:val="22"/>
      <w:szCs w:val="20"/>
    </w:rPr>
  </w:style>
  <w:style w:type="character" w:styleId="CommentReference">
    <w:name w:val="annotation reference"/>
    <w:semiHidden/>
    <w:rsid w:val="00C15CBF"/>
    <w:rPr>
      <w:sz w:val="16"/>
      <w:szCs w:val="16"/>
    </w:rPr>
  </w:style>
  <w:style w:type="paragraph" w:styleId="CommentText">
    <w:name w:val="annotation text"/>
    <w:basedOn w:val="Normal"/>
    <w:link w:val="CommentTextChar"/>
    <w:semiHidden/>
    <w:rsid w:val="00C15CBF"/>
    <w:rPr>
      <w:sz w:val="20"/>
    </w:rPr>
  </w:style>
  <w:style w:type="character" w:customStyle="1" w:styleId="CommentTextChar">
    <w:name w:val="Comment Text Char"/>
    <w:basedOn w:val="DefaultParagraphFont"/>
    <w:link w:val="CommentText"/>
    <w:semiHidden/>
    <w:rsid w:val="00C15CBF"/>
    <w:rPr>
      <w:rFonts w:ascii="Antique Olive" w:eastAsia="Times New Roman" w:hAnsi="Antique Olive" w:cs="Times New Roman"/>
      <w:sz w:val="20"/>
      <w:szCs w:val="20"/>
    </w:rPr>
  </w:style>
  <w:style w:type="paragraph" w:styleId="CommentSubject">
    <w:name w:val="annotation subject"/>
    <w:basedOn w:val="CommentText"/>
    <w:next w:val="CommentText"/>
    <w:link w:val="CommentSubjectChar"/>
    <w:semiHidden/>
    <w:rsid w:val="00C15CBF"/>
    <w:rPr>
      <w:b/>
      <w:bCs/>
    </w:rPr>
  </w:style>
  <w:style w:type="character" w:customStyle="1" w:styleId="CommentSubjectChar">
    <w:name w:val="Comment Subject Char"/>
    <w:basedOn w:val="CommentTextChar"/>
    <w:link w:val="CommentSubject"/>
    <w:semiHidden/>
    <w:rsid w:val="00C15CBF"/>
    <w:rPr>
      <w:rFonts w:ascii="Antique Olive" w:eastAsia="Times New Roman" w:hAnsi="Antique Olive" w:cs="Times New Roman"/>
      <w:b/>
      <w:bCs/>
      <w:sz w:val="20"/>
      <w:szCs w:val="20"/>
    </w:rPr>
  </w:style>
  <w:style w:type="character" w:styleId="FollowedHyperlink">
    <w:name w:val="FollowedHyperlink"/>
    <w:rsid w:val="00C15CBF"/>
    <w:rPr>
      <w:color w:val="800080"/>
      <w:u w:val="single"/>
    </w:rPr>
  </w:style>
  <w:style w:type="paragraph" w:styleId="FootnoteText">
    <w:name w:val="footnote text"/>
    <w:basedOn w:val="Normal"/>
    <w:link w:val="FootnoteTextChar"/>
    <w:rsid w:val="00C15CBF"/>
    <w:pPr>
      <w:widowControl w:val="0"/>
    </w:pPr>
    <w:rPr>
      <w:rFonts w:ascii="Courier" w:hAnsi="Courier"/>
    </w:rPr>
  </w:style>
  <w:style w:type="character" w:customStyle="1" w:styleId="FootnoteTextChar">
    <w:name w:val="Footnote Text Char"/>
    <w:basedOn w:val="DefaultParagraphFont"/>
    <w:link w:val="FootnoteText"/>
    <w:rsid w:val="00C15CBF"/>
    <w:rPr>
      <w:rFonts w:ascii="Courier" w:eastAsia="Times New Roman" w:hAnsi="Courier" w:cs="Times New Roman"/>
      <w:szCs w:val="20"/>
    </w:rPr>
  </w:style>
  <w:style w:type="paragraph" w:styleId="Title">
    <w:name w:val="Title"/>
    <w:basedOn w:val="Normal"/>
    <w:link w:val="TitleChar"/>
    <w:qFormat/>
    <w:rsid w:val="00C15CBF"/>
    <w:pPr>
      <w:overflowPunct/>
      <w:autoSpaceDE/>
      <w:autoSpaceDN/>
      <w:adjustRightInd/>
      <w:jc w:val="center"/>
      <w:textAlignment w:val="auto"/>
    </w:pPr>
    <w:rPr>
      <w:rFonts w:ascii="Times New Roman" w:hAnsi="Times New Roman"/>
      <w:b/>
      <w:bCs/>
      <w:sz w:val="32"/>
      <w:szCs w:val="24"/>
    </w:rPr>
  </w:style>
  <w:style w:type="character" w:customStyle="1" w:styleId="TitleChar">
    <w:name w:val="Title Char"/>
    <w:basedOn w:val="DefaultParagraphFont"/>
    <w:link w:val="Title"/>
    <w:rsid w:val="00C15CBF"/>
    <w:rPr>
      <w:rFonts w:ascii="Times New Roman" w:eastAsia="Times New Roman" w:hAnsi="Times New Roman" w:cs="Times New Roman"/>
      <w:b/>
      <w:bCs/>
      <w:sz w:val="32"/>
      <w:szCs w:val="24"/>
    </w:rPr>
  </w:style>
  <w:style w:type="paragraph" w:styleId="DocumentMap">
    <w:name w:val="Document Map"/>
    <w:basedOn w:val="Normal"/>
    <w:link w:val="DocumentMapChar"/>
    <w:semiHidden/>
    <w:rsid w:val="00C15CB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15CBF"/>
    <w:rPr>
      <w:rFonts w:ascii="Tahoma" w:eastAsia="Times New Roman" w:hAnsi="Tahoma" w:cs="Tahoma"/>
      <w:sz w:val="20"/>
      <w:szCs w:val="20"/>
      <w:shd w:val="clear" w:color="auto" w:fill="000080"/>
    </w:rPr>
  </w:style>
  <w:style w:type="paragraph" w:customStyle="1" w:styleId="Default">
    <w:name w:val="Default"/>
    <w:rsid w:val="00C15CBF"/>
    <w:pPr>
      <w:autoSpaceDE w:val="0"/>
      <w:autoSpaceDN w:val="0"/>
      <w:adjustRightInd w:val="0"/>
      <w:spacing w:after="0" w:line="240" w:lineRule="auto"/>
    </w:pPr>
    <w:rPr>
      <w:rFonts w:eastAsia="Times New Roman" w:cs="Arial"/>
      <w:color w:val="000000"/>
      <w:szCs w:val="24"/>
    </w:rPr>
  </w:style>
  <w:style w:type="paragraph" w:styleId="ListParagraph">
    <w:name w:val="List Paragraph"/>
    <w:basedOn w:val="Normal"/>
    <w:uiPriority w:val="34"/>
    <w:qFormat/>
    <w:rsid w:val="00C15CBF"/>
    <w:pPr>
      <w:ind w:left="720"/>
    </w:pPr>
  </w:style>
  <w:style w:type="paragraph" w:styleId="HTMLPreformatted">
    <w:name w:val="HTML Preformatted"/>
    <w:basedOn w:val="Normal"/>
    <w:link w:val="HTMLPreformattedChar"/>
    <w:uiPriority w:val="99"/>
    <w:unhideWhenUsed/>
    <w:rsid w:val="00C1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15CBF"/>
    <w:rPr>
      <w:rFonts w:ascii="Courier New" w:eastAsia="Times New Roman" w:hAnsi="Courier New" w:cs="Courier New"/>
      <w:sz w:val="20"/>
      <w:szCs w:val="20"/>
    </w:rPr>
  </w:style>
  <w:style w:type="paragraph" w:styleId="BlockText">
    <w:name w:val="Block Text"/>
    <w:basedOn w:val="Normal"/>
    <w:unhideWhenUsed/>
    <w:rsid w:val="00C15CBF"/>
    <w:pPr>
      <w:tabs>
        <w:tab w:val="left" w:pos="739"/>
        <w:tab w:val="right" w:pos="9572"/>
      </w:tabs>
      <w:overflowPunct/>
      <w:autoSpaceDE/>
      <w:autoSpaceDN/>
      <w:adjustRightInd/>
      <w:ind w:left="720" w:right="720" w:hanging="720"/>
      <w:jc w:val="both"/>
      <w:textAlignment w:val="auto"/>
    </w:pPr>
    <w:rPr>
      <w:rFonts w:ascii="Times New Roman" w:eastAsia="Calibri" w:hAnsi="Times New Roman"/>
    </w:rPr>
  </w:style>
  <w:style w:type="paragraph" w:styleId="NormalWeb">
    <w:name w:val="Normal (Web)"/>
    <w:basedOn w:val="Normal"/>
    <w:uiPriority w:val="99"/>
    <w:unhideWhenUsed/>
    <w:rsid w:val="00C15CBF"/>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rsid w:val="00C15CBF"/>
  </w:style>
  <w:style w:type="character" w:styleId="FootnoteReference">
    <w:name w:val="footnote reference"/>
    <w:basedOn w:val="DefaultParagraphFont"/>
    <w:uiPriority w:val="99"/>
    <w:semiHidden/>
    <w:unhideWhenUsed/>
    <w:rsid w:val="004C00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hcd.ca.gov/fa/UMR9_29_03.pdf" TargetMode="External"/><Relationship Id="rId26" Type="http://schemas.openxmlformats.org/officeDocument/2006/relationships/hyperlink" Target="http://www.hcd.ca.gov/hpd/hrc/rep/state/2014non_HERAIncomeRentsLoanLimits.pdf" TargetMode="External"/><Relationship Id="rId3" Type="http://schemas.openxmlformats.org/officeDocument/2006/relationships/styles" Target="styles.xml"/><Relationship Id="rId21" Type="http://schemas.openxmlformats.org/officeDocument/2006/relationships/hyperlink" Target="http://www.hcd.ca.gov/fa/mhp/" TargetMode="External"/><Relationship Id="rId34" Type="http://schemas.openxmlformats.org/officeDocument/2006/relationships/hyperlink" Target="http://www.hcd.ca.gov/fa/UMR9_29_03.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hudexchange.info/resources/documents/homelessassistanceactamendedbyhearth.pdf" TargetMode="External"/><Relationship Id="rId25" Type="http://schemas.openxmlformats.org/officeDocument/2006/relationships/hyperlink" Target="http://www.hcd.ca.gov/hpd/hrc/rep/state/incNote.html" TargetMode="External"/><Relationship Id="rId33" Type="http://schemas.openxmlformats.org/officeDocument/2006/relationships/hyperlink" Target="http://www.dir.ca.gov/dlsr/DPreWageDetermination.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w.cornell.edu/cfr/text/24/578.3" TargetMode="External"/><Relationship Id="rId20" Type="http://schemas.openxmlformats.org/officeDocument/2006/relationships/hyperlink" Target="http://www.hcd.ca.gov/fa/UMR9_29_03.pdf" TargetMode="External"/><Relationship Id="rId29" Type="http://schemas.openxmlformats.org/officeDocument/2006/relationships/hyperlink" Target="http://www.hcd.ca.gov/fa/UMR9_29_0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cd.ca.gov/fa/UMR9_29_03.pdf" TargetMode="External"/><Relationship Id="rId32" Type="http://schemas.openxmlformats.org/officeDocument/2006/relationships/hyperlink" Target="http://www.hcd.ca.gov/fa/home/UniformMultifamilyRegsFinal071110.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cornell.edu/cfr/text/24/578.3" TargetMode="External"/><Relationship Id="rId23" Type="http://schemas.openxmlformats.org/officeDocument/2006/relationships/hyperlink" Target="http://www.hcd.ca.gov/fa/UMR9_29_03.pdf" TargetMode="External"/><Relationship Id="rId28" Type="http://schemas.openxmlformats.org/officeDocument/2006/relationships/hyperlink" Target="http://www.hcd.ca.gov/fa/MHPRegs9_29_03.pdf" TargetMode="External"/><Relationship Id="rId36" Type="http://schemas.openxmlformats.org/officeDocument/2006/relationships/hyperlink" Target="http://www.csh.org" TargetMode="External"/><Relationship Id="rId10" Type="http://schemas.openxmlformats.org/officeDocument/2006/relationships/header" Target="header1.xml"/><Relationship Id="rId19" Type="http://schemas.openxmlformats.org/officeDocument/2006/relationships/hyperlink" Target="http://www.hcd.ca.gov/fa/UMR9_29_03.pdf" TargetMode="External"/><Relationship Id="rId31" Type="http://schemas.openxmlformats.org/officeDocument/2006/relationships/hyperlink" Target="http://www.hcd.ca.gov/fa/UMR9_29_0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endra.Gubaydullin@hcd.ca.gov" TargetMode="External"/><Relationship Id="rId22" Type="http://schemas.openxmlformats.org/officeDocument/2006/relationships/hyperlink" Target="http://www.hcd.ca.gov/hpd/hrc/rep/state/2014non_HERAIncomeRentsLoanLimits.pdf" TargetMode="External"/><Relationship Id="rId27" Type="http://schemas.openxmlformats.org/officeDocument/2006/relationships/hyperlink" Target="http://www.hcd.ca.gov/fa/UMR9_29_03.pdf" TargetMode="External"/><Relationship Id="rId30" Type="http://schemas.openxmlformats.org/officeDocument/2006/relationships/hyperlink" Target="http://www.hcd.ca.gov/fa/UMR9_29_03.pdf" TargetMode="External"/><Relationship Id="rId35" Type="http://schemas.openxmlformats.org/officeDocument/2006/relationships/hyperlink" Target="http://www.hcd.ca.gov/fa/mhp/MHP-LoanClosing/ManagementMemo07-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C79C-F8A1-42A5-9C86-C16212E7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7186</Words>
  <Characters>40962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Housing and Community Development (HCD)</Company>
  <LinksUpToDate>false</LinksUpToDate>
  <CharactersWithSpaces>48052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grodine</dc:creator>
  <cp:lastModifiedBy>cdifranc</cp:lastModifiedBy>
  <cp:revision>11</cp:revision>
  <cp:lastPrinted>2015-02-17T20:50:00Z</cp:lastPrinted>
  <dcterms:created xsi:type="dcterms:W3CDTF">2015-02-24T19:20:00Z</dcterms:created>
  <dcterms:modified xsi:type="dcterms:W3CDTF">2015-03-02T16:20:00Z</dcterms:modified>
</cp:coreProperties>
</file>