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8FEFB" w14:textId="0F1B81BA"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705EA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5EAD">
        <w:rPr>
          <w:rFonts w:cs="Arial"/>
        </w:rPr>
        <w:t>CALIFORNIA DEPARTMENT OF HOUSING AND COMMUNITY DEVELOPMENT</w:t>
      </w:r>
      <w:r w:rsidR="00767766" w:rsidRPr="0044593B">
        <w:rPr>
          <w:rFonts w:cs="Arial"/>
        </w:rPr>
        <w:br/>
        <w:t xml:space="preserve">REGARDING THE </w:t>
      </w:r>
      <w:r w:rsidR="00705EAD">
        <w:rPr>
          <w:rFonts w:cs="Arial"/>
        </w:rPr>
        <w:t xml:space="preserve">2025 CALIFORNIA </w:t>
      </w:r>
      <w:r w:rsidR="00515BAF">
        <w:rPr>
          <w:rFonts w:cs="Arial"/>
        </w:rPr>
        <w:t xml:space="preserve">RESIDENTIAL </w:t>
      </w:r>
      <w:r w:rsidR="00705EAD">
        <w:rPr>
          <w:rFonts w:cs="Arial"/>
        </w:rPr>
        <w:t>CODE</w:t>
      </w:r>
      <w:r w:rsidR="00767766" w:rsidRPr="0044593B">
        <w:rPr>
          <w:rFonts w:cs="Arial"/>
        </w:rPr>
        <w:t>,</w:t>
      </w:r>
      <w:r w:rsidR="000C7383">
        <w:rPr>
          <w:rFonts w:cs="Arial"/>
        </w:rPr>
        <w:br/>
      </w:r>
      <w:r w:rsidR="00767766" w:rsidRPr="0044593B">
        <w:rPr>
          <w:rFonts w:cs="Arial"/>
        </w:rPr>
        <w:t xml:space="preserve">CALIFORNIA CODE OF REGULATIONS, TITLE 24, PART </w:t>
      </w:r>
      <w:r w:rsidR="00705EAD">
        <w:rPr>
          <w:rFonts w:cs="Arial"/>
        </w:rPr>
        <w:t>2</w:t>
      </w:r>
      <w:r w:rsidR="00A562C7">
        <w:rPr>
          <w:rFonts w:cs="Arial"/>
        </w:rPr>
        <w:t>.5</w:t>
      </w:r>
      <w:r w:rsidR="000C7383">
        <w:rPr>
          <w:rFonts w:cs="Arial"/>
        </w:rPr>
        <w:br/>
      </w:r>
      <w:r w:rsidR="00767766" w:rsidRPr="0044593B">
        <w:rPr>
          <w:rFonts w:cs="Arial"/>
          <w:szCs w:val="24"/>
        </w:rPr>
        <w:t>(</w:t>
      </w:r>
      <w:r w:rsidR="003204F7">
        <w:rPr>
          <w:rFonts w:cs="Arial"/>
          <w:szCs w:val="24"/>
        </w:rPr>
        <w:t>HCD 0</w:t>
      </w:r>
      <w:r w:rsidR="009A6E28">
        <w:rPr>
          <w:rFonts w:cs="Arial"/>
          <w:szCs w:val="24"/>
        </w:rPr>
        <w:t>7</w:t>
      </w:r>
      <w:r w:rsidR="003204F7">
        <w:rPr>
          <w:rFonts w:cs="Arial"/>
          <w:szCs w:val="24"/>
        </w:rPr>
        <w:t>/24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1AB5D15C"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3BF58C89" w:rsidR="007556D6" w:rsidRPr="00AD67B3" w:rsidRDefault="007556D6" w:rsidP="007556D6">
      <w:pPr>
        <w:pStyle w:val="Heading2"/>
        <w:spacing w:after="0"/>
        <w:rPr>
          <w:rFonts w:cs="Arial"/>
        </w:rPr>
      </w:pPr>
      <w:r w:rsidRPr="00AD67B3">
        <w:rPr>
          <w:rFonts w:cs="Arial"/>
        </w:rPr>
        <w:t xml:space="preserve">LEGEND for </w:t>
      </w:r>
      <w:r w:rsidR="00077002">
        <w:rPr>
          <w:rFonts w:cs="Arial"/>
        </w:rPr>
        <w:t xml:space="preserve">FINAL </w:t>
      </w:r>
      <w:r w:rsidRPr="00AD67B3">
        <w:rPr>
          <w:rFonts w:cs="Arial"/>
        </w:rPr>
        <w:t xml:space="preserve">EXPRESS TERMS </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66C09E2D" w14:textId="0D9E7750" w:rsidR="007556D6" w:rsidRPr="006A0F8B" w:rsidRDefault="006A0F7E" w:rsidP="00077002">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bookmarkEnd w:id="0"/>
    </w:p>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259CFE0E" w:rsidR="00711AEC" w:rsidRDefault="00711AEC" w:rsidP="006609B8">
      <w:pPr>
        <w:pStyle w:val="Heading2"/>
      </w:pPr>
      <w:r>
        <w:t xml:space="preserve">ADDENDUM to </w:t>
      </w:r>
      <w:r w:rsidR="006A0F8B">
        <w:rPr>
          <w:rFonts w:cs="Arial"/>
        </w:rPr>
        <w:t>FINAL</w:t>
      </w:r>
      <w:r w:rsidRPr="0027688C">
        <w:t xml:space="preserve"> EXPRESS TERMS</w:t>
      </w:r>
      <w:r>
        <w:t xml:space="preserve"> and</w:t>
      </w:r>
      <w:r w:rsidRPr="004F291C">
        <w:t xml:space="preserve"> RATIONALE</w:t>
      </w:r>
    </w:p>
    <w:p w14:paraId="602A451A" w14:textId="77777777" w:rsidR="008C28D9" w:rsidRPr="00414F9C" w:rsidRDefault="008C28D9" w:rsidP="008C28D9">
      <w:pPr>
        <w:pStyle w:val="Heading3"/>
        <w:spacing w:before="0"/>
        <w:rPr>
          <w:rFonts w:eastAsia="Calibri" w:cs="Arial"/>
          <w:bCs/>
          <w:snapToGrid/>
        </w:rPr>
      </w:pPr>
      <w:r w:rsidRPr="00414F9C">
        <w:rPr>
          <w:rFonts w:eastAsia="Calibri" w:cs="Arial"/>
          <w:snapToGrid/>
        </w:rPr>
        <w:t xml:space="preserve">ITEM </w:t>
      </w:r>
      <w:r w:rsidRPr="00414F9C">
        <w:rPr>
          <w:rFonts w:eastAsia="Calibri" w:cs="Arial"/>
          <w:bCs/>
          <w:snapToGrid/>
        </w:rPr>
        <w:t>23</w:t>
      </w:r>
      <w:r w:rsidRPr="00414F9C">
        <w:rPr>
          <w:rFonts w:eastAsia="Calibri" w:cs="Arial"/>
          <w:snapToGrid/>
        </w:rPr>
        <w:br/>
      </w:r>
      <w:r w:rsidRPr="00414F9C">
        <w:t>Appendix BB Tiny Houses</w:t>
      </w:r>
      <w:r w:rsidRPr="0036252B">
        <w:t xml:space="preserve"> [formerly Appendix AQ]</w:t>
      </w:r>
    </w:p>
    <w:p w14:paraId="50A9E26B" w14:textId="5336B252" w:rsidR="008C28D9" w:rsidRPr="00414F9C" w:rsidRDefault="008C28D9" w:rsidP="00AF2C44">
      <w:pPr>
        <w:widowControl/>
        <w:spacing w:after="120"/>
        <w:rPr>
          <w:rFonts w:eastAsia="Calibri" w:cs="Arial"/>
          <w:snapToGrid/>
        </w:rPr>
      </w:pPr>
      <w:r w:rsidRPr="2B3C59E6">
        <w:rPr>
          <w:rFonts w:eastAsia="Calibri" w:cs="Arial"/>
          <w:snapToGrid/>
        </w:rPr>
        <w:t>HCD proposes to contin</w:t>
      </w:r>
      <w:r w:rsidRPr="00F9763D">
        <w:rPr>
          <w:rFonts w:eastAsia="Calibri" w:cs="Arial"/>
          <w:snapToGrid/>
        </w:rPr>
        <w:t>ue to adopt Appendix BB [formerly Appendix AQ]</w:t>
      </w:r>
      <w:r w:rsidR="00F9763D" w:rsidRPr="00F9763D">
        <w:rPr>
          <w:rFonts w:eastAsia="Calibri" w:cs="Arial"/>
          <w:snapToGrid/>
        </w:rPr>
        <w:t xml:space="preserve"> </w:t>
      </w:r>
      <w:r w:rsidR="00F9763D" w:rsidRPr="00F9763D">
        <w:rPr>
          <w:rFonts w:eastAsia="Calibri" w:cs="Arial"/>
          <w:snapToGrid/>
          <w:u w:val="single"/>
        </w:rPr>
        <w:t>(except section BB106)</w:t>
      </w:r>
      <w:r w:rsidRPr="2B3C59E6">
        <w:rPr>
          <w:rFonts w:eastAsia="Calibri" w:cs="Arial"/>
          <w:snapToGrid/>
        </w:rPr>
        <w:t xml:space="preserve">, from the 2024 IRC into the 2025 CRC </w:t>
      </w:r>
      <w:r w:rsidRPr="00554279">
        <w:rPr>
          <w:rFonts w:eastAsia="Calibri" w:cs="Arial"/>
          <w:strike/>
          <w:snapToGrid/>
        </w:rPr>
        <w:t>without modification</w:t>
      </w:r>
      <w:r w:rsidR="00F9763D">
        <w:rPr>
          <w:rFonts w:eastAsia="Calibri" w:cs="Arial"/>
          <w:snapToGrid/>
        </w:rPr>
        <w:t>.</w:t>
      </w:r>
    </w:p>
    <w:p w14:paraId="205FF2E6" w14:textId="77777777" w:rsidR="008C28D9" w:rsidRDefault="008C28D9" w:rsidP="00AF2C44">
      <w:pPr>
        <w:widowControl/>
        <w:autoSpaceDE w:val="0"/>
        <w:autoSpaceDN w:val="0"/>
        <w:adjustRightInd w:val="0"/>
        <w:spacing w:after="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0E8B7305" w14:textId="5BE3E16D" w:rsidR="007F7E97" w:rsidRPr="00935CB2" w:rsidRDefault="007F7E97" w:rsidP="00AF2C44">
      <w:pPr>
        <w:keepNext/>
        <w:autoSpaceDE w:val="0"/>
        <w:autoSpaceDN w:val="0"/>
        <w:adjustRightInd w:val="0"/>
        <w:spacing w:after="120"/>
        <w:jc w:val="center"/>
        <w:rPr>
          <w:rFonts w:eastAsia="Calibri" w:cs="Arial"/>
          <w:b/>
          <w:bCs/>
          <w:strike/>
          <w:snapToGrid/>
          <w:szCs w:val="24"/>
        </w:rPr>
      </w:pPr>
      <w:bookmarkStart w:id="1" w:name="_Hlk185412885"/>
      <w:r w:rsidRPr="00935CB2">
        <w:rPr>
          <w:rFonts w:eastAsia="Calibri" w:cs="Arial"/>
          <w:b/>
          <w:bCs/>
          <w:strike/>
          <w:snapToGrid/>
          <w:szCs w:val="24"/>
        </w:rPr>
        <w:t xml:space="preserve">SECTION </w:t>
      </w:r>
      <w:r w:rsidR="009D423C">
        <w:rPr>
          <w:rFonts w:eastAsia="Calibri" w:cs="Arial"/>
          <w:b/>
          <w:bCs/>
          <w:strike/>
          <w:snapToGrid/>
          <w:szCs w:val="24"/>
        </w:rPr>
        <w:t>BB</w:t>
      </w:r>
      <w:r w:rsidRPr="00935CB2">
        <w:rPr>
          <w:rFonts w:eastAsia="Calibri" w:cs="Arial"/>
          <w:b/>
          <w:bCs/>
          <w:strike/>
          <w:snapToGrid/>
          <w:szCs w:val="24"/>
        </w:rPr>
        <w:t>106</w:t>
      </w:r>
      <w:r w:rsidR="00D91CA4">
        <w:rPr>
          <w:rFonts w:eastAsia="Calibri" w:cs="Arial"/>
          <w:b/>
          <w:bCs/>
          <w:strike/>
          <w:snapToGrid/>
          <w:szCs w:val="24"/>
        </w:rPr>
        <w:t xml:space="preserve"> - </w:t>
      </w:r>
      <w:r w:rsidRPr="00935CB2">
        <w:rPr>
          <w:rFonts w:eastAsia="Calibri" w:cs="Arial"/>
          <w:b/>
          <w:bCs/>
          <w:strike/>
          <w:snapToGrid/>
          <w:szCs w:val="24"/>
        </w:rPr>
        <w:t>ENERGY CONSERVATION</w:t>
      </w:r>
    </w:p>
    <w:bookmarkEnd w:id="1"/>
    <w:p w14:paraId="430D93A1" w14:textId="3B40C159" w:rsidR="00160F71" w:rsidRPr="00D94AC1" w:rsidRDefault="009D423C" w:rsidP="00AF2C44">
      <w:pPr>
        <w:keepNext/>
        <w:spacing w:after="120"/>
        <w:rPr>
          <w:rFonts w:cs="Arial"/>
          <w:b/>
          <w:strike/>
        </w:rPr>
      </w:pPr>
      <w:r w:rsidRPr="00D94AC1">
        <w:rPr>
          <w:rFonts w:cs="Arial"/>
          <w:b/>
          <w:strike/>
        </w:rPr>
        <w:t>BB</w:t>
      </w:r>
      <w:r w:rsidR="00AD1F6F" w:rsidRPr="00D94AC1">
        <w:rPr>
          <w:rFonts w:cs="Arial"/>
          <w:b/>
          <w:strike/>
        </w:rPr>
        <w:t>106.1 Air leakage testing.</w:t>
      </w:r>
      <w:r w:rsidR="0061675D" w:rsidRPr="00D94AC1">
        <w:rPr>
          <w:rFonts w:cs="Arial"/>
          <w:b/>
          <w:strike/>
        </w:rPr>
        <w:t xml:space="preserve"> </w:t>
      </w:r>
      <w:r w:rsidR="00160F71" w:rsidRPr="00D94AC1">
        <w:rPr>
          <w:rFonts w:cs="Arial"/>
          <w:bCs/>
          <w:strike/>
        </w:rPr>
        <w:t xml:space="preserve">The air leakage rate for tiny houses shall not exceed 0.30 cubic feet per minute at 50 Pascals of pressure per square foot of the dwelling unit enclosure area. The air leakage testing shall be in accordance with the testing methods </w:t>
      </w:r>
      <w:r w:rsidR="0086240D" w:rsidRPr="00D94AC1">
        <w:rPr>
          <w:rFonts w:cs="Arial"/>
          <w:bCs/>
          <w:strike/>
        </w:rPr>
        <w:lastRenderedPageBreak/>
        <w:t>required in</w:t>
      </w:r>
      <w:r w:rsidR="00160F71" w:rsidRPr="00D94AC1">
        <w:rPr>
          <w:rFonts w:cs="Arial"/>
          <w:bCs/>
          <w:strike/>
        </w:rPr>
        <w:t xml:space="preserve"> Section N1102.5.1.2. The dwelling unit enclosure area shall be the sum of the areas of ceilings, floors and walls that separate the conditioned space of a dwelling unit from the exterior, its adjacent unconditioned spaces and adjacent dwelling units.</w:t>
      </w:r>
    </w:p>
    <w:p w14:paraId="197F25DE" w14:textId="0353D57A" w:rsidR="001C3AF8" w:rsidRPr="00D94AC1" w:rsidRDefault="00C76404" w:rsidP="00AF2C44">
      <w:pPr>
        <w:keepNext/>
        <w:widowControl/>
        <w:spacing w:after="120"/>
        <w:rPr>
          <w:rFonts w:cs="Arial"/>
          <w:b/>
          <w:strike/>
        </w:rPr>
      </w:pPr>
      <w:r w:rsidRPr="00D94AC1">
        <w:rPr>
          <w:rFonts w:cs="Arial"/>
          <w:bCs/>
        </w:rPr>
        <w:tab/>
      </w:r>
      <w:r w:rsidR="009D423C" w:rsidRPr="00D94AC1">
        <w:rPr>
          <w:rFonts w:cs="Arial"/>
          <w:b/>
          <w:strike/>
        </w:rPr>
        <w:t>BB</w:t>
      </w:r>
      <w:r w:rsidRPr="00D94AC1">
        <w:rPr>
          <w:rFonts w:cs="Arial"/>
          <w:b/>
          <w:strike/>
        </w:rPr>
        <w:t>106.1.1 Whole-house mechanical ventilation.</w:t>
      </w:r>
      <w:r w:rsidR="00DA3403" w:rsidRPr="00D94AC1">
        <w:rPr>
          <w:rFonts w:cs="Arial"/>
          <w:b/>
          <w:strike/>
        </w:rPr>
        <w:t xml:space="preserve"> </w:t>
      </w:r>
      <w:r w:rsidR="00C06859" w:rsidRPr="00D94AC1">
        <w:rPr>
          <w:rFonts w:cs="Arial"/>
          <w:bCs/>
          <w:strike/>
        </w:rPr>
        <w:t>Where the air leakage rate is in accordance with Section BB106.1, the tiny house shall be provided with whole-house mechanical ventilation in accordance with Section M1505.4.</w:t>
      </w:r>
    </w:p>
    <w:p w14:paraId="3B6BF0FD" w14:textId="5C3EA9EA" w:rsidR="00704A52" w:rsidRPr="00D94AC1" w:rsidRDefault="009D423C" w:rsidP="00AF2C44">
      <w:pPr>
        <w:keepNext/>
        <w:widowControl/>
        <w:spacing w:after="120"/>
        <w:rPr>
          <w:rFonts w:cs="Arial"/>
          <w:bCs/>
          <w:strike/>
        </w:rPr>
      </w:pPr>
      <w:r w:rsidRPr="00D94AC1">
        <w:rPr>
          <w:rFonts w:cs="Arial"/>
          <w:b/>
          <w:strike/>
        </w:rPr>
        <w:t>BB</w:t>
      </w:r>
      <w:r w:rsidR="00C76404" w:rsidRPr="00D94AC1">
        <w:rPr>
          <w:rFonts w:cs="Arial"/>
          <w:b/>
          <w:strike/>
        </w:rPr>
        <w:t>106.2 Alternative compliance</w:t>
      </w:r>
      <w:r w:rsidR="00191BE9" w:rsidRPr="00D94AC1">
        <w:rPr>
          <w:rFonts w:cs="Arial"/>
          <w:b/>
          <w:strike/>
        </w:rPr>
        <w:t xml:space="preserve">. </w:t>
      </w:r>
      <w:r w:rsidR="00C76404" w:rsidRPr="00D94AC1">
        <w:rPr>
          <w:rFonts w:cs="Arial"/>
          <w:bCs/>
          <w:strike/>
        </w:rPr>
        <w:t xml:space="preserve">Tiny </w:t>
      </w:r>
      <w:r w:rsidR="00E11519" w:rsidRPr="00D94AC1">
        <w:rPr>
          <w:rFonts w:cs="Arial"/>
          <w:bCs/>
          <w:strike/>
        </w:rPr>
        <w:t xml:space="preserve">houses shall be deemed to </w:t>
      </w:r>
      <w:proofErr w:type="gramStart"/>
      <w:r w:rsidR="00E11519" w:rsidRPr="00D94AC1">
        <w:rPr>
          <w:rFonts w:cs="Arial"/>
          <w:bCs/>
          <w:strike/>
        </w:rPr>
        <w:t>be in compliance with</w:t>
      </w:r>
      <w:proofErr w:type="gramEnd"/>
      <w:r w:rsidR="00E11519" w:rsidRPr="00D94AC1">
        <w:rPr>
          <w:rFonts w:cs="Arial"/>
          <w:bCs/>
          <w:strike/>
        </w:rPr>
        <w:t xml:space="preserve"> Chapter 11 of this code and Chapter R4 of </w:t>
      </w:r>
      <w:r w:rsidR="00F044CD" w:rsidRPr="00D94AC1">
        <w:rPr>
          <w:rFonts w:cs="Arial"/>
          <w:bCs/>
          <w:strike/>
        </w:rPr>
        <w:t>t</w:t>
      </w:r>
      <w:r w:rsidR="00E11519" w:rsidRPr="00D94AC1">
        <w:rPr>
          <w:rFonts w:cs="Arial"/>
          <w:bCs/>
          <w:strike/>
        </w:rPr>
        <w:t>he International Energy Conservation Code, provided that the following conditions are met:</w:t>
      </w:r>
    </w:p>
    <w:p w14:paraId="209D52F4" w14:textId="3C0D0054" w:rsidR="00C76404"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The insulation and fenestration meet the requirements of Table N1102.1.2</w:t>
      </w:r>
    </w:p>
    <w:p w14:paraId="1032E8F2" w14:textId="572C1AB6"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The thermal envelope meets the requirements of Section N1102.</w:t>
      </w:r>
      <w:r w:rsidR="0037752A" w:rsidRPr="00D94AC1">
        <w:rPr>
          <w:rFonts w:cs="Arial"/>
          <w:bCs/>
          <w:strike/>
        </w:rPr>
        <w:t>5</w:t>
      </w:r>
      <w:r w:rsidRPr="00D94AC1">
        <w:rPr>
          <w:rFonts w:cs="Arial"/>
          <w:bCs/>
          <w:strike/>
        </w:rPr>
        <w:t>.</w:t>
      </w:r>
      <w:r w:rsidR="0037752A" w:rsidRPr="00D94AC1">
        <w:rPr>
          <w:rFonts w:cs="Arial"/>
          <w:bCs/>
          <w:strike/>
        </w:rPr>
        <w:t>1</w:t>
      </w:r>
      <w:r w:rsidRPr="00D94AC1">
        <w:rPr>
          <w:rFonts w:cs="Arial"/>
          <w:bCs/>
          <w:strike/>
        </w:rPr>
        <w:t>.</w:t>
      </w:r>
      <w:r w:rsidR="0037752A" w:rsidRPr="00D94AC1">
        <w:rPr>
          <w:rFonts w:cs="Arial"/>
          <w:bCs/>
          <w:strike/>
        </w:rPr>
        <w:t>1</w:t>
      </w:r>
      <w:r w:rsidRPr="00D94AC1">
        <w:rPr>
          <w:rFonts w:cs="Arial"/>
          <w:bCs/>
          <w:strike/>
        </w:rPr>
        <w:t xml:space="preserve"> and Table N1102.</w:t>
      </w:r>
      <w:r w:rsidR="0037752A" w:rsidRPr="00D94AC1">
        <w:rPr>
          <w:rFonts w:cs="Arial"/>
          <w:bCs/>
          <w:strike/>
        </w:rPr>
        <w:t>5</w:t>
      </w:r>
      <w:r w:rsidRPr="00D94AC1">
        <w:rPr>
          <w:rFonts w:cs="Arial"/>
          <w:bCs/>
          <w:strike/>
        </w:rPr>
        <w:t>.1.1.</w:t>
      </w:r>
    </w:p>
    <w:p w14:paraId="5A345EE5" w14:textId="305E88DC"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 xml:space="preserve">Solar, wind or other renewable energy source supplies not less than 90 percent of the energy use for the structure. </w:t>
      </w:r>
    </w:p>
    <w:p w14:paraId="00D82929" w14:textId="79CF019A"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Solar, wind or other renewable energy supplies not less than 90 percent of the energy for service water heating.</w:t>
      </w:r>
    </w:p>
    <w:p w14:paraId="09536601" w14:textId="4F6FAFE0" w:rsidR="00704A52"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Permanently installed lighting is in accordance with Section N1104.</w:t>
      </w:r>
    </w:p>
    <w:p w14:paraId="11AEA30A" w14:textId="3E716E6A" w:rsidR="00C76404" w:rsidRPr="00D94AC1" w:rsidRDefault="00704A52" w:rsidP="00AF2C44">
      <w:pPr>
        <w:pStyle w:val="ListParagraph"/>
        <w:keepNext/>
        <w:widowControl/>
        <w:numPr>
          <w:ilvl w:val="0"/>
          <w:numId w:val="37"/>
        </w:numPr>
        <w:spacing w:after="120"/>
        <w:contextualSpacing w:val="0"/>
        <w:rPr>
          <w:rFonts w:cs="Arial"/>
          <w:bCs/>
          <w:strike/>
        </w:rPr>
      </w:pPr>
      <w:r w:rsidRPr="00D94AC1">
        <w:rPr>
          <w:rFonts w:cs="Arial"/>
          <w:bCs/>
          <w:strike/>
        </w:rPr>
        <w:t xml:space="preserve">Mechanical ventilation is provided in accordance with Section </w:t>
      </w:r>
      <w:proofErr w:type="gramStart"/>
      <w:r w:rsidRPr="00D94AC1">
        <w:rPr>
          <w:rFonts w:cs="Arial"/>
          <w:bCs/>
          <w:strike/>
        </w:rPr>
        <w:t>M1505</w:t>
      </w:r>
      <w:proofErr w:type="gramEnd"/>
      <w:r w:rsidRPr="00D94AC1">
        <w:rPr>
          <w:rFonts w:cs="Arial"/>
          <w:bCs/>
          <w:strike/>
        </w:rPr>
        <w:t xml:space="preserve"> and operable fenestration is not used to meet ventilation requirements. </w:t>
      </w:r>
    </w:p>
    <w:p w14:paraId="773F0D9C" w14:textId="6151A425" w:rsidR="00507877" w:rsidRPr="00D9010A" w:rsidRDefault="00507877" w:rsidP="00191BE9">
      <w:pPr>
        <w:keepNext/>
        <w:widowControl/>
        <w:spacing w:before="120" w:after="240"/>
        <w:rPr>
          <w:rFonts w:cs="Arial"/>
        </w:rPr>
      </w:pPr>
      <w:r w:rsidRPr="0044593B">
        <w:rPr>
          <w:rFonts w:cs="Arial"/>
          <w:b/>
        </w:rPr>
        <w:t>Rationale:</w:t>
      </w:r>
      <w:r w:rsidRPr="0044593B">
        <w:rPr>
          <w:rFonts w:cs="Arial"/>
        </w:rPr>
        <w:t xml:space="preserve"> </w:t>
      </w:r>
      <w:r w:rsidR="00C35D04">
        <w:rPr>
          <w:rFonts w:cs="Arial"/>
        </w:rPr>
        <w:t>HCD</w:t>
      </w:r>
      <w:r w:rsidR="007C6B5E">
        <w:rPr>
          <w:rFonts w:cs="Arial"/>
        </w:rPr>
        <w:t xml:space="preserve"> has identified a section</w:t>
      </w:r>
      <w:r w:rsidR="00890713">
        <w:rPr>
          <w:rFonts w:cs="Arial"/>
        </w:rPr>
        <w:t xml:space="preserve"> </w:t>
      </w:r>
      <w:r w:rsidR="006571FA">
        <w:rPr>
          <w:rFonts w:cs="Arial"/>
        </w:rPr>
        <w:t xml:space="preserve">in </w:t>
      </w:r>
      <w:r w:rsidR="00F071AF">
        <w:rPr>
          <w:rFonts w:cs="Arial"/>
        </w:rPr>
        <w:t>Appendix BB</w:t>
      </w:r>
      <w:r w:rsidR="00444341">
        <w:rPr>
          <w:rFonts w:cs="Arial"/>
        </w:rPr>
        <w:t xml:space="preserve"> that conflicts with </w:t>
      </w:r>
      <w:r w:rsidR="00390409">
        <w:rPr>
          <w:rFonts w:cs="Arial"/>
        </w:rPr>
        <w:t xml:space="preserve">the </w:t>
      </w:r>
      <w:r w:rsidR="002C667E">
        <w:rPr>
          <w:rFonts w:cs="Arial"/>
        </w:rPr>
        <w:t>California Energy Code, p</w:t>
      </w:r>
      <w:r w:rsidR="00444341">
        <w:rPr>
          <w:rFonts w:cs="Arial"/>
        </w:rPr>
        <w:t>art 6</w:t>
      </w:r>
      <w:r w:rsidR="002C667E">
        <w:rPr>
          <w:rFonts w:cs="Arial"/>
        </w:rPr>
        <w:t xml:space="preserve">. </w:t>
      </w:r>
      <w:r w:rsidR="00DC2FE0" w:rsidRPr="00264586">
        <w:rPr>
          <w:rFonts w:cs="Arial"/>
        </w:rPr>
        <w:t xml:space="preserve">HCD does </w:t>
      </w:r>
      <w:r w:rsidR="00DC2FE0">
        <w:rPr>
          <w:rFonts w:cs="Arial"/>
        </w:rPr>
        <w:t>not</w:t>
      </w:r>
      <w:r w:rsidR="00DC2FE0" w:rsidRPr="00264586">
        <w:rPr>
          <w:rFonts w:cs="Arial"/>
        </w:rPr>
        <w:t xml:space="preserve"> adopt Part IV, Energy Conservation, which includes Chapter 11, from the 2024 IRC</w:t>
      </w:r>
      <w:r w:rsidR="00DC2FE0">
        <w:rPr>
          <w:rFonts w:cs="Arial"/>
        </w:rPr>
        <w:t xml:space="preserve"> which is referenced in BB106.</w:t>
      </w:r>
      <w:r w:rsidR="00DC2FE0" w:rsidRPr="001078FD">
        <w:rPr>
          <w:rFonts w:cs="Arial"/>
        </w:rPr>
        <w:t xml:space="preserve"> </w:t>
      </w:r>
      <w:r w:rsidR="002C667E">
        <w:rPr>
          <w:rFonts w:cs="Arial"/>
        </w:rPr>
        <w:t>H</w:t>
      </w:r>
      <w:r w:rsidR="00475B05">
        <w:rPr>
          <w:rFonts w:cs="Arial"/>
        </w:rPr>
        <w:t>CD</w:t>
      </w:r>
      <w:r w:rsidR="00C35D04">
        <w:rPr>
          <w:rFonts w:cs="Arial"/>
        </w:rPr>
        <w:t xml:space="preserve"> proposes to continue to adopt Appendix BB with the exception of section </w:t>
      </w:r>
      <w:r w:rsidR="009D423C">
        <w:rPr>
          <w:rFonts w:cs="Arial"/>
        </w:rPr>
        <w:t>BB</w:t>
      </w:r>
      <w:r w:rsidR="00C35D04">
        <w:rPr>
          <w:rFonts w:cs="Arial"/>
        </w:rPr>
        <w:t>106 Energy Conservation</w:t>
      </w:r>
      <w:r w:rsidR="005C0EAA">
        <w:rPr>
          <w:rFonts w:cs="Arial"/>
        </w:rPr>
        <w:t>.</w:t>
      </w:r>
      <w:r w:rsidR="00DD1956">
        <w:rPr>
          <w:rFonts w:cs="Arial"/>
        </w:rPr>
        <w:t xml:space="preserve"> </w:t>
      </w:r>
    </w:p>
    <w:p w14:paraId="1BF614BC" w14:textId="77777777" w:rsidR="008C28D9" w:rsidRPr="000C1344" w:rsidRDefault="008C28D9" w:rsidP="008C28D9">
      <w:r w:rsidRPr="00414F9C">
        <w:rPr>
          <w:b/>
        </w:rPr>
        <w:t>Notation</w:t>
      </w:r>
      <w:r w:rsidRPr="000C1344">
        <w:t xml:space="preserve">: </w:t>
      </w:r>
    </w:p>
    <w:p w14:paraId="2BE1CA79" w14:textId="45737D15" w:rsidR="00264586" w:rsidRPr="00AF2C44" w:rsidRDefault="008C28D9" w:rsidP="00AF2C44">
      <w:pPr>
        <w:spacing w:after="120"/>
        <w:rPr>
          <w:rFonts w:cs="Arial"/>
          <w:szCs w:val="24"/>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Pr>
          <w:rFonts w:cs="Arial"/>
          <w:szCs w:val="24"/>
        </w:rPr>
        <w:t>12955.1.1.</w:t>
      </w:r>
    </w:p>
    <w:p w14:paraId="069FEBC7" w14:textId="4A9BABC4" w:rsidR="008C28D9" w:rsidRPr="00507877" w:rsidRDefault="008C28D9" w:rsidP="00AF2C44">
      <w:pPr>
        <w:spacing w:after="360"/>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AAF299" w14:textId="591F7B26" w:rsidR="00B20605" w:rsidRPr="0044593B" w:rsidRDefault="00F25C09" w:rsidP="00B448C4">
      <w:pPr>
        <w:pStyle w:val="Default"/>
        <w:spacing w:before="120" w:after="240"/>
      </w:pPr>
      <w:r>
        <w:t xml:space="preserve">The </w:t>
      </w:r>
      <w:r w:rsidR="00C81338">
        <w:t xml:space="preserve">Department of Housing and Community Development </w:t>
      </w:r>
      <w:r w:rsidR="00F22ED6" w:rsidRPr="00F94C2F">
        <w:t xml:space="preserve">requests the </w:t>
      </w:r>
      <w:r w:rsidR="00B20605">
        <w:t>Commission</w:t>
      </w:r>
      <w:r w:rsidR="00F22ED6">
        <w:t xml:space="preserve"> </w:t>
      </w:r>
      <w:r w:rsidR="00F22ED6" w:rsidRPr="00F94C2F">
        <w:t xml:space="preserve">to </w:t>
      </w:r>
      <w:r w:rsidR="00B20605">
        <w:t>a</w:t>
      </w:r>
      <w:r w:rsidR="00B20605" w:rsidRPr="00F94C2F">
        <w:t xml:space="preserve">pprove this item </w:t>
      </w:r>
      <w:r w:rsidR="00F22ED6" w:rsidRPr="00F94C2F">
        <w:t xml:space="preserve">as </w:t>
      </w:r>
      <w:r w:rsidR="00B20605">
        <w:t>a</w:t>
      </w:r>
      <w:r w:rsidR="00F22ED6" w:rsidRPr="00F94C2F">
        <w:t xml:space="preserve">mended, </w:t>
      </w:r>
      <w:r w:rsidR="00BC4F20" w:rsidRPr="00F94C2F">
        <w:t>to</w:t>
      </w:r>
      <w:r w:rsidR="00F22ED6" w:rsidRPr="00F94C2F">
        <w:t xml:space="preserve"> satisfy</w:t>
      </w:r>
      <w:r w:rsidR="00F22ED6">
        <w:t xml:space="preserve"> </w:t>
      </w:r>
      <w:r w:rsidR="00F22ED6" w:rsidRPr="00F94C2F">
        <w:t xml:space="preserve">Health and Safety Code </w:t>
      </w:r>
      <w:r w:rsidR="00F22ED6">
        <w:t xml:space="preserve">Section </w:t>
      </w:r>
      <w:r w:rsidR="00F22ED6" w:rsidRPr="00AF2C44">
        <w:rPr>
          <w:b/>
          <w:bCs/>
        </w:rPr>
        <w:t>18930(a)(</w:t>
      </w:r>
      <w:r w:rsidR="00592D1D" w:rsidRPr="00AF2C44">
        <w:rPr>
          <w:b/>
          <w:bCs/>
        </w:rPr>
        <w:t>1</w:t>
      </w:r>
      <w:r w:rsidR="00F22ED6" w:rsidRPr="00AF2C44">
        <w:rPr>
          <w:b/>
          <w:bCs/>
        </w:rPr>
        <w:t>)</w:t>
      </w:r>
      <w:r w:rsidR="0008424C" w:rsidRPr="00F25C09">
        <w:t>,</w:t>
      </w:r>
      <w:r w:rsidR="00F22ED6" w:rsidRPr="00F25C09">
        <w:t xml:space="preserve"> </w:t>
      </w:r>
      <w:r w:rsidR="00A273AB">
        <w:t>the</w:t>
      </w:r>
      <w:r w:rsidR="00A273AB" w:rsidRPr="00A273AB">
        <w:t xml:space="preserve"> proposed building standards do not conflict with, overlap, or duplicate other building standards.</w:t>
      </w: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99BB" w14:textId="77777777" w:rsidR="00B85B8D" w:rsidRDefault="00B85B8D">
      <w:r>
        <w:separator/>
      </w:r>
    </w:p>
  </w:endnote>
  <w:endnote w:type="continuationSeparator" w:id="0">
    <w:p w14:paraId="02504461" w14:textId="77777777" w:rsidR="00B85B8D" w:rsidRDefault="00B85B8D">
      <w:r>
        <w:continuationSeparator/>
      </w:r>
    </w:p>
  </w:endnote>
  <w:endnote w:type="continuationNotice" w:id="1">
    <w:p w14:paraId="4C85014B" w14:textId="77777777" w:rsidR="00B85B8D" w:rsidRDefault="00B8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251C102D"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rsidR="00077002">
      <w:t xml:space="preserve">Final </w:t>
    </w:r>
    <w:r>
      <w:t>Express Terms</w:t>
    </w:r>
    <w:r w:rsidR="00072D5F">
      <w:t xml:space="preserve"> and Rationale</w:t>
    </w:r>
    <w:r w:rsidR="00A0189B">
      <w:tab/>
    </w:r>
    <w:r w:rsidR="00BC4F20">
      <w:t>December</w:t>
    </w:r>
    <w:r w:rsidR="00A0189B">
      <w:t xml:space="preserve"> </w:t>
    </w:r>
    <w:r w:rsidR="00BC4F20">
      <w:t>1</w:t>
    </w:r>
    <w:r w:rsidR="00EF5F24">
      <w:t>9</w:t>
    </w:r>
    <w:r w:rsidR="00A0189B">
      <w:t xml:space="preserve">, </w:t>
    </w:r>
    <w:r w:rsidR="00EC241C">
      <w:t>2024</w:t>
    </w:r>
  </w:p>
  <w:p w14:paraId="723451C6" w14:textId="427A9E19" w:rsidR="001A4A03" w:rsidRDefault="00077002" w:rsidP="007C04EF">
    <w:pPr>
      <w:pStyle w:val="Footer"/>
      <w:tabs>
        <w:tab w:val="clear" w:pos="4320"/>
        <w:tab w:val="clear" w:pos="8640"/>
        <w:tab w:val="center" w:pos="5040"/>
        <w:tab w:val="right" w:pos="9180"/>
      </w:tabs>
      <w:rPr>
        <w:szCs w:val="16"/>
      </w:rPr>
    </w:pPr>
    <w:r>
      <w:rPr>
        <w:szCs w:val="16"/>
      </w:rPr>
      <w:t>HCD 0</w:t>
    </w:r>
    <w:r w:rsidR="009A6E28">
      <w:rPr>
        <w:szCs w:val="16"/>
      </w:rPr>
      <w:t>7</w:t>
    </w:r>
    <w:r>
      <w:rPr>
        <w:szCs w:val="16"/>
      </w:rPr>
      <w:t>/24</w:t>
    </w:r>
    <w:r w:rsidR="000F6D3A">
      <w:rPr>
        <w:szCs w:val="16"/>
      </w:rPr>
      <w:t xml:space="preserve"> </w:t>
    </w:r>
    <w:r w:rsidR="001A4A03">
      <w:rPr>
        <w:szCs w:val="16"/>
      </w:rPr>
      <w:t>- Part</w:t>
    </w:r>
    <w:r w:rsidR="00A0189B">
      <w:rPr>
        <w:szCs w:val="16"/>
      </w:rPr>
      <w:t xml:space="preserve"> </w:t>
    </w:r>
    <w:r w:rsidR="004E642B">
      <w:rPr>
        <w:szCs w:val="16"/>
      </w:rPr>
      <w:t>2</w:t>
    </w:r>
    <w:r w:rsidR="0079383B">
      <w:rPr>
        <w:szCs w:val="16"/>
      </w:rPr>
      <w:t>.5</w:t>
    </w:r>
    <w:r w:rsidR="001A4A03">
      <w:rPr>
        <w:szCs w:val="16"/>
      </w:rPr>
      <w:t xml:space="preserve"> -</w:t>
    </w:r>
    <w:r w:rsidR="00A0189B">
      <w:rPr>
        <w:szCs w:val="16"/>
      </w:rPr>
      <w:t xml:space="preserve"> </w:t>
    </w:r>
    <w:r w:rsidR="004E642B">
      <w:rPr>
        <w:szCs w:val="16"/>
      </w:rPr>
      <w:t>2024</w:t>
    </w:r>
    <w:r w:rsidR="00A0189B">
      <w:rPr>
        <w:szCs w:val="16"/>
      </w:rPr>
      <w:t xml:space="preserve"> Triennial</w:t>
    </w:r>
    <w:r w:rsidR="004E642B">
      <w:rPr>
        <w:szCs w:val="16"/>
      </w:rPr>
      <w:t xml:space="preserve"> </w:t>
    </w:r>
    <w:r w:rsidR="001A4A03">
      <w:rPr>
        <w:szCs w:val="16"/>
      </w:rPr>
      <w:t xml:space="preserve">Code </w:t>
    </w:r>
    <w:r w:rsidR="004E642B">
      <w:rPr>
        <w:szCs w:val="16"/>
      </w:rPr>
      <w:t xml:space="preserve">Adoption </w:t>
    </w:r>
    <w:r w:rsidR="001A4A03">
      <w:rPr>
        <w:szCs w:val="16"/>
      </w:rPr>
      <w:t>Cycle</w:t>
    </w:r>
    <w:r w:rsidR="001A4A03" w:rsidRPr="004C48A0">
      <w:rPr>
        <w:szCs w:val="16"/>
      </w:rPr>
      <w:tab/>
    </w:r>
    <w:r w:rsidR="00A0189B">
      <w:rPr>
        <w:szCs w:val="16"/>
      </w:rPr>
      <w:tab/>
    </w:r>
    <w:r w:rsidR="00B20605">
      <w:rPr>
        <w:szCs w:val="16"/>
      </w:rPr>
      <w:t xml:space="preserve">Addendum to </w:t>
    </w:r>
    <w:r>
      <w:rPr>
        <w:szCs w:val="16"/>
      </w:rPr>
      <w:t>F</w:t>
    </w:r>
    <w:r w:rsidR="00B20605">
      <w:rPr>
        <w:szCs w:val="16"/>
      </w:rPr>
      <w:t>ET and SOR</w:t>
    </w:r>
  </w:p>
  <w:p w14:paraId="5C321276" w14:textId="1E194837" w:rsidR="001A4A03" w:rsidRDefault="00DB2367" w:rsidP="00A0189B">
    <w:pPr>
      <w:pStyle w:val="Footer"/>
      <w:tabs>
        <w:tab w:val="clear" w:pos="4320"/>
        <w:tab w:val="clear" w:pos="8640"/>
        <w:tab w:val="center" w:pos="5040"/>
        <w:tab w:val="right" w:pos="9180"/>
      </w:tabs>
    </w:pPr>
    <w:r>
      <w:rPr>
        <w:szCs w:val="16"/>
      </w:rPr>
      <w:t>Department of Housing and Community Development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F4D9F" w14:textId="77777777" w:rsidR="00B85B8D" w:rsidRDefault="00B85B8D">
      <w:r>
        <w:separator/>
      </w:r>
    </w:p>
  </w:footnote>
  <w:footnote w:type="continuationSeparator" w:id="0">
    <w:p w14:paraId="722E8FCF" w14:textId="77777777" w:rsidR="00B85B8D" w:rsidRDefault="00B85B8D">
      <w:r>
        <w:continuationSeparator/>
      </w:r>
    </w:p>
  </w:footnote>
  <w:footnote w:type="continuationNotice" w:id="1">
    <w:p w14:paraId="368F807B" w14:textId="77777777" w:rsidR="00B85B8D" w:rsidRDefault="00B85B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C774" w14:textId="77777777" w:rsidR="00ED27E1" w:rsidRPr="00463BFE" w:rsidRDefault="00ED27E1" w:rsidP="00ED27E1">
    <w:pPr>
      <w:pStyle w:val="Header"/>
      <w:tabs>
        <w:tab w:val="clear" w:pos="8640"/>
        <w:tab w:val="right" w:pos="9360"/>
      </w:tabs>
      <w:jc w:val="both"/>
      <w:rPr>
        <w:rFonts w:ascii="Arial" w:hAnsi="Arial" w:cs="Arial"/>
        <w:b w:val="0"/>
        <w:szCs w:val="16"/>
      </w:rPr>
    </w:pPr>
    <w:r w:rsidRPr="00463BFE">
      <w:rPr>
        <w:rFonts w:ascii="Arial" w:hAnsi="Arial" w:cs="Arial"/>
        <w:szCs w:val="16"/>
      </w:rPr>
      <w:t>STATE OF CALIFORNIA</w:t>
    </w:r>
  </w:p>
  <w:p w14:paraId="21BD9179" w14:textId="77777777" w:rsidR="00ED27E1" w:rsidRPr="00463BFE" w:rsidRDefault="00ED27E1" w:rsidP="00ED27E1">
    <w:pPr>
      <w:pStyle w:val="Header"/>
      <w:tabs>
        <w:tab w:val="clear" w:pos="8640"/>
        <w:tab w:val="right" w:pos="9360"/>
      </w:tabs>
      <w:jc w:val="both"/>
      <w:rPr>
        <w:rFonts w:ascii="Arial" w:hAnsi="Arial" w:cs="Arial"/>
        <w:b w:val="0"/>
        <w:szCs w:val="16"/>
      </w:rPr>
    </w:pPr>
    <w:r w:rsidRPr="00463BFE">
      <w:rPr>
        <w:rFonts w:ascii="Arial" w:hAnsi="Arial" w:cs="Arial"/>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472CDC"/>
    <w:multiLevelType w:val="hybridMultilevel"/>
    <w:tmpl w:val="8ABE0F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391674">
    <w:abstractNumId w:val="11"/>
  </w:num>
  <w:num w:numId="2" w16cid:durableId="1612780394">
    <w:abstractNumId w:val="14"/>
  </w:num>
  <w:num w:numId="3" w16cid:durableId="1689604008">
    <w:abstractNumId w:val="15"/>
  </w:num>
  <w:num w:numId="4" w16cid:durableId="301006860">
    <w:abstractNumId w:val="10"/>
  </w:num>
  <w:num w:numId="5" w16cid:durableId="652176935">
    <w:abstractNumId w:val="12"/>
  </w:num>
  <w:num w:numId="6" w16cid:durableId="1743602988">
    <w:abstractNumId w:val="16"/>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076828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YswR0WInIBDwiaw70hiKHGOoPZ+QgP1LW4ClAOOARRUTP2JRP/V524qFUnGxihwEqR4qla5k+/rRC2pf5oLRA==" w:salt="XmXCmZi7guPQYRem+Vqw8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2FFA"/>
    <w:rsid w:val="00023B9A"/>
    <w:rsid w:val="000257AD"/>
    <w:rsid w:val="000650C2"/>
    <w:rsid w:val="00066735"/>
    <w:rsid w:val="00072D5F"/>
    <w:rsid w:val="00077002"/>
    <w:rsid w:val="0008424C"/>
    <w:rsid w:val="000B33E0"/>
    <w:rsid w:val="000C5682"/>
    <w:rsid w:val="000C7383"/>
    <w:rsid w:val="000E24B4"/>
    <w:rsid w:val="000F2EEE"/>
    <w:rsid w:val="000F6D3A"/>
    <w:rsid w:val="001078FD"/>
    <w:rsid w:val="00123F82"/>
    <w:rsid w:val="001362F4"/>
    <w:rsid w:val="00157A41"/>
    <w:rsid w:val="00160F71"/>
    <w:rsid w:val="00174216"/>
    <w:rsid w:val="0017531B"/>
    <w:rsid w:val="00175449"/>
    <w:rsid w:val="001845B6"/>
    <w:rsid w:val="00191BE9"/>
    <w:rsid w:val="001A4A03"/>
    <w:rsid w:val="001C2862"/>
    <w:rsid w:val="001C3AF8"/>
    <w:rsid w:val="001D5566"/>
    <w:rsid w:val="001D6710"/>
    <w:rsid w:val="001E0631"/>
    <w:rsid w:val="001E12EE"/>
    <w:rsid w:val="001E635B"/>
    <w:rsid w:val="001F6E96"/>
    <w:rsid w:val="00204480"/>
    <w:rsid w:val="00210938"/>
    <w:rsid w:val="00234A84"/>
    <w:rsid w:val="00235B37"/>
    <w:rsid w:val="002367DC"/>
    <w:rsid w:val="00264586"/>
    <w:rsid w:val="002800AE"/>
    <w:rsid w:val="002A0905"/>
    <w:rsid w:val="002A0A94"/>
    <w:rsid w:val="002C667E"/>
    <w:rsid w:val="002D3F86"/>
    <w:rsid w:val="002D5E4A"/>
    <w:rsid w:val="002D648A"/>
    <w:rsid w:val="0030639B"/>
    <w:rsid w:val="00314356"/>
    <w:rsid w:val="00316C0D"/>
    <w:rsid w:val="003204F7"/>
    <w:rsid w:val="003324BE"/>
    <w:rsid w:val="00337634"/>
    <w:rsid w:val="00347D13"/>
    <w:rsid w:val="00360F1B"/>
    <w:rsid w:val="00371792"/>
    <w:rsid w:val="003730DB"/>
    <w:rsid w:val="00374745"/>
    <w:rsid w:val="0037506B"/>
    <w:rsid w:val="0037752A"/>
    <w:rsid w:val="00390409"/>
    <w:rsid w:val="00391B17"/>
    <w:rsid w:val="003942B6"/>
    <w:rsid w:val="003C0185"/>
    <w:rsid w:val="003D1CB8"/>
    <w:rsid w:val="003D46A3"/>
    <w:rsid w:val="003E1AB0"/>
    <w:rsid w:val="004111A2"/>
    <w:rsid w:val="004138C5"/>
    <w:rsid w:val="00433E49"/>
    <w:rsid w:val="00444341"/>
    <w:rsid w:val="0044593B"/>
    <w:rsid w:val="004525FE"/>
    <w:rsid w:val="00463BFE"/>
    <w:rsid w:val="00475B05"/>
    <w:rsid w:val="004A2AF7"/>
    <w:rsid w:val="004A53C6"/>
    <w:rsid w:val="004B19D0"/>
    <w:rsid w:val="004B2AB9"/>
    <w:rsid w:val="004B48D5"/>
    <w:rsid w:val="004C48A0"/>
    <w:rsid w:val="004E642B"/>
    <w:rsid w:val="004F62AE"/>
    <w:rsid w:val="005010D5"/>
    <w:rsid w:val="0050198D"/>
    <w:rsid w:val="00502093"/>
    <w:rsid w:val="00502AB4"/>
    <w:rsid w:val="00507877"/>
    <w:rsid w:val="0051302E"/>
    <w:rsid w:val="00514191"/>
    <w:rsid w:val="00515BAF"/>
    <w:rsid w:val="00526D53"/>
    <w:rsid w:val="00536E36"/>
    <w:rsid w:val="00545A37"/>
    <w:rsid w:val="00551989"/>
    <w:rsid w:val="00554279"/>
    <w:rsid w:val="00563190"/>
    <w:rsid w:val="00583511"/>
    <w:rsid w:val="005915D6"/>
    <w:rsid w:val="00592D1D"/>
    <w:rsid w:val="005933E2"/>
    <w:rsid w:val="005B5184"/>
    <w:rsid w:val="005C0EAA"/>
    <w:rsid w:val="005D2DCC"/>
    <w:rsid w:val="005E162F"/>
    <w:rsid w:val="005E1E47"/>
    <w:rsid w:val="005E7B90"/>
    <w:rsid w:val="005F1F14"/>
    <w:rsid w:val="005F696F"/>
    <w:rsid w:val="00607FED"/>
    <w:rsid w:val="0061175B"/>
    <w:rsid w:val="0061675D"/>
    <w:rsid w:val="006169B9"/>
    <w:rsid w:val="00631F79"/>
    <w:rsid w:val="006571FA"/>
    <w:rsid w:val="006609B8"/>
    <w:rsid w:val="006721FC"/>
    <w:rsid w:val="00675E1D"/>
    <w:rsid w:val="006940D0"/>
    <w:rsid w:val="006A0F7E"/>
    <w:rsid w:val="006A0F8B"/>
    <w:rsid w:val="006A7E68"/>
    <w:rsid w:val="006B0C83"/>
    <w:rsid w:val="006B6EA2"/>
    <w:rsid w:val="006B747C"/>
    <w:rsid w:val="006C0483"/>
    <w:rsid w:val="006C5C01"/>
    <w:rsid w:val="006F30A0"/>
    <w:rsid w:val="006F37A3"/>
    <w:rsid w:val="006F627D"/>
    <w:rsid w:val="00704A52"/>
    <w:rsid w:val="00705EAD"/>
    <w:rsid w:val="00711AEC"/>
    <w:rsid w:val="00715C9C"/>
    <w:rsid w:val="007416F3"/>
    <w:rsid w:val="00745E48"/>
    <w:rsid w:val="00754D0A"/>
    <w:rsid w:val="007556D6"/>
    <w:rsid w:val="00767766"/>
    <w:rsid w:val="00776FA8"/>
    <w:rsid w:val="00783514"/>
    <w:rsid w:val="00786248"/>
    <w:rsid w:val="007915D5"/>
    <w:rsid w:val="0079383B"/>
    <w:rsid w:val="007A674B"/>
    <w:rsid w:val="007C04EF"/>
    <w:rsid w:val="007C4832"/>
    <w:rsid w:val="007C6B5E"/>
    <w:rsid w:val="007D25C5"/>
    <w:rsid w:val="007E6A6C"/>
    <w:rsid w:val="007F7E97"/>
    <w:rsid w:val="0081299A"/>
    <w:rsid w:val="00836ED2"/>
    <w:rsid w:val="008543C5"/>
    <w:rsid w:val="0086240D"/>
    <w:rsid w:val="00862625"/>
    <w:rsid w:val="00874876"/>
    <w:rsid w:val="00890713"/>
    <w:rsid w:val="008A2AC5"/>
    <w:rsid w:val="008A3DD5"/>
    <w:rsid w:val="008A63C7"/>
    <w:rsid w:val="008B395D"/>
    <w:rsid w:val="008B6800"/>
    <w:rsid w:val="008C28D9"/>
    <w:rsid w:val="008E36A8"/>
    <w:rsid w:val="008F2BEA"/>
    <w:rsid w:val="008F4B60"/>
    <w:rsid w:val="00923E68"/>
    <w:rsid w:val="009251A7"/>
    <w:rsid w:val="00926738"/>
    <w:rsid w:val="0092735E"/>
    <w:rsid w:val="00933897"/>
    <w:rsid w:val="00935CB2"/>
    <w:rsid w:val="009462E9"/>
    <w:rsid w:val="0097270C"/>
    <w:rsid w:val="00972900"/>
    <w:rsid w:val="00980CC8"/>
    <w:rsid w:val="00995899"/>
    <w:rsid w:val="009A4659"/>
    <w:rsid w:val="009A693A"/>
    <w:rsid w:val="009A6E28"/>
    <w:rsid w:val="009B6C88"/>
    <w:rsid w:val="009B72AF"/>
    <w:rsid w:val="009D096D"/>
    <w:rsid w:val="009D10AD"/>
    <w:rsid w:val="009D3B41"/>
    <w:rsid w:val="009D423C"/>
    <w:rsid w:val="009E0E79"/>
    <w:rsid w:val="009E6B12"/>
    <w:rsid w:val="009F6F50"/>
    <w:rsid w:val="00A0189B"/>
    <w:rsid w:val="00A07EE6"/>
    <w:rsid w:val="00A134E5"/>
    <w:rsid w:val="00A138AA"/>
    <w:rsid w:val="00A24546"/>
    <w:rsid w:val="00A273AB"/>
    <w:rsid w:val="00A562C7"/>
    <w:rsid w:val="00A60CA1"/>
    <w:rsid w:val="00A63EF9"/>
    <w:rsid w:val="00A813A1"/>
    <w:rsid w:val="00A86603"/>
    <w:rsid w:val="00AC1F10"/>
    <w:rsid w:val="00AD1F6F"/>
    <w:rsid w:val="00AD2E7E"/>
    <w:rsid w:val="00AE51BB"/>
    <w:rsid w:val="00AF2C44"/>
    <w:rsid w:val="00AF4D10"/>
    <w:rsid w:val="00AF4E96"/>
    <w:rsid w:val="00B12576"/>
    <w:rsid w:val="00B20605"/>
    <w:rsid w:val="00B23958"/>
    <w:rsid w:val="00B424F1"/>
    <w:rsid w:val="00B435D5"/>
    <w:rsid w:val="00B448C4"/>
    <w:rsid w:val="00B53C67"/>
    <w:rsid w:val="00B85B8D"/>
    <w:rsid w:val="00BB0BAD"/>
    <w:rsid w:val="00BC1D6E"/>
    <w:rsid w:val="00BC4F20"/>
    <w:rsid w:val="00BC5F10"/>
    <w:rsid w:val="00BD2110"/>
    <w:rsid w:val="00BE7F4F"/>
    <w:rsid w:val="00BF0B0D"/>
    <w:rsid w:val="00BF3E81"/>
    <w:rsid w:val="00C037AF"/>
    <w:rsid w:val="00C06859"/>
    <w:rsid w:val="00C07231"/>
    <w:rsid w:val="00C30BD1"/>
    <w:rsid w:val="00C35D04"/>
    <w:rsid w:val="00C36475"/>
    <w:rsid w:val="00C41A2D"/>
    <w:rsid w:val="00C44C36"/>
    <w:rsid w:val="00C60CC1"/>
    <w:rsid w:val="00C63563"/>
    <w:rsid w:val="00C63CE9"/>
    <w:rsid w:val="00C6643B"/>
    <w:rsid w:val="00C67B72"/>
    <w:rsid w:val="00C76404"/>
    <w:rsid w:val="00C8004B"/>
    <w:rsid w:val="00C81338"/>
    <w:rsid w:val="00C83F89"/>
    <w:rsid w:val="00CB267C"/>
    <w:rsid w:val="00CB69CE"/>
    <w:rsid w:val="00CF2161"/>
    <w:rsid w:val="00CF3372"/>
    <w:rsid w:val="00D04B58"/>
    <w:rsid w:val="00D05128"/>
    <w:rsid w:val="00D0634D"/>
    <w:rsid w:val="00D104F0"/>
    <w:rsid w:val="00D13D82"/>
    <w:rsid w:val="00D251D1"/>
    <w:rsid w:val="00D30882"/>
    <w:rsid w:val="00D63E97"/>
    <w:rsid w:val="00D67CC8"/>
    <w:rsid w:val="00D9010A"/>
    <w:rsid w:val="00D91AE2"/>
    <w:rsid w:val="00D91CA4"/>
    <w:rsid w:val="00D94AC1"/>
    <w:rsid w:val="00DA3403"/>
    <w:rsid w:val="00DB2367"/>
    <w:rsid w:val="00DB2E73"/>
    <w:rsid w:val="00DC2FE0"/>
    <w:rsid w:val="00DD05D6"/>
    <w:rsid w:val="00DD1947"/>
    <w:rsid w:val="00DD1956"/>
    <w:rsid w:val="00DD2727"/>
    <w:rsid w:val="00E016BA"/>
    <w:rsid w:val="00E11519"/>
    <w:rsid w:val="00E17CB9"/>
    <w:rsid w:val="00E22041"/>
    <w:rsid w:val="00E24FAA"/>
    <w:rsid w:val="00E3628E"/>
    <w:rsid w:val="00E3790F"/>
    <w:rsid w:val="00E409A4"/>
    <w:rsid w:val="00E45D23"/>
    <w:rsid w:val="00E46CFB"/>
    <w:rsid w:val="00E5214A"/>
    <w:rsid w:val="00E53D35"/>
    <w:rsid w:val="00EA1267"/>
    <w:rsid w:val="00EA55B4"/>
    <w:rsid w:val="00EC0A76"/>
    <w:rsid w:val="00EC1406"/>
    <w:rsid w:val="00EC241C"/>
    <w:rsid w:val="00EC63D9"/>
    <w:rsid w:val="00EC6BE8"/>
    <w:rsid w:val="00ED27E1"/>
    <w:rsid w:val="00EF26E2"/>
    <w:rsid w:val="00EF5F24"/>
    <w:rsid w:val="00F044CD"/>
    <w:rsid w:val="00F071AF"/>
    <w:rsid w:val="00F152F2"/>
    <w:rsid w:val="00F17139"/>
    <w:rsid w:val="00F22CD9"/>
    <w:rsid w:val="00F22ED6"/>
    <w:rsid w:val="00F25C09"/>
    <w:rsid w:val="00F32B67"/>
    <w:rsid w:val="00F53B30"/>
    <w:rsid w:val="00F721E0"/>
    <w:rsid w:val="00F768B4"/>
    <w:rsid w:val="00F878D9"/>
    <w:rsid w:val="00F87B9E"/>
    <w:rsid w:val="00F9763D"/>
    <w:rsid w:val="00F97C83"/>
    <w:rsid w:val="00FB2B58"/>
    <w:rsid w:val="00FB34BE"/>
    <w:rsid w:val="00FB557A"/>
    <w:rsid w:val="00FD45EA"/>
    <w:rsid w:val="00FE3DA8"/>
    <w:rsid w:val="00FF11EA"/>
    <w:rsid w:val="218DCFE8"/>
    <w:rsid w:val="5D83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3B637513-B649-44F8-AD17-A7BE619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styleId="Hyperlink">
    <w:name w:val="Hyperlink"/>
    <w:basedOn w:val="DefaultParagraphFont"/>
    <w:unhideWhenUsed/>
    <w:rsid w:val="00545A37"/>
    <w:rPr>
      <w:color w:val="0000FF" w:themeColor="hyperlink"/>
      <w:u w:val="single"/>
    </w:rPr>
  </w:style>
  <w:style w:type="character" w:styleId="UnresolvedMention">
    <w:name w:val="Unresolved Mention"/>
    <w:basedOn w:val="DefaultParagraphFont"/>
    <w:uiPriority w:val="99"/>
    <w:semiHidden/>
    <w:unhideWhenUsed/>
    <w:rsid w:val="00545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979966520">
      <w:bodyDiv w:val="1"/>
      <w:marLeft w:val="0"/>
      <w:marRight w:val="0"/>
      <w:marTop w:val="0"/>
      <w:marBottom w:val="0"/>
      <w:divBdr>
        <w:top w:val="none" w:sz="0" w:space="0" w:color="auto"/>
        <w:left w:val="none" w:sz="0" w:space="0" w:color="auto"/>
        <w:bottom w:val="none" w:sz="0" w:space="0" w:color="auto"/>
        <w:right w:val="none" w:sz="0" w:space="0" w:color="auto"/>
      </w:divBdr>
      <w:divsChild>
        <w:div w:id="126290347">
          <w:marLeft w:val="0"/>
          <w:marRight w:val="0"/>
          <w:marTop w:val="0"/>
          <w:marBottom w:val="0"/>
          <w:divBdr>
            <w:top w:val="none" w:sz="0" w:space="0" w:color="auto"/>
            <w:left w:val="none" w:sz="0" w:space="0" w:color="auto"/>
            <w:bottom w:val="none" w:sz="0" w:space="0" w:color="auto"/>
            <w:right w:val="none" w:sz="0" w:space="0" w:color="auto"/>
          </w:divBdr>
        </w:div>
        <w:div w:id="732240571">
          <w:marLeft w:val="0"/>
          <w:marRight w:val="0"/>
          <w:marTop w:val="0"/>
          <w:marBottom w:val="0"/>
          <w:divBdr>
            <w:top w:val="none" w:sz="0" w:space="0" w:color="auto"/>
            <w:left w:val="none" w:sz="0" w:space="0" w:color="auto"/>
            <w:bottom w:val="none" w:sz="0" w:space="0" w:color="auto"/>
            <w:right w:val="none" w:sz="0" w:space="0" w:color="auto"/>
          </w:divBdr>
        </w:div>
        <w:div w:id="1457988870">
          <w:marLeft w:val="0"/>
          <w:marRight w:val="0"/>
          <w:marTop w:val="0"/>
          <w:marBottom w:val="0"/>
          <w:divBdr>
            <w:top w:val="none" w:sz="0" w:space="0" w:color="auto"/>
            <w:left w:val="none" w:sz="0" w:space="0" w:color="auto"/>
            <w:bottom w:val="none" w:sz="0" w:space="0" w:color="auto"/>
            <w:right w:val="none" w:sz="0" w:space="0" w:color="auto"/>
          </w:divBdr>
        </w:div>
        <w:div w:id="2052656076">
          <w:marLeft w:val="0"/>
          <w:marRight w:val="0"/>
          <w:marTop w:val="0"/>
          <w:marBottom w:val="0"/>
          <w:divBdr>
            <w:top w:val="none" w:sz="0" w:space="0" w:color="auto"/>
            <w:left w:val="none" w:sz="0" w:space="0" w:color="auto"/>
            <w:bottom w:val="none" w:sz="0" w:space="0" w:color="auto"/>
            <w:right w:val="none" w:sz="0" w:space="0" w:color="auto"/>
          </w:divBdr>
        </w:div>
        <w:div w:id="2074155929">
          <w:marLeft w:val="0"/>
          <w:marRight w:val="0"/>
          <w:marTop w:val="0"/>
          <w:marBottom w:val="0"/>
          <w:divBdr>
            <w:top w:val="none" w:sz="0" w:space="0" w:color="auto"/>
            <w:left w:val="none" w:sz="0" w:space="0" w:color="auto"/>
            <w:bottom w:val="none" w:sz="0" w:space="0" w:color="auto"/>
            <w:right w:val="none" w:sz="0" w:space="0" w:color="auto"/>
          </w:divBdr>
        </w:div>
      </w:divsChild>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052383698">
      <w:bodyDiv w:val="1"/>
      <w:marLeft w:val="0"/>
      <w:marRight w:val="0"/>
      <w:marTop w:val="0"/>
      <w:marBottom w:val="0"/>
      <w:divBdr>
        <w:top w:val="none" w:sz="0" w:space="0" w:color="auto"/>
        <w:left w:val="none" w:sz="0" w:space="0" w:color="auto"/>
        <w:bottom w:val="none" w:sz="0" w:space="0" w:color="auto"/>
        <w:right w:val="none" w:sz="0" w:space="0" w:color="auto"/>
      </w:divBdr>
      <w:divsChild>
        <w:div w:id="851988113">
          <w:marLeft w:val="0"/>
          <w:marRight w:val="0"/>
          <w:marTop w:val="0"/>
          <w:marBottom w:val="0"/>
          <w:divBdr>
            <w:top w:val="none" w:sz="0" w:space="0" w:color="auto"/>
            <w:left w:val="none" w:sz="0" w:space="0" w:color="auto"/>
            <w:bottom w:val="none" w:sz="0" w:space="0" w:color="auto"/>
            <w:right w:val="none" w:sz="0" w:space="0" w:color="auto"/>
          </w:divBdr>
        </w:div>
        <w:div w:id="952059688">
          <w:marLeft w:val="0"/>
          <w:marRight w:val="0"/>
          <w:marTop w:val="0"/>
          <w:marBottom w:val="0"/>
          <w:divBdr>
            <w:top w:val="none" w:sz="0" w:space="0" w:color="auto"/>
            <w:left w:val="none" w:sz="0" w:space="0" w:color="auto"/>
            <w:bottom w:val="none" w:sz="0" w:space="0" w:color="auto"/>
            <w:right w:val="none" w:sz="0" w:space="0" w:color="auto"/>
          </w:divBdr>
        </w:div>
        <w:div w:id="1105729516">
          <w:marLeft w:val="0"/>
          <w:marRight w:val="0"/>
          <w:marTop w:val="0"/>
          <w:marBottom w:val="0"/>
          <w:divBdr>
            <w:top w:val="none" w:sz="0" w:space="0" w:color="auto"/>
            <w:left w:val="none" w:sz="0" w:space="0" w:color="auto"/>
            <w:bottom w:val="none" w:sz="0" w:space="0" w:color="auto"/>
            <w:right w:val="none" w:sz="0" w:space="0" w:color="auto"/>
          </w:divBdr>
        </w:div>
        <w:div w:id="1131441965">
          <w:marLeft w:val="0"/>
          <w:marRight w:val="0"/>
          <w:marTop w:val="0"/>
          <w:marBottom w:val="0"/>
          <w:divBdr>
            <w:top w:val="none" w:sz="0" w:space="0" w:color="auto"/>
            <w:left w:val="none" w:sz="0" w:space="0" w:color="auto"/>
            <w:bottom w:val="none" w:sz="0" w:space="0" w:color="auto"/>
            <w:right w:val="none" w:sz="0" w:space="0" w:color="auto"/>
          </w:divBdr>
        </w:div>
        <w:div w:id="1980575896">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691C0F-9FF6-48E2-A419-3C97B6C63354}">
  <ds:schemaRefs>
    <ds:schemaRef ds:uri="http://schemas.microsoft.com/sharepoint/v3/contenttype/forms"/>
  </ds:schemaRefs>
</ds:datastoreItem>
</file>

<file path=customXml/itemProps2.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3.xml><?xml version="1.0" encoding="utf-8"?>
<ds:datastoreItem xmlns:ds="http://schemas.openxmlformats.org/officeDocument/2006/customXml" ds:itemID="{7E4A720E-294A-422C-99CA-C7727A11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A6027-77B7-4E28-A788-F117B4D50546}">
  <ds:schemaRefs>
    <ds:schemaRef ds:uri="424fb3fd-5b4d-4f2f-9fac-0dae199fbdca"/>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8b502e25-087b-43a3-9aed-42d9052e1a71"/>
    <ds:schemaRef ds:uri="http://schemas.microsoft.com/sharepoint/v3"/>
    <ds:schemaRef ds:uri="http://schemas.openxmlformats.org/package/2006/metadata/core-properties"/>
    <ds:schemaRef ds:uri="http://www.w3.org/XML/1998/namespace"/>
    <ds:schemaRef ds:uri="http://purl.org/dc/te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HCD-07-24-FET_Addedndum-PT2.5</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HCD-07-24-FET_Addedndum-PT2.5</dc:title>
  <dc:subject/>
  <dc:creator>CBSC</dc:creator>
  <cp:keywords/>
  <cp:lastModifiedBy>Eyerman, Brooke@HCD</cp:lastModifiedBy>
  <cp:revision>3</cp:revision>
  <cp:lastPrinted>2020-05-13T17:58:00Z</cp:lastPrinted>
  <dcterms:created xsi:type="dcterms:W3CDTF">2025-04-04T17:34:00Z</dcterms:created>
  <dcterms:modified xsi:type="dcterms:W3CDTF">2025-04-04T17:35:00Z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Order">
    <vt:r8>54788900</vt:r8>
  </property>
  <property fmtid="{D5CDD505-2E9C-101B-9397-08002B2CF9AE}" pid="4" name="_ExtendedDescription">
    <vt:lpwstr/>
  </property>
  <property fmtid="{D5CDD505-2E9C-101B-9397-08002B2CF9AE}" pid="5" name="MediaServiceImageTags">
    <vt:lpwstr/>
  </property>
</Properties>
</file>