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A89" w:rsidRPr="00E85A89" w:rsidRDefault="00E85A89" w:rsidP="00E85A89">
      <w:pPr>
        <w:pStyle w:val="Heading2"/>
        <w:rPr>
          <w:rFonts w:eastAsia="Arial"/>
          <w:sz w:val="32"/>
          <w:szCs w:val="24"/>
          <w:lang w:bidi="en-US"/>
        </w:rPr>
      </w:pPr>
      <w:bookmarkStart w:id="0" w:name="_Toc32410179"/>
      <w:bookmarkStart w:id="1" w:name="_Hlk30424229"/>
      <w:r>
        <w:rPr>
          <w:rFonts w:eastAsia="Arial"/>
          <w:bCs/>
          <w:noProof/>
          <w:sz w:val="32"/>
          <w:szCs w:val="24"/>
          <w:lang w:bidi="en-US"/>
        </w:rPr>
        <w:t xml:space="preserve">REAP </w:t>
      </w:r>
      <w:r w:rsidRPr="00E85A89">
        <w:rPr>
          <w:rFonts w:eastAsia="Arial"/>
          <w:bCs/>
          <w:noProof/>
          <w:sz w:val="32"/>
          <w:szCs w:val="24"/>
          <w:lang w:bidi="en-US"/>
        </w:rPr>
        <w:t>Award Amounts by Eligible Applicant</w:t>
      </w:r>
      <w:bookmarkEnd w:id="0"/>
    </w:p>
    <w:bookmarkEnd w:id="1"/>
    <w:p w:rsidR="00E85A89" w:rsidRPr="00E85A89" w:rsidRDefault="00E85A89" w:rsidP="00E85A89">
      <w:pPr>
        <w:spacing w:after="0" w:line="240" w:lineRule="auto"/>
        <w:rPr>
          <w:rFonts w:cs="Arial"/>
          <w:sz w:val="22"/>
          <w:szCs w:val="20"/>
          <w:lang w:bidi="en-US"/>
        </w:rPr>
      </w:pPr>
      <w:r w:rsidRPr="00E85A89">
        <w:rPr>
          <w:rFonts w:cs="Arial"/>
          <w:sz w:val="22"/>
          <w:szCs w:val="20"/>
          <w:lang w:bidi="en-US"/>
        </w:rPr>
        <w:t xml:space="preserve">The REAP Program makes available $118,750,000 to applicants. Maximum award amounts are based on population estimates posted on the Department of Finance website as of January 1, 2019 and are aggregated by council of government, county, or regional entity according to maximum amounts by jurisdiction size consistent with subdivision (a) of Health and Safety Code section 50515.02. </w:t>
      </w:r>
    </w:p>
    <w:tbl>
      <w:tblPr>
        <w:tblStyle w:val="TableGrid"/>
        <w:tblW w:w="9610" w:type="dxa"/>
        <w:jc w:val="right"/>
        <w:tblLook w:val="04A0" w:firstRow="1" w:lastRow="0" w:firstColumn="1" w:lastColumn="0" w:noHBand="0" w:noVBand="1"/>
      </w:tblPr>
      <w:tblGrid>
        <w:gridCol w:w="7047"/>
        <w:gridCol w:w="2563"/>
      </w:tblGrid>
      <w:tr w:rsidR="00E85A89" w:rsidRPr="007E71F9" w:rsidTr="00E85A89">
        <w:trPr>
          <w:trHeight w:val="753"/>
          <w:jc w:val="right"/>
        </w:trPr>
        <w:tc>
          <w:tcPr>
            <w:tcW w:w="7047" w:type="dxa"/>
          </w:tcPr>
          <w:p w:rsidR="00E85A89" w:rsidRPr="006A6330" w:rsidRDefault="00E85A89" w:rsidP="009F7743">
            <w:pPr>
              <w:contextualSpacing/>
              <w:rPr>
                <w:rFonts w:cs="Arial"/>
                <w:b/>
                <w:bCs/>
                <w:sz w:val="22"/>
              </w:rPr>
            </w:pPr>
            <w:r w:rsidRPr="006A6330">
              <w:rPr>
                <w:rFonts w:cs="Arial"/>
                <w:b/>
                <w:bCs/>
                <w:sz w:val="22"/>
                <w:lang w:val="en"/>
              </w:rPr>
              <w:t>Eligible</w:t>
            </w:r>
            <w:r w:rsidRPr="006A6330">
              <w:rPr>
                <w:rFonts w:cs="Arial"/>
                <w:b/>
                <w:bCs/>
                <w:sz w:val="22"/>
              </w:rPr>
              <w:t xml:space="preserve"> Applicants </w:t>
            </w:r>
          </w:p>
        </w:tc>
        <w:tc>
          <w:tcPr>
            <w:tcW w:w="2562" w:type="dxa"/>
          </w:tcPr>
          <w:p w:rsidR="00E85A89" w:rsidRPr="006A6330" w:rsidRDefault="00E85A89" w:rsidP="009F7743">
            <w:pPr>
              <w:contextualSpacing/>
              <w:rPr>
                <w:rFonts w:cs="Arial"/>
                <w:b/>
                <w:bCs/>
                <w:sz w:val="22"/>
              </w:rPr>
            </w:pPr>
            <w:r w:rsidRPr="006A6330">
              <w:rPr>
                <w:rFonts w:cs="Arial"/>
                <w:b/>
                <w:bCs/>
                <w:sz w:val="22"/>
              </w:rPr>
              <w:t>Maximum Award Amount</w:t>
            </w:r>
          </w:p>
          <w:p w:rsidR="00E85A89" w:rsidRPr="006A6330" w:rsidRDefault="00E85A89" w:rsidP="009F7743">
            <w:pPr>
              <w:contextualSpacing/>
              <w:rPr>
                <w:rFonts w:cs="Arial"/>
                <w:b/>
                <w:bCs/>
                <w:sz w:val="22"/>
              </w:rPr>
            </w:pPr>
          </w:p>
        </w:tc>
      </w:tr>
      <w:tr w:rsidR="00E85A89" w:rsidRPr="00B96E90" w:rsidTr="00E85A89">
        <w:trPr>
          <w:trHeight w:val="254"/>
          <w:jc w:val="right"/>
        </w:trPr>
        <w:tc>
          <w:tcPr>
            <w:tcW w:w="9610" w:type="dxa"/>
            <w:gridSpan w:val="2"/>
          </w:tcPr>
          <w:p w:rsidR="00E85A89" w:rsidRPr="006A6330" w:rsidRDefault="00E85A89" w:rsidP="009F7743">
            <w:pPr>
              <w:contextualSpacing/>
              <w:jc w:val="center"/>
              <w:rPr>
                <w:rFonts w:cs="Arial"/>
                <w:b/>
                <w:bCs/>
                <w:sz w:val="22"/>
              </w:rPr>
            </w:pPr>
            <w:r w:rsidRPr="006A6330">
              <w:rPr>
                <w:rFonts w:cs="Arial"/>
                <w:b/>
                <w:bCs/>
                <w:sz w:val="22"/>
              </w:rPr>
              <w:t>Councils of Governments</w:t>
            </w:r>
          </w:p>
        </w:tc>
      </w:tr>
      <w:tr w:rsidR="00E85A89" w:rsidRPr="00E5335E" w:rsidTr="00E85A89">
        <w:trPr>
          <w:trHeight w:val="239"/>
          <w:jc w:val="right"/>
        </w:trPr>
        <w:tc>
          <w:tcPr>
            <w:tcW w:w="7047" w:type="dxa"/>
          </w:tcPr>
          <w:p w:rsidR="00E85A89" w:rsidRPr="006A6330" w:rsidRDefault="00E85A89" w:rsidP="009F7743">
            <w:pPr>
              <w:contextualSpacing/>
              <w:rPr>
                <w:rFonts w:cs="Arial"/>
                <w:sz w:val="22"/>
              </w:rPr>
            </w:pPr>
            <w:r w:rsidRPr="006A6330">
              <w:rPr>
                <w:rFonts w:cs="Arial"/>
                <w:sz w:val="22"/>
              </w:rPr>
              <w:t>Association of Bay Area Governments</w:t>
            </w:r>
          </w:p>
        </w:tc>
        <w:tc>
          <w:tcPr>
            <w:tcW w:w="2562" w:type="dxa"/>
          </w:tcPr>
          <w:p w:rsidR="00E85A89" w:rsidRPr="006A6330" w:rsidRDefault="00E85A89" w:rsidP="009F7743">
            <w:pPr>
              <w:contextualSpacing/>
              <w:rPr>
                <w:rFonts w:cs="Arial"/>
                <w:sz w:val="22"/>
              </w:rPr>
            </w:pPr>
            <w:r w:rsidRPr="006A6330">
              <w:rPr>
                <w:rFonts w:cs="Arial"/>
                <w:sz w:val="22"/>
              </w:rPr>
              <w:t>$23,966,861</w:t>
            </w:r>
          </w:p>
        </w:tc>
      </w:tr>
      <w:tr w:rsidR="00E85A89" w:rsidRPr="00E5335E" w:rsidTr="00E85A89">
        <w:trPr>
          <w:trHeight w:val="254"/>
          <w:jc w:val="right"/>
        </w:trPr>
        <w:tc>
          <w:tcPr>
            <w:tcW w:w="7047" w:type="dxa"/>
          </w:tcPr>
          <w:p w:rsidR="00E85A89" w:rsidRPr="006A6330" w:rsidRDefault="00E85A89" w:rsidP="009F7743">
            <w:pPr>
              <w:contextualSpacing/>
              <w:rPr>
                <w:rFonts w:cs="Arial"/>
                <w:sz w:val="22"/>
              </w:rPr>
            </w:pPr>
            <w:r w:rsidRPr="006A6330">
              <w:rPr>
                <w:rFonts w:cs="Arial"/>
                <w:sz w:val="22"/>
              </w:rPr>
              <w:t>Sacramento Area Council of Governments</w:t>
            </w:r>
          </w:p>
        </w:tc>
        <w:tc>
          <w:tcPr>
            <w:tcW w:w="2562" w:type="dxa"/>
          </w:tcPr>
          <w:p w:rsidR="00E85A89" w:rsidRPr="006A6330" w:rsidRDefault="00E85A89" w:rsidP="009F7743">
            <w:pPr>
              <w:contextualSpacing/>
              <w:rPr>
                <w:rFonts w:cs="Arial"/>
                <w:sz w:val="22"/>
              </w:rPr>
            </w:pPr>
            <w:r w:rsidRPr="006A6330">
              <w:rPr>
                <w:rFonts w:cs="Arial"/>
                <w:sz w:val="22"/>
              </w:rPr>
              <w:t>$6,762,880</w:t>
            </w:r>
          </w:p>
        </w:tc>
      </w:tr>
      <w:tr w:rsidR="00E85A89" w:rsidRPr="00E5335E" w:rsidTr="00E85A89">
        <w:trPr>
          <w:trHeight w:val="239"/>
          <w:jc w:val="right"/>
        </w:trPr>
        <w:tc>
          <w:tcPr>
            <w:tcW w:w="7047" w:type="dxa"/>
          </w:tcPr>
          <w:p w:rsidR="00E85A89" w:rsidRPr="006A6330" w:rsidRDefault="00E85A89" w:rsidP="009F7743">
            <w:pPr>
              <w:contextualSpacing/>
              <w:rPr>
                <w:rFonts w:cs="Arial"/>
                <w:sz w:val="22"/>
              </w:rPr>
            </w:pPr>
            <w:r w:rsidRPr="006A6330">
              <w:rPr>
                <w:rFonts w:cs="Arial"/>
                <w:sz w:val="22"/>
              </w:rPr>
              <w:t>San Diego Association of Governments</w:t>
            </w:r>
          </w:p>
        </w:tc>
        <w:tc>
          <w:tcPr>
            <w:tcW w:w="2562" w:type="dxa"/>
          </w:tcPr>
          <w:p w:rsidR="00E85A89" w:rsidRPr="006A6330" w:rsidRDefault="00E85A89" w:rsidP="009F7743">
            <w:pPr>
              <w:contextualSpacing/>
              <w:rPr>
                <w:rFonts w:cs="Arial"/>
                <w:sz w:val="22"/>
              </w:rPr>
            </w:pPr>
            <w:r w:rsidRPr="006A6330">
              <w:rPr>
                <w:rFonts w:cs="Arial"/>
                <w:sz w:val="22"/>
              </w:rPr>
              <w:t>$6,851,680</w:t>
            </w:r>
          </w:p>
        </w:tc>
      </w:tr>
      <w:tr w:rsidR="00E85A89" w:rsidRPr="00E5335E" w:rsidTr="00E85A89">
        <w:trPr>
          <w:trHeight w:val="254"/>
          <w:jc w:val="right"/>
        </w:trPr>
        <w:tc>
          <w:tcPr>
            <w:tcW w:w="7047" w:type="dxa"/>
          </w:tcPr>
          <w:p w:rsidR="00E85A89" w:rsidRPr="006A6330" w:rsidRDefault="00E85A89" w:rsidP="009F7743">
            <w:pPr>
              <w:contextualSpacing/>
              <w:rPr>
                <w:rFonts w:cs="Arial"/>
                <w:sz w:val="22"/>
              </w:rPr>
            </w:pPr>
            <w:r w:rsidRPr="006A6330">
              <w:rPr>
                <w:rFonts w:cs="Arial"/>
                <w:sz w:val="22"/>
              </w:rPr>
              <w:t>Southern California Association of Governments</w:t>
            </w:r>
          </w:p>
        </w:tc>
        <w:tc>
          <w:tcPr>
            <w:tcW w:w="2562" w:type="dxa"/>
          </w:tcPr>
          <w:p w:rsidR="00E85A89" w:rsidRPr="006A6330" w:rsidRDefault="00E85A89" w:rsidP="009F7743">
            <w:pPr>
              <w:contextualSpacing/>
              <w:rPr>
                <w:rFonts w:cs="Arial"/>
                <w:sz w:val="22"/>
              </w:rPr>
            </w:pPr>
            <w:r w:rsidRPr="006A6330">
              <w:rPr>
                <w:rFonts w:cs="Arial"/>
                <w:sz w:val="22"/>
              </w:rPr>
              <w:t>$47,471,023</w:t>
            </w:r>
          </w:p>
        </w:tc>
      </w:tr>
      <w:tr w:rsidR="00E85A89" w:rsidRPr="00E5335E" w:rsidTr="00E85A89">
        <w:trPr>
          <w:trHeight w:val="239"/>
          <w:jc w:val="right"/>
        </w:trPr>
        <w:tc>
          <w:tcPr>
            <w:tcW w:w="7047" w:type="dxa"/>
          </w:tcPr>
          <w:p w:rsidR="00E85A89" w:rsidRPr="006A6330" w:rsidRDefault="00E85A89" w:rsidP="009F7743">
            <w:pPr>
              <w:contextualSpacing/>
              <w:rPr>
                <w:rFonts w:cs="Arial"/>
                <w:sz w:val="22"/>
              </w:rPr>
            </w:pPr>
            <w:r w:rsidRPr="006A6330">
              <w:rPr>
                <w:rFonts w:cs="Arial"/>
                <w:sz w:val="22"/>
              </w:rPr>
              <w:t>Butte County COG</w:t>
            </w:r>
          </w:p>
        </w:tc>
        <w:tc>
          <w:tcPr>
            <w:tcW w:w="2562" w:type="dxa"/>
          </w:tcPr>
          <w:p w:rsidR="00E85A89" w:rsidRPr="006A6330" w:rsidRDefault="00E85A89" w:rsidP="009F7743">
            <w:pPr>
              <w:contextualSpacing/>
              <w:rPr>
                <w:rFonts w:cs="Arial"/>
                <w:sz w:val="22"/>
              </w:rPr>
            </w:pPr>
            <w:r w:rsidRPr="006A6330">
              <w:rPr>
                <w:rFonts w:cs="Arial"/>
                <w:sz w:val="22"/>
              </w:rPr>
              <w:t>$883,334</w:t>
            </w:r>
          </w:p>
        </w:tc>
      </w:tr>
      <w:tr w:rsidR="00E85A89" w:rsidRPr="00E5335E" w:rsidTr="00E85A89">
        <w:trPr>
          <w:trHeight w:val="254"/>
          <w:jc w:val="right"/>
        </w:trPr>
        <w:tc>
          <w:tcPr>
            <w:tcW w:w="7047" w:type="dxa"/>
          </w:tcPr>
          <w:p w:rsidR="00E85A89" w:rsidRPr="006A6330" w:rsidRDefault="00E85A89" w:rsidP="009F7743">
            <w:pPr>
              <w:contextualSpacing/>
              <w:rPr>
                <w:rFonts w:cs="Arial"/>
                <w:sz w:val="22"/>
              </w:rPr>
            </w:pPr>
            <w:r w:rsidRPr="006A6330">
              <w:rPr>
                <w:rFonts w:cs="Arial"/>
                <w:sz w:val="22"/>
              </w:rPr>
              <w:t xml:space="preserve">Humboldt County Association of Governments </w:t>
            </w:r>
          </w:p>
        </w:tc>
        <w:tc>
          <w:tcPr>
            <w:tcW w:w="2562" w:type="dxa"/>
          </w:tcPr>
          <w:p w:rsidR="00E85A89" w:rsidRPr="006A6330" w:rsidRDefault="00E85A89" w:rsidP="009F7743">
            <w:pPr>
              <w:contextualSpacing/>
              <w:rPr>
                <w:rFonts w:cs="Arial"/>
                <w:sz w:val="22"/>
              </w:rPr>
            </w:pPr>
            <w:r w:rsidRPr="006A6330">
              <w:rPr>
                <w:rFonts w:cs="Arial"/>
                <w:sz w:val="22"/>
              </w:rPr>
              <w:t>$785,186</w:t>
            </w:r>
          </w:p>
        </w:tc>
      </w:tr>
      <w:tr w:rsidR="00E85A89" w:rsidRPr="00E5335E" w:rsidTr="00E85A89">
        <w:trPr>
          <w:trHeight w:val="254"/>
          <w:jc w:val="right"/>
        </w:trPr>
        <w:tc>
          <w:tcPr>
            <w:tcW w:w="7047" w:type="dxa"/>
          </w:tcPr>
          <w:p w:rsidR="00E85A89" w:rsidRPr="006A6330" w:rsidRDefault="00E85A89" w:rsidP="009F7743">
            <w:pPr>
              <w:contextualSpacing/>
              <w:rPr>
                <w:rFonts w:cs="Arial"/>
                <w:sz w:val="22"/>
              </w:rPr>
            </w:pPr>
            <w:r w:rsidRPr="006A6330">
              <w:rPr>
                <w:rFonts w:cs="Arial"/>
                <w:sz w:val="22"/>
              </w:rPr>
              <w:t>Lake County COG</w:t>
            </w:r>
          </w:p>
        </w:tc>
        <w:tc>
          <w:tcPr>
            <w:tcW w:w="2562" w:type="dxa"/>
          </w:tcPr>
          <w:p w:rsidR="00E85A89" w:rsidRPr="006A6330" w:rsidRDefault="00E85A89" w:rsidP="009F7743">
            <w:pPr>
              <w:contextualSpacing/>
              <w:rPr>
                <w:rFonts w:cs="Arial"/>
                <w:sz w:val="22"/>
              </w:rPr>
            </w:pPr>
            <w:r w:rsidRPr="006A6330">
              <w:rPr>
                <w:rFonts w:cs="Arial"/>
                <w:sz w:val="22"/>
              </w:rPr>
              <w:t>$261,729</w:t>
            </w:r>
          </w:p>
        </w:tc>
      </w:tr>
      <w:tr w:rsidR="00E85A89" w:rsidRPr="00E5335E" w:rsidTr="00E85A89">
        <w:trPr>
          <w:trHeight w:val="239"/>
          <w:jc w:val="right"/>
        </w:trPr>
        <w:tc>
          <w:tcPr>
            <w:tcW w:w="7047" w:type="dxa"/>
          </w:tcPr>
          <w:p w:rsidR="00E85A89" w:rsidRPr="006A6330" w:rsidRDefault="00E85A89" w:rsidP="009F7743">
            <w:pPr>
              <w:contextualSpacing/>
              <w:rPr>
                <w:rFonts w:cs="Arial"/>
                <w:sz w:val="22"/>
              </w:rPr>
            </w:pPr>
            <w:r w:rsidRPr="006A6330">
              <w:rPr>
                <w:rFonts w:cs="Arial"/>
                <w:sz w:val="22"/>
              </w:rPr>
              <w:t xml:space="preserve">Mendocino County Association of Governments </w:t>
            </w:r>
          </w:p>
        </w:tc>
        <w:tc>
          <w:tcPr>
            <w:tcW w:w="2562" w:type="dxa"/>
          </w:tcPr>
          <w:p w:rsidR="00E85A89" w:rsidRPr="006A6330" w:rsidRDefault="00E85A89" w:rsidP="009F7743">
            <w:pPr>
              <w:contextualSpacing/>
              <w:rPr>
                <w:rFonts w:cs="Arial"/>
                <w:sz w:val="22"/>
              </w:rPr>
            </w:pPr>
            <w:r w:rsidRPr="006A6330">
              <w:rPr>
                <w:rFonts w:cs="Arial"/>
                <w:sz w:val="22"/>
              </w:rPr>
              <w:t>$383,245</w:t>
            </w:r>
          </w:p>
        </w:tc>
      </w:tr>
      <w:tr w:rsidR="00E85A89" w:rsidRPr="00311D94" w:rsidTr="00E85A89">
        <w:trPr>
          <w:trHeight w:val="254"/>
          <w:jc w:val="right"/>
        </w:trPr>
        <w:tc>
          <w:tcPr>
            <w:tcW w:w="9610" w:type="dxa"/>
            <w:gridSpan w:val="2"/>
          </w:tcPr>
          <w:p w:rsidR="00E85A89" w:rsidRPr="006A6330" w:rsidRDefault="00E85A89" w:rsidP="009F7743">
            <w:pPr>
              <w:contextualSpacing/>
              <w:jc w:val="center"/>
              <w:rPr>
                <w:rFonts w:cs="Arial"/>
                <w:b/>
                <w:bCs/>
                <w:sz w:val="22"/>
              </w:rPr>
            </w:pPr>
            <w:r w:rsidRPr="006A6330">
              <w:rPr>
                <w:rFonts w:cs="Arial"/>
                <w:b/>
                <w:bCs/>
                <w:sz w:val="22"/>
              </w:rPr>
              <w:t>Multi-agency Working Groups</w:t>
            </w:r>
          </w:p>
        </w:tc>
      </w:tr>
      <w:tr w:rsidR="00E85A89" w:rsidRPr="00E5335E" w:rsidTr="00E85A89">
        <w:trPr>
          <w:trHeight w:val="1003"/>
          <w:jc w:val="right"/>
        </w:trPr>
        <w:tc>
          <w:tcPr>
            <w:tcW w:w="7047" w:type="dxa"/>
          </w:tcPr>
          <w:p w:rsidR="00E85A89" w:rsidRPr="006A6330" w:rsidRDefault="00E85A89" w:rsidP="009F7743">
            <w:pPr>
              <w:contextualSpacing/>
              <w:rPr>
                <w:rFonts w:cs="Arial"/>
                <w:sz w:val="22"/>
              </w:rPr>
            </w:pPr>
            <w:r w:rsidRPr="006A6330">
              <w:rPr>
                <w:rFonts w:cs="Arial"/>
                <w:sz w:val="22"/>
              </w:rPr>
              <w:t>Central Coast Multiagency Working Group, consisting of the Association of Monterey Bay Area Governments, the San Luis Obispo COG, the Council of San Benito County Governments, and the Santa Barbara County Association of Governments</w:t>
            </w:r>
          </w:p>
        </w:tc>
        <w:tc>
          <w:tcPr>
            <w:tcW w:w="2562" w:type="dxa"/>
          </w:tcPr>
          <w:p w:rsidR="00E85A89" w:rsidRPr="006A6330" w:rsidRDefault="00E85A89" w:rsidP="009F7743">
            <w:pPr>
              <w:contextualSpacing/>
              <w:rPr>
                <w:rFonts w:cs="Arial"/>
                <w:sz w:val="22"/>
              </w:rPr>
            </w:pPr>
            <w:r w:rsidRPr="006A6330">
              <w:rPr>
                <w:rFonts w:cs="Arial"/>
                <w:sz w:val="22"/>
              </w:rPr>
              <w:t>$7,931,311</w:t>
            </w:r>
          </w:p>
          <w:p w:rsidR="00E85A89" w:rsidRPr="006A6330" w:rsidRDefault="00E85A89" w:rsidP="009F7743">
            <w:pPr>
              <w:contextualSpacing/>
              <w:rPr>
                <w:rFonts w:cs="Arial"/>
                <w:sz w:val="22"/>
              </w:rPr>
            </w:pPr>
          </w:p>
          <w:p w:rsidR="00E85A89" w:rsidRPr="006A6330" w:rsidRDefault="00E85A89" w:rsidP="009F7743">
            <w:pPr>
              <w:contextualSpacing/>
              <w:rPr>
                <w:rFonts w:cs="Arial"/>
                <w:sz w:val="22"/>
              </w:rPr>
            </w:pPr>
          </w:p>
        </w:tc>
      </w:tr>
      <w:tr w:rsidR="00E85A89" w:rsidRPr="00E5335E" w:rsidTr="00E85A89">
        <w:trPr>
          <w:trHeight w:val="1258"/>
          <w:jc w:val="right"/>
        </w:trPr>
        <w:tc>
          <w:tcPr>
            <w:tcW w:w="7047" w:type="dxa"/>
          </w:tcPr>
          <w:p w:rsidR="00E85A89" w:rsidRPr="006A6330" w:rsidRDefault="00E85A89" w:rsidP="009F7743">
            <w:pPr>
              <w:contextualSpacing/>
              <w:rPr>
                <w:rFonts w:cs="Arial"/>
                <w:sz w:val="22"/>
              </w:rPr>
            </w:pPr>
            <w:r w:rsidRPr="006A6330">
              <w:rPr>
                <w:rFonts w:cs="Arial"/>
                <w:sz w:val="22"/>
              </w:rPr>
              <w:t>San Joaquin Valley Multiagency Working Group, consisting of Fresno COG, Kern COG, the Kings County Association of Governments, the Madera County Transportation Commission, the Merced County Association of Governments, the San Joaquin COG, the Stanislaus COG, and the Tulare County Association of Governments</w:t>
            </w:r>
          </w:p>
        </w:tc>
        <w:tc>
          <w:tcPr>
            <w:tcW w:w="2562" w:type="dxa"/>
          </w:tcPr>
          <w:p w:rsidR="00E85A89" w:rsidRPr="006A6330" w:rsidRDefault="00E85A89" w:rsidP="009F7743">
            <w:pPr>
              <w:contextualSpacing/>
              <w:rPr>
                <w:rFonts w:cs="Arial"/>
                <w:sz w:val="22"/>
              </w:rPr>
            </w:pPr>
            <w:r w:rsidRPr="006A6330">
              <w:rPr>
                <w:rFonts w:cs="Arial"/>
                <w:sz w:val="22"/>
              </w:rPr>
              <w:t>$18,975,323</w:t>
            </w:r>
          </w:p>
        </w:tc>
      </w:tr>
      <w:tr w:rsidR="00E85A89" w:rsidRPr="00311D94" w:rsidTr="00E85A89">
        <w:trPr>
          <w:trHeight w:val="239"/>
          <w:jc w:val="right"/>
        </w:trPr>
        <w:tc>
          <w:tcPr>
            <w:tcW w:w="9610" w:type="dxa"/>
            <w:gridSpan w:val="2"/>
          </w:tcPr>
          <w:p w:rsidR="00E85A89" w:rsidRPr="006A6330" w:rsidRDefault="00E85A89" w:rsidP="009F7743">
            <w:pPr>
              <w:contextualSpacing/>
              <w:jc w:val="center"/>
              <w:rPr>
                <w:rFonts w:cs="Arial"/>
                <w:b/>
                <w:bCs/>
                <w:sz w:val="22"/>
              </w:rPr>
            </w:pPr>
            <w:r w:rsidRPr="006A6330">
              <w:rPr>
                <w:rFonts w:cs="Arial"/>
                <w:b/>
                <w:bCs/>
                <w:sz w:val="22"/>
              </w:rPr>
              <w:t>Counties</w:t>
            </w:r>
          </w:p>
        </w:tc>
      </w:tr>
      <w:tr w:rsidR="00E85A89" w:rsidTr="00E85A89">
        <w:tblPrEx>
          <w:jc w:val="left"/>
        </w:tblPrEx>
        <w:trPr>
          <w:trHeight w:val="254"/>
        </w:trPr>
        <w:tc>
          <w:tcPr>
            <w:tcW w:w="7047" w:type="dxa"/>
            <w:hideMark/>
          </w:tcPr>
          <w:p w:rsidR="00E85A89" w:rsidRPr="006A6330" w:rsidRDefault="00E85A89" w:rsidP="009F7743">
            <w:pPr>
              <w:rPr>
                <w:rFonts w:cs="Arial"/>
                <w:sz w:val="22"/>
              </w:rPr>
            </w:pPr>
            <w:r w:rsidRPr="006A6330">
              <w:rPr>
                <w:rFonts w:cs="Arial"/>
                <w:sz w:val="22"/>
              </w:rPr>
              <w:t>Alpine</w:t>
            </w:r>
          </w:p>
        </w:tc>
        <w:tc>
          <w:tcPr>
            <w:tcW w:w="2562" w:type="dxa"/>
            <w:tcBorders>
              <w:top w:val="single" w:sz="8" w:space="0" w:color="auto"/>
              <w:left w:val="nil"/>
              <w:bottom w:val="single" w:sz="8" w:space="0" w:color="auto"/>
              <w:right w:val="single" w:sz="8" w:space="0" w:color="auto"/>
            </w:tcBorders>
            <w:vAlign w:val="bottom"/>
            <w:hideMark/>
          </w:tcPr>
          <w:p w:rsidR="00E85A89" w:rsidRPr="006A6330" w:rsidRDefault="00E85A89" w:rsidP="009F7743">
            <w:pPr>
              <w:rPr>
                <w:rFonts w:cs="Arial"/>
                <w:sz w:val="22"/>
              </w:rPr>
            </w:pPr>
            <w:r w:rsidRPr="006A6330">
              <w:rPr>
                <w:color w:val="000000"/>
                <w:sz w:val="22"/>
              </w:rPr>
              <w:t>$60,758</w:t>
            </w:r>
          </w:p>
        </w:tc>
      </w:tr>
      <w:tr w:rsidR="00E85A89" w:rsidTr="00E85A89">
        <w:tblPrEx>
          <w:jc w:val="left"/>
        </w:tblPrEx>
        <w:trPr>
          <w:trHeight w:val="269"/>
        </w:trPr>
        <w:tc>
          <w:tcPr>
            <w:tcW w:w="7047" w:type="dxa"/>
            <w:hideMark/>
          </w:tcPr>
          <w:p w:rsidR="00E85A89" w:rsidRPr="006A6330" w:rsidRDefault="00E85A89" w:rsidP="009F7743">
            <w:pPr>
              <w:rPr>
                <w:rFonts w:cs="Arial"/>
                <w:sz w:val="22"/>
              </w:rPr>
            </w:pPr>
            <w:r w:rsidRPr="006A6330">
              <w:rPr>
                <w:rFonts w:cs="Arial"/>
                <w:sz w:val="22"/>
              </w:rPr>
              <w:t>Amador</w:t>
            </w:r>
          </w:p>
        </w:tc>
        <w:tc>
          <w:tcPr>
            <w:tcW w:w="2562" w:type="dxa"/>
            <w:tcBorders>
              <w:top w:val="nil"/>
              <w:left w:val="nil"/>
              <w:bottom w:val="single" w:sz="8" w:space="0" w:color="auto"/>
              <w:right w:val="single" w:sz="8" w:space="0" w:color="auto"/>
            </w:tcBorders>
            <w:vAlign w:val="bottom"/>
            <w:hideMark/>
          </w:tcPr>
          <w:p w:rsidR="00E85A89" w:rsidRPr="006A6330" w:rsidRDefault="00E85A89" w:rsidP="009F7743">
            <w:pPr>
              <w:rPr>
                <w:rFonts w:cs="Arial"/>
                <w:sz w:val="22"/>
              </w:rPr>
            </w:pPr>
            <w:r w:rsidRPr="006A6330">
              <w:rPr>
                <w:color w:val="000000"/>
                <w:sz w:val="22"/>
              </w:rPr>
              <w:t>$444,004</w:t>
            </w:r>
          </w:p>
        </w:tc>
      </w:tr>
      <w:tr w:rsidR="00E85A89" w:rsidTr="00E85A89">
        <w:tblPrEx>
          <w:jc w:val="left"/>
        </w:tblPrEx>
        <w:trPr>
          <w:trHeight w:val="254"/>
        </w:trPr>
        <w:tc>
          <w:tcPr>
            <w:tcW w:w="7047" w:type="dxa"/>
            <w:hideMark/>
          </w:tcPr>
          <w:p w:rsidR="00E85A89" w:rsidRPr="006A6330" w:rsidRDefault="00E85A89" w:rsidP="009F7743">
            <w:pPr>
              <w:rPr>
                <w:rFonts w:cs="Arial"/>
                <w:sz w:val="22"/>
              </w:rPr>
            </w:pPr>
            <w:r w:rsidRPr="006A6330">
              <w:rPr>
                <w:rFonts w:cs="Arial"/>
                <w:sz w:val="22"/>
              </w:rPr>
              <w:t>Calaveras</w:t>
            </w:r>
          </w:p>
        </w:tc>
        <w:tc>
          <w:tcPr>
            <w:tcW w:w="2562" w:type="dxa"/>
            <w:tcBorders>
              <w:top w:val="nil"/>
              <w:left w:val="nil"/>
              <w:bottom w:val="single" w:sz="8" w:space="0" w:color="auto"/>
              <w:right w:val="single" w:sz="8" w:space="0" w:color="auto"/>
            </w:tcBorders>
            <w:vAlign w:val="bottom"/>
            <w:hideMark/>
          </w:tcPr>
          <w:p w:rsidR="00E85A89" w:rsidRPr="006A6330" w:rsidRDefault="00E85A89" w:rsidP="009F7743">
            <w:pPr>
              <w:rPr>
                <w:rFonts w:cs="Arial"/>
                <w:sz w:val="22"/>
              </w:rPr>
            </w:pPr>
            <w:r w:rsidRPr="006A6330">
              <w:rPr>
                <w:color w:val="000000"/>
                <w:sz w:val="22"/>
              </w:rPr>
              <w:t>$200,970</w:t>
            </w:r>
          </w:p>
        </w:tc>
      </w:tr>
      <w:tr w:rsidR="00E85A89" w:rsidTr="00E85A89">
        <w:tblPrEx>
          <w:jc w:val="left"/>
        </w:tblPrEx>
        <w:trPr>
          <w:trHeight w:val="254"/>
        </w:trPr>
        <w:tc>
          <w:tcPr>
            <w:tcW w:w="7047" w:type="dxa"/>
            <w:hideMark/>
          </w:tcPr>
          <w:p w:rsidR="00E85A89" w:rsidRPr="006A6330" w:rsidRDefault="00E85A89" w:rsidP="009F7743">
            <w:pPr>
              <w:rPr>
                <w:rFonts w:cs="Arial"/>
                <w:sz w:val="22"/>
              </w:rPr>
            </w:pPr>
            <w:r w:rsidRPr="006A6330">
              <w:rPr>
                <w:rFonts w:cs="Arial"/>
                <w:sz w:val="22"/>
              </w:rPr>
              <w:t>Colusa</w:t>
            </w:r>
          </w:p>
        </w:tc>
        <w:tc>
          <w:tcPr>
            <w:tcW w:w="2562" w:type="dxa"/>
            <w:tcBorders>
              <w:top w:val="nil"/>
              <w:left w:val="nil"/>
              <w:bottom w:val="single" w:sz="8" w:space="0" w:color="auto"/>
              <w:right w:val="single" w:sz="8" w:space="0" w:color="auto"/>
            </w:tcBorders>
            <w:vAlign w:val="bottom"/>
            <w:hideMark/>
          </w:tcPr>
          <w:p w:rsidR="00E85A89" w:rsidRPr="006A6330" w:rsidRDefault="00E85A89" w:rsidP="009F7743">
            <w:pPr>
              <w:rPr>
                <w:rFonts w:cs="Arial"/>
                <w:sz w:val="22"/>
              </w:rPr>
            </w:pPr>
            <w:r w:rsidRPr="006A6330">
              <w:rPr>
                <w:color w:val="000000"/>
                <w:sz w:val="22"/>
              </w:rPr>
              <w:t>$182,275</w:t>
            </w:r>
          </w:p>
        </w:tc>
      </w:tr>
      <w:tr w:rsidR="00E85A89" w:rsidTr="00E85A89">
        <w:tblPrEx>
          <w:jc w:val="left"/>
        </w:tblPrEx>
        <w:trPr>
          <w:trHeight w:val="254"/>
        </w:trPr>
        <w:tc>
          <w:tcPr>
            <w:tcW w:w="7047" w:type="dxa"/>
            <w:hideMark/>
          </w:tcPr>
          <w:p w:rsidR="00E85A89" w:rsidRPr="006A6330" w:rsidRDefault="00E85A89" w:rsidP="009F7743">
            <w:pPr>
              <w:rPr>
                <w:rFonts w:cs="Arial"/>
                <w:sz w:val="22"/>
              </w:rPr>
            </w:pPr>
            <w:r w:rsidRPr="006A6330">
              <w:rPr>
                <w:rFonts w:cs="Arial"/>
                <w:sz w:val="22"/>
              </w:rPr>
              <w:t>Del Norte</w:t>
            </w:r>
          </w:p>
        </w:tc>
        <w:tc>
          <w:tcPr>
            <w:tcW w:w="2562" w:type="dxa"/>
            <w:tcBorders>
              <w:top w:val="nil"/>
              <w:left w:val="nil"/>
              <w:bottom w:val="single" w:sz="8" w:space="0" w:color="auto"/>
              <w:right w:val="single" w:sz="8" w:space="0" w:color="auto"/>
            </w:tcBorders>
            <w:vAlign w:val="bottom"/>
            <w:hideMark/>
          </w:tcPr>
          <w:p w:rsidR="00E85A89" w:rsidRPr="006A6330" w:rsidRDefault="00E85A89" w:rsidP="009F7743">
            <w:pPr>
              <w:rPr>
                <w:rFonts w:cs="Arial"/>
                <w:sz w:val="22"/>
              </w:rPr>
            </w:pPr>
            <w:r w:rsidRPr="006A6330">
              <w:rPr>
                <w:color w:val="000000"/>
                <w:sz w:val="22"/>
              </w:rPr>
              <w:t>$200,970</w:t>
            </w:r>
          </w:p>
        </w:tc>
      </w:tr>
      <w:tr w:rsidR="00E85A89" w:rsidTr="00E85A89">
        <w:tblPrEx>
          <w:jc w:val="left"/>
        </w:tblPrEx>
        <w:trPr>
          <w:trHeight w:val="254"/>
        </w:trPr>
        <w:tc>
          <w:tcPr>
            <w:tcW w:w="7047" w:type="dxa"/>
            <w:hideMark/>
          </w:tcPr>
          <w:p w:rsidR="00E85A89" w:rsidRPr="006A6330" w:rsidRDefault="00E85A89" w:rsidP="009F7743">
            <w:pPr>
              <w:rPr>
                <w:rFonts w:cs="Arial"/>
                <w:sz w:val="22"/>
              </w:rPr>
            </w:pPr>
            <w:r w:rsidRPr="006A6330">
              <w:rPr>
                <w:rFonts w:cs="Arial"/>
                <w:sz w:val="22"/>
              </w:rPr>
              <w:t>Glenn</w:t>
            </w:r>
          </w:p>
        </w:tc>
        <w:tc>
          <w:tcPr>
            <w:tcW w:w="2562" w:type="dxa"/>
            <w:tcBorders>
              <w:top w:val="nil"/>
              <w:left w:val="nil"/>
              <w:bottom w:val="single" w:sz="8" w:space="0" w:color="auto"/>
              <w:right w:val="single" w:sz="8" w:space="0" w:color="auto"/>
            </w:tcBorders>
            <w:vAlign w:val="bottom"/>
            <w:hideMark/>
          </w:tcPr>
          <w:p w:rsidR="00E85A89" w:rsidRPr="006A6330" w:rsidRDefault="00E85A89" w:rsidP="009F7743">
            <w:pPr>
              <w:rPr>
                <w:rFonts w:cs="Arial"/>
                <w:sz w:val="22"/>
              </w:rPr>
            </w:pPr>
            <w:r w:rsidRPr="006A6330">
              <w:rPr>
                <w:color w:val="000000"/>
                <w:sz w:val="22"/>
              </w:rPr>
              <w:t>$182,275</w:t>
            </w:r>
          </w:p>
        </w:tc>
      </w:tr>
      <w:tr w:rsidR="00E85A89" w:rsidTr="00E85A89">
        <w:tblPrEx>
          <w:jc w:val="left"/>
        </w:tblPrEx>
        <w:trPr>
          <w:trHeight w:val="269"/>
        </w:trPr>
        <w:tc>
          <w:tcPr>
            <w:tcW w:w="7047" w:type="dxa"/>
            <w:hideMark/>
          </w:tcPr>
          <w:p w:rsidR="00E85A89" w:rsidRPr="006A6330" w:rsidRDefault="00E85A89" w:rsidP="009F7743">
            <w:pPr>
              <w:rPr>
                <w:rFonts w:cs="Arial"/>
                <w:sz w:val="22"/>
              </w:rPr>
            </w:pPr>
            <w:r w:rsidRPr="006A6330">
              <w:rPr>
                <w:rFonts w:cs="Arial"/>
                <w:sz w:val="22"/>
              </w:rPr>
              <w:t>Inyo</w:t>
            </w:r>
          </w:p>
        </w:tc>
        <w:tc>
          <w:tcPr>
            <w:tcW w:w="2562" w:type="dxa"/>
            <w:tcBorders>
              <w:top w:val="nil"/>
              <w:left w:val="nil"/>
              <w:bottom w:val="single" w:sz="8" w:space="0" w:color="auto"/>
              <w:right w:val="single" w:sz="8" w:space="0" w:color="auto"/>
            </w:tcBorders>
            <w:vAlign w:val="bottom"/>
            <w:hideMark/>
          </w:tcPr>
          <w:p w:rsidR="00E85A89" w:rsidRPr="006A6330" w:rsidRDefault="00E85A89" w:rsidP="009F7743">
            <w:pPr>
              <w:rPr>
                <w:rFonts w:cs="Arial"/>
                <w:sz w:val="22"/>
              </w:rPr>
            </w:pPr>
            <w:r w:rsidRPr="006A6330">
              <w:rPr>
                <w:color w:val="000000"/>
                <w:sz w:val="22"/>
              </w:rPr>
              <w:t>$121,517</w:t>
            </w:r>
          </w:p>
        </w:tc>
      </w:tr>
      <w:tr w:rsidR="00E85A89" w:rsidTr="00E85A89">
        <w:tblPrEx>
          <w:jc w:val="left"/>
        </w:tblPrEx>
        <w:trPr>
          <w:trHeight w:val="254"/>
        </w:trPr>
        <w:tc>
          <w:tcPr>
            <w:tcW w:w="7047" w:type="dxa"/>
            <w:hideMark/>
          </w:tcPr>
          <w:p w:rsidR="00E85A89" w:rsidRPr="006A6330" w:rsidRDefault="00E85A89" w:rsidP="009F7743">
            <w:pPr>
              <w:rPr>
                <w:rFonts w:cs="Arial"/>
                <w:sz w:val="22"/>
              </w:rPr>
            </w:pPr>
            <w:r w:rsidRPr="006A6330">
              <w:rPr>
                <w:rFonts w:cs="Arial"/>
                <w:sz w:val="22"/>
              </w:rPr>
              <w:t>Lassen</w:t>
            </w:r>
          </w:p>
        </w:tc>
        <w:tc>
          <w:tcPr>
            <w:tcW w:w="2562" w:type="dxa"/>
            <w:tcBorders>
              <w:top w:val="nil"/>
              <w:left w:val="nil"/>
              <w:bottom w:val="single" w:sz="8" w:space="0" w:color="auto"/>
              <w:right w:val="single" w:sz="8" w:space="0" w:color="auto"/>
            </w:tcBorders>
            <w:vAlign w:val="bottom"/>
            <w:hideMark/>
          </w:tcPr>
          <w:p w:rsidR="00E85A89" w:rsidRPr="006A6330" w:rsidRDefault="00E85A89" w:rsidP="009F7743">
            <w:pPr>
              <w:rPr>
                <w:rFonts w:cs="Arial"/>
                <w:sz w:val="22"/>
              </w:rPr>
            </w:pPr>
            <w:r w:rsidRPr="006A6330">
              <w:rPr>
                <w:color w:val="000000"/>
                <w:sz w:val="22"/>
              </w:rPr>
              <w:t>$121,517</w:t>
            </w:r>
          </w:p>
        </w:tc>
      </w:tr>
      <w:tr w:rsidR="00E85A89" w:rsidTr="00E85A89">
        <w:tblPrEx>
          <w:jc w:val="left"/>
        </w:tblPrEx>
        <w:trPr>
          <w:trHeight w:val="254"/>
        </w:trPr>
        <w:tc>
          <w:tcPr>
            <w:tcW w:w="7047" w:type="dxa"/>
            <w:hideMark/>
          </w:tcPr>
          <w:p w:rsidR="00E85A89" w:rsidRPr="006A6330" w:rsidRDefault="00E85A89" w:rsidP="009F7743">
            <w:pPr>
              <w:rPr>
                <w:rFonts w:cs="Arial"/>
                <w:sz w:val="22"/>
              </w:rPr>
            </w:pPr>
            <w:r w:rsidRPr="006A6330">
              <w:rPr>
                <w:rFonts w:cs="Arial"/>
                <w:sz w:val="22"/>
              </w:rPr>
              <w:t>Mariposa</w:t>
            </w:r>
          </w:p>
        </w:tc>
        <w:tc>
          <w:tcPr>
            <w:tcW w:w="2562" w:type="dxa"/>
            <w:tcBorders>
              <w:top w:val="nil"/>
              <w:left w:val="nil"/>
              <w:bottom w:val="single" w:sz="8" w:space="0" w:color="auto"/>
              <w:right w:val="single" w:sz="8" w:space="0" w:color="auto"/>
            </w:tcBorders>
            <w:vAlign w:val="bottom"/>
            <w:hideMark/>
          </w:tcPr>
          <w:p w:rsidR="00E85A89" w:rsidRPr="006A6330" w:rsidRDefault="00E85A89" w:rsidP="009F7743">
            <w:pPr>
              <w:rPr>
                <w:rFonts w:cs="Arial"/>
                <w:sz w:val="22"/>
              </w:rPr>
            </w:pPr>
            <w:r w:rsidRPr="006A6330">
              <w:rPr>
                <w:color w:val="000000"/>
                <w:sz w:val="22"/>
              </w:rPr>
              <w:t>$60,758</w:t>
            </w:r>
          </w:p>
        </w:tc>
      </w:tr>
      <w:tr w:rsidR="00E85A89" w:rsidTr="00E85A89">
        <w:tblPrEx>
          <w:jc w:val="left"/>
        </w:tblPrEx>
        <w:trPr>
          <w:trHeight w:val="254"/>
        </w:trPr>
        <w:tc>
          <w:tcPr>
            <w:tcW w:w="7047" w:type="dxa"/>
            <w:hideMark/>
          </w:tcPr>
          <w:p w:rsidR="00E85A89" w:rsidRPr="006A6330" w:rsidRDefault="00E85A89" w:rsidP="009F7743">
            <w:pPr>
              <w:rPr>
                <w:rFonts w:cs="Arial"/>
                <w:sz w:val="22"/>
              </w:rPr>
            </w:pPr>
            <w:r w:rsidRPr="006A6330">
              <w:rPr>
                <w:rFonts w:cs="Arial"/>
                <w:sz w:val="22"/>
              </w:rPr>
              <w:t>Modoc</w:t>
            </w:r>
          </w:p>
        </w:tc>
        <w:tc>
          <w:tcPr>
            <w:tcW w:w="2562" w:type="dxa"/>
            <w:tcBorders>
              <w:top w:val="nil"/>
              <w:left w:val="nil"/>
              <w:bottom w:val="single" w:sz="8" w:space="0" w:color="auto"/>
              <w:right w:val="single" w:sz="8" w:space="0" w:color="auto"/>
            </w:tcBorders>
            <w:vAlign w:val="bottom"/>
            <w:hideMark/>
          </w:tcPr>
          <w:p w:rsidR="00E85A89" w:rsidRPr="006A6330" w:rsidRDefault="00E85A89" w:rsidP="009F7743">
            <w:pPr>
              <w:rPr>
                <w:rFonts w:cs="Arial"/>
                <w:sz w:val="22"/>
              </w:rPr>
            </w:pPr>
            <w:r w:rsidRPr="006A6330">
              <w:rPr>
                <w:color w:val="000000"/>
                <w:sz w:val="22"/>
              </w:rPr>
              <w:t>$121,517</w:t>
            </w:r>
          </w:p>
        </w:tc>
      </w:tr>
      <w:tr w:rsidR="00E85A89" w:rsidTr="00E85A89">
        <w:tblPrEx>
          <w:jc w:val="left"/>
        </w:tblPrEx>
        <w:trPr>
          <w:trHeight w:val="254"/>
        </w:trPr>
        <w:tc>
          <w:tcPr>
            <w:tcW w:w="7047" w:type="dxa"/>
            <w:hideMark/>
          </w:tcPr>
          <w:p w:rsidR="00E85A89" w:rsidRPr="006A6330" w:rsidRDefault="00E85A89" w:rsidP="009F7743">
            <w:pPr>
              <w:rPr>
                <w:rFonts w:cs="Arial"/>
                <w:sz w:val="22"/>
              </w:rPr>
            </w:pPr>
            <w:r w:rsidRPr="006A6330">
              <w:rPr>
                <w:rFonts w:cs="Arial"/>
                <w:sz w:val="22"/>
              </w:rPr>
              <w:t>Mono</w:t>
            </w:r>
          </w:p>
        </w:tc>
        <w:tc>
          <w:tcPr>
            <w:tcW w:w="2562" w:type="dxa"/>
            <w:tcBorders>
              <w:top w:val="nil"/>
              <w:left w:val="nil"/>
              <w:bottom w:val="single" w:sz="8" w:space="0" w:color="auto"/>
              <w:right w:val="single" w:sz="8" w:space="0" w:color="auto"/>
            </w:tcBorders>
            <w:vAlign w:val="bottom"/>
            <w:hideMark/>
          </w:tcPr>
          <w:p w:rsidR="00E85A89" w:rsidRPr="006A6330" w:rsidRDefault="00E85A89" w:rsidP="009F7743">
            <w:pPr>
              <w:rPr>
                <w:rFonts w:cs="Arial"/>
                <w:sz w:val="22"/>
              </w:rPr>
            </w:pPr>
            <w:r w:rsidRPr="006A6330">
              <w:rPr>
                <w:color w:val="000000"/>
                <w:sz w:val="22"/>
              </w:rPr>
              <w:t>$121,517</w:t>
            </w:r>
          </w:p>
        </w:tc>
      </w:tr>
      <w:tr w:rsidR="00E85A89" w:rsidTr="00E85A89">
        <w:tblPrEx>
          <w:jc w:val="left"/>
        </w:tblPrEx>
        <w:trPr>
          <w:trHeight w:val="269"/>
        </w:trPr>
        <w:tc>
          <w:tcPr>
            <w:tcW w:w="7047" w:type="dxa"/>
            <w:hideMark/>
          </w:tcPr>
          <w:p w:rsidR="00E85A89" w:rsidRPr="006A6330" w:rsidRDefault="00E85A89" w:rsidP="009F7743">
            <w:pPr>
              <w:rPr>
                <w:rFonts w:cs="Arial"/>
                <w:sz w:val="22"/>
              </w:rPr>
            </w:pPr>
            <w:r w:rsidRPr="006A6330">
              <w:rPr>
                <w:rFonts w:cs="Arial"/>
                <w:sz w:val="22"/>
              </w:rPr>
              <w:t>Nevada</w:t>
            </w:r>
          </w:p>
        </w:tc>
        <w:tc>
          <w:tcPr>
            <w:tcW w:w="2562" w:type="dxa"/>
            <w:tcBorders>
              <w:top w:val="nil"/>
              <w:left w:val="nil"/>
              <w:bottom w:val="single" w:sz="8" w:space="0" w:color="auto"/>
              <w:right w:val="single" w:sz="8" w:space="0" w:color="auto"/>
            </w:tcBorders>
            <w:vAlign w:val="bottom"/>
            <w:hideMark/>
          </w:tcPr>
          <w:p w:rsidR="00E85A89" w:rsidRPr="006A6330" w:rsidRDefault="00E85A89" w:rsidP="009F7743">
            <w:pPr>
              <w:rPr>
                <w:rFonts w:cs="Arial"/>
                <w:sz w:val="22"/>
              </w:rPr>
            </w:pPr>
            <w:r w:rsidRPr="006A6330">
              <w:rPr>
                <w:color w:val="000000"/>
                <w:sz w:val="22"/>
              </w:rPr>
              <w:t>$462,699</w:t>
            </w:r>
          </w:p>
        </w:tc>
      </w:tr>
      <w:tr w:rsidR="00E85A89" w:rsidTr="00E85A89">
        <w:tblPrEx>
          <w:jc w:val="left"/>
        </w:tblPrEx>
        <w:trPr>
          <w:trHeight w:val="254"/>
        </w:trPr>
        <w:tc>
          <w:tcPr>
            <w:tcW w:w="7047" w:type="dxa"/>
            <w:hideMark/>
          </w:tcPr>
          <w:p w:rsidR="00E85A89" w:rsidRPr="006A6330" w:rsidRDefault="00E85A89" w:rsidP="009F7743">
            <w:pPr>
              <w:rPr>
                <w:rFonts w:cs="Arial"/>
                <w:sz w:val="22"/>
              </w:rPr>
            </w:pPr>
            <w:r w:rsidRPr="006A6330">
              <w:rPr>
                <w:rFonts w:cs="Arial"/>
                <w:sz w:val="22"/>
              </w:rPr>
              <w:t>Plumas</w:t>
            </w:r>
          </w:p>
        </w:tc>
        <w:tc>
          <w:tcPr>
            <w:tcW w:w="2562" w:type="dxa"/>
            <w:tcBorders>
              <w:top w:val="nil"/>
              <w:left w:val="nil"/>
              <w:bottom w:val="single" w:sz="8" w:space="0" w:color="auto"/>
              <w:right w:val="single" w:sz="8" w:space="0" w:color="auto"/>
            </w:tcBorders>
            <w:vAlign w:val="bottom"/>
            <w:hideMark/>
          </w:tcPr>
          <w:p w:rsidR="00E85A89" w:rsidRPr="006A6330" w:rsidRDefault="00E85A89" w:rsidP="009F7743">
            <w:pPr>
              <w:rPr>
                <w:rFonts w:cs="Arial"/>
                <w:sz w:val="22"/>
              </w:rPr>
            </w:pPr>
            <w:r w:rsidRPr="006A6330">
              <w:rPr>
                <w:color w:val="000000"/>
                <w:sz w:val="22"/>
              </w:rPr>
              <w:t xml:space="preserve">$121,517 </w:t>
            </w:r>
          </w:p>
        </w:tc>
      </w:tr>
      <w:tr w:rsidR="00E85A89" w:rsidTr="00E85A89">
        <w:tblPrEx>
          <w:jc w:val="left"/>
        </w:tblPrEx>
        <w:trPr>
          <w:trHeight w:val="254"/>
        </w:trPr>
        <w:tc>
          <w:tcPr>
            <w:tcW w:w="7047" w:type="dxa"/>
            <w:hideMark/>
          </w:tcPr>
          <w:p w:rsidR="00E85A89" w:rsidRPr="006A6330" w:rsidRDefault="00E85A89" w:rsidP="009F7743">
            <w:pPr>
              <w:rPr>
                <w:rFonts w:cs="Arial"/>
                <w:sz w:val="22"/>
              </w:rPr>
            </w:pPr>
            <w:r w:rsidRPr="006A6330">
              <w:rPr>
                <w:rFonts w:cs="Arial"/>
                <w:sz w:val="22"/>
              </w:rPr>
              <w:t>Shasta</w:t>
            </w:r>
          </w:p>
        </w:tc>
        <w:tc>
          <w:tcPr>
            <w:tcW w:w="2562" w:type="dxa"/>
            <w:tcBorders>
              <w:top w:val="nil"/>
              <w:left w:val="nil"/>
              <w:bottom w:val="single" w:sz="8" w:space="0" w:color="auto"/>
              <w:right w:val="single" w:sz="8" w:space="0" w:color="auto"/>
            </w:tcBorders>
            <w:vAlign w:val="bottom"/>
            <w:hideMark/>
          </w:tcPr>
          <w:p w:rsidR="00E85A89" w:rsidRPr="006A6330" w:rsidRDefault="00E85A89" w:rsidP="009F7743">
            <w:pPr>
              <w:rPr>
                <w:rFonts w:cs="Arial"/>
                <w:sz w:val="22"/>
              </w:rPr>
            </w:pPr>
            <w:r w:rsidRPr="006A6330">
              <w:rPr>
                <w:color w:val="000000"/>
                <w:sz w:val="22"/>
              </w:rPr>
              <w:t>$682,364</w:t>
            </w:r>
          </w:p>
        </w:tc>
      </w:tr>
      <w:tr w:rsidR="00E85A89" w:rsidTr="00E85A89">
        <w:tblPrEx>
          <w:jc w:val="left"/>
        </w:tblPrEx>
        <w:trPr>
          <w:trHeight w:val="254"/>
        </w:trPr>
        <w:tc>
          <w:tcPr>
            <w:tcW w:w="7047" w:type="dxa"/>
            <w:hideMark/>
          </w:tcPr>
          <w:p w:rsidR="00E85A89" w:rsidRPr="006A6330" w:rsidRDefault="00E85A89" w:rsidP="009F7743">
            <w:pPr>
              <w:rPr>
                <w:rFonts w:cs="Arial"/>
                <w:sz w:val="22"/>
              </w:rPr>
            </w:pPr>
            <w:r w:rsidRPr="006A6330">
              <w:rPr>
                <w:rFonts w:cs="Arial"/>
                <w:sz w:val="22"/>
              </w:rPr>
              <w:t>Sierra</w:t>
            </w:r>
          </w:p>
        </w:tc>
        <w:tc>
          <w:tcPr>
            <w:tcW w:w="2562" w:type="dxa"/>
            <w:tcBorders>
              <w:top w:val="nil"/>
              <w:left w:val="nil"/>
              <w:bottom w:val="single" w:sz="8" w:space="0" w:color="auto"/>
              <w:right w:val="single" w:sz="8" w:space="0" w:color="auto"/>
            </w:tcBorders>
            <w:vAlign w:val="bottom"/>
            <w:hideMark/>
          </w:tcPr>
          <w:p w:rsidR="00E85A89" w:rsidRPr="006A6330" w:rsidRDefault="00E85A89" w:rsidP="009F7743">
            <w:pPr>
              <w:rPr>
                <w:rFonts w:cs="Arial"/>
                <w:sz w:val="22"/>
              </w:rPr>
            </w:pPr>
            <w:r w:rsidRPr="006A6330">
              <w:rPr>
                <w:color w:val="000000"/>
                <w:sz w:val="22"/>
              </w:rPr>
              <w:t>$121,517</w:t>
            </w:r>
          </w:p>
        </w:tc>
      </w:tr>
      <w:tr w:rsidR="00E85A89" w:rsidTr="00E85A89">
        <w:tblPrEx>
          <w:jc w:val="left"/>
        </w:tblPrEx>
        <w:trPr>
          <w:trHeight w:val="254"/>
        </w:trPr>
        <w:tc>
          <w:tcPr>
            <w:tcW w:w="7047" w:type="dxa"/>
            <w:hideMark/>
          </w:tcPr>
          <w:p w:rsidR="00E85A89" w:rsidRPr="006A6330" w:rsidRDefault="00E85A89" w:rsidP="009F7743">
            <w:pPr>
              <w:rPr>
                <w:rFonts w:cs="Arial"/>
                <w:sz w:val="22"/>
              </w:rPr>
            </w:pPr>
            <w:r w:rsidRPr="006A6330">
              <w:rPr>
                <w:rFonts w:cs="Arial"/>
                <w:sz w:val="22"/>
              </w:rPr>
              <w:t>Siskiyou</w:t>
            </w:r>
          </w:p>
        </w:tc>
        <w:tc>
          <w:tcPr>
            <w:tcW w:w="2562" w:type="dxa"/>
            <w:tcBorders>
              <w:top w:val="nil"/>
              <w:left w:val="nil"/>
              <w:bottom w:val="single" w:sz="8" w:space="0" w:color="auto"/>
              <w:right w:val="single" w:sz="8" w:space="0" w:color="auto"/>
            </w:tcBorders>
            <w:vAlign w:val="bottom"/>
            <w:hideMark/>
          </w:tcPr>
          <w:p w:rsidR="00E85A89" w:rsidRPr="006A6330" w:rsidRDefault="00E85A89" w:rsidP="009F7743">
            <w:pPr>
              <w:rPr>
                <w:rFonts w:cs="Arial"/>
                <w:sz w:val="22"/>
              </w:rPr>
            </w:pPr>
            <w:r w:rsidRPr="006A6330">
              <w:rPr>
                <w:color w:val="000000"/>
                <w:sz w:val="22"/>
              </w:rPr>
              <w:t>$687,038</w:t>
            </w:r>
          </w:p>
        </w:tc>
      </w:tr>
      <w:tr w:rsidR="00E85A89" w:rsidTr="00E85A89">
        <w:tblPrEx>
          <w:jc w:val="left"/>
        </w:tblPrEx>
        <w:trPr>
          <w:trHeight w:val="269"/>
        </w:trPr>
        <w:tc>
          <w:tcPr>
            <w:tcW w:w="7047" w:type="dxa"/>
            <w:hideMark/>
          </w:tcPr>
          <w:p w:rsidR="00E85A89" w:rsidRPr="006A6330" w:rsidRDefault="00E85A89" w:rsidP="009F7743">
            <w:pPr>
              <w:rPr>
                <w:rFonts w:cs="Arial"/>
                <w:sz w:val="22"/>
              </w:rPr>
            </w:pPr>
            <w:r w:rsidRPr="006A6330">
              <w:rPr>
                <w:rFonts w:cs="Arial"/>
                <w:sz w:val="22"/>
              </w:rPr>
              <w:t>Tehama</w:t>
            </w:r>
          </w:p>
        </w:tc>
        <w:tc>
          <w:tcPr>
            <w:tcW w:w="2562" w:type="dxa"/>
            <w:tcBorders>
              <w:top w:val="nil"/>
              <w:left w:val="nil"/>
              <w:bottom w:val="single" w:sz="8" w:space="0" w:color="auto"/>
              <w:right w:val="single" w:sz="8" w:space="0" w:color="auto"/>
            </w:tcBorders>
            <w:vAlign w:val="bottom"/>
            <w:hideMark/>
          </w:tcPr>
          <w:p w:rsidR="00E85A89" w:rsidRPr="006A6330" w:rsidRDefault="00E85A89" w:rsidP="009F7743">
            <w:pPr>
              <w:rPr>
                <w:rFonts w:cs="Arial"/>
                <w:sz w:val="22"/>
              </w:rPr>
            </w:pPr>
            <w:r w:rsidRPr="006A6330">
              <w:rPr>
                <w:color w:val="000000"/>
                <w:sz w:val="22"/>
              </w:rPr>
              <w:t>$322,487</w:t>
            </w:r>
          </w:p>
        </w:tc>
      </w:tr>
      <w:tr w:rsidR="00E85A89" w:rsidTr="00E85A89">
        <w:tblPrEx>
          <w:jc w:val="left"/>
        </w:tblPrEx>
        <w:trPr>
          <w:trHeight w:val="254"/>
        </w:trPr>
        <w:tc>
          <w:tcPr>
            <w:tcW w:w="7047" w:type="dxa"/>
            <w:hideMark/>
          </w:tcPr>
          <w:p w:rsidR="00E85A89" w:rsidRPr="006A6330" w:rsidRDefault="00E85A89" w:rsidP="009F7743">
            <w:pPr>
              <w:rPr>
                <w:rFonts w:cs="Arial"/>
                <w:sz w:val="22"/>
              </w:rPr>
            </w:pPr>
            <w:r w:rsidRPr="006A6330">
              <w:rPr>
                <w:rFonts w:cs="Arial"/>
                <w:sz w:val="22"/>
              </w:rPr>
              <w:t>Trinity</w:t>
            </w:r>
          </w:p>
        </w:tc>
        <w:tc>
          <w:tcPr>
            <w:tcW w:w="2562" w:type="dxa"/>
            <w:tcBorders>
              <w:top w:val="nil"/>
              <w:left w:val="nil"/>
              <w:bottom w:val="single" w:sz="8" w:space="0" w:color="auto"/>
              <w:right w:val="single" w:sz="8" w:space="0" w:color="auto"/>
            </w:tcBorders>
            <w:vAlign w:val="bottom"/>
            <w:hideMark/>
          </w:tcPr>
          <w:p w:rsidR="00E85A89" w:rsidRPr="006A6330" w:rsidRDefault="00E85A89" w:rsidP="009F7743">
            <w:pPr>
              <w:rPr>
                <w:rFonts w:cs="Arial"/>
                <w:sz w:val="22"/>
              </w:rPr>
            </w:pPr>
            <w:r w:rsidRPr="006A6330">
              <w:rPr>
                <w:color w:val="000000"/>
                <w:sz w:val="22"/>
              </w:rPr>
              <w:t>$60,758</w:t>
            </w:r>
          </w:p>
        </w:tc>
      </w:tr>
      <w:tr w:rsidR="00E85A89" w:rsidTr="00E85A89">
        <w:tblPrEx>
          <w:jc w:val="left"/>
        </w:tblPrEx>
        <w:trPr>
          <w:trHeight w:val="254"/>
        </w:trPr>
        <w:tc>
          <w:tcPr>
            <w:tcW w:w="7047" w:type="dxa"/>
            <w:hideMark/>
          </w:tcPr>
          <w:p w:rsidR="00E85A89" w:rsidRPr="006A6330" w:rsidRDefault="00E85A89" w:rsidP="009F7743">
            <w:pPr>
              <w:rPr>
                <w:rFonts w:cs="Arial"/>
                <w:sz w:val="22"/>
              </w:rPr>
            </w:pPr>
            <w:r w:rsidRPr="006A6330">
              <w:rPr>
                <w:rFonts w:cs="Arial"/>
                <w:sz w:val="22"/>
              </w:rPr>
              <w:t>Tuolumne</w:t>
            </w:r>
          </w:p>
        </w:tc>
        <w:tc>
          <w:tcPr>
            <w:tcW w:w="2562" w:type="dxa"/>
            <w:tcBorders>
              <w:top w:val="nil"/>
              <w:left w:val="nil"/>
              <w:bottom w:val="single" w:sz="8" w:space="0" w:color="auto"/>
              <w:right w:val="single" w:sz="8" w:space="0" w:color="auto"/>
            </w:tcBorders>
            <w:vAlign w:val="bottom"/>
            <w:hideMark/>
          </w:tcPr>
          <w:p w:rsidR="00E85A89" w:rsidRPr="006A6330" w:rsidRDefault="00E85A89" w:rsidP="009F7743">
            <w:pPr>
              <w:rPr>
                <w:rFonts w:cs="Arial"/>
                <w:sz w:val="22"/>
              </w:rPr>
            </w:pPr>
            <w:r w:rsidRPr="006A6330">
              <w:rPr>
                <w:color w:val="000000"/>
                <w:sz w:val="22"/>
              </w:rPr>
              <w:t>$200,970</w:t>
            </w:r>
          </w:p>
        </w:tc>
      </w:tr>
    </w:tbl>
    <w:p w:rsidR="00E9123B" w:rsidRDefault="00E9123B" w:rsidP="00E85A89">
      <w:bookmarkStart w:id="2" w:name="_GoBack"/>
      <w:bookmarkEnd w:id="2"/>
    </w:p>
    <w:sectPr w:rsidR="00E9123B" w:rsidSect="00E91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E85A89"/>
    <w:rsid w:val="00BF5D1E"/>
    <w:rsid w:val="00E85A89"/>
    <w:rsid w:val="00E91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8148D"/>
  <w15:chartTrackingRefBased/>
  <w15:docId w15:val="{F0EB7DF4-0B1C-498D-98A6-F6B28BA3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A89"/>
  </w:style>
  <w:style w:type="paragraph" w:styleId="Heading2">
    <w:name w:val="heading 2"/>
    <w:basedOn w:val="ListParagraph"/>
    <w:next w:val="Normal"/>
    <w:link w:val="Heading2Char"/>
    <w:uiPriority w:val="9"/>
    <w:unhideWhenUsed/>
    <w:qFormat/>
    <w:rsid w:val="00E85A89"/>
    <w:pPr>
      <w:tabs>
        <w:tab w:val="left" w:pos="1260"/>
      </w:tabs>
      <w:overflowPunct w:val="0"/>
      <w:autoSpaceDE w:val="0"/>
      <w:autoSpaceDN w:val="0"/>
      <w:adjustRightInd w:val="0"/>
      <w:spacing w:after="0" w:line="259" w:lineRule="auto"/>
      <w:ind w:left="0"/>
      <w:textAlignment w:val="baseline"/>
      <w:outlineLvl w:val="1"/>
    </w:pPr>
    <w:rPr>
      <w:rFonts w:eastAsia="Times New Roman"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5A89"/>
    <w:rPr>
      <w:rFonts w:eastAsia="Times New Roman" w:cs="Arial"/>
      <w:b/>
      <w:szCs w:val="20"/>
    </w:rPr>
  </w:style>
  <w:style w:type="table" w:styleId="TableGrid">
    <w:name w:val="Table Grid"/>
    <w:basedOn w:val="TableNormal"/>
    <w:uiPriority w:val="59"/>
    <w:rsid w:val="00E85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5A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Kausar, Nurulain@HCD</dc:creator>
  <cp:keywords/>
  <dc:description/>
  <cp:lastModifiedBy>Kausar, Nurulain@HCD</cp:lastModifiedBy>
  <cp:revision>1</cp:revision>
  <dcterms:created xsi:type="dcterms:W3CDTF">2020-02-24T19:04:00Z</dcterms:created>
  <dcterms:modified xsi:type="dcterms:W3CDTF">2020-02-24T19:06:00Z</dcterms:modified>
</cp:coreProperties>
</file>